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A81A" w14:textId="567E5F6B" w:rsidR="002E0925" w:rsidRPr="00662906" w:rsidRDefault="00DB1C1C" w:rsidP="00D8031E">
      <w:r w:rsidRPr="00662906">
        <w:t xml:space="preserve"> </w:t>
      </w:r>
    </w:p>
    <w:p w14:paraId="4F8CB884" w14:textId="453AE301" w:rsidR="00EA40EE" w:rsidRPr="00662906" w:rsidRDefault="00221587" w:rsidP="004E7299">
      <w:pPr>
        <w:rPr>
          <w:b/>
          <w:bCs/>
          <w:color w:val="ED7D31" w:themeColor="accent2"/>
          <w:sz w:val="26"/>
          <w:szCs w:val="26"/>
        </w:rPr>
        <w:sectPr w:rsidR="00EA40EE" w:rsidRPr="00662906" w:rsidSect="00A37F01">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0"/>
          <w:cols w:space="720"/>
          <w:titlePg/>
          <w:docGrid w:linePitch="360"/>
        </w:sectPr>
      </w:pPr>
      <w:r w:rsidRPr="00662906">
        <w:rPr>
          <w:noProof/>
        </w:rPr>
        <mc:AlternateContent>
          <mc:Choice Requires="wps">
            <w:drawing>
              <wp:anchor distT="0" distB="0" distL="114300" distR="114300" simplePos="0" relativeHeight="251658241" behindDoc="0" locked="0" layoutInCell="1" allowOverlap="1" wp14:anchorId="7FFA17E4" wp14:editId="489E66C0">
                <wp:simplePos x="0" y="0"/>
                <wp:positionH relativeFrom="column">
                  <wp:posOffset>333213</wp:posOffset>
                </wp:positionH>
                <wp:positionV relativeFrom="paragraph">
                  <wp:posOffset>2193096</wp:posOffset>
                </wp:positionV>
                <wp:extent cx="3620963" cy="4501055"/>
                <wp:effectExtent l="0" t="0" r="11430" b="7620"/>
                <wp:wrapNone/>
                <wp:docPr id="63562939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963" cy="4501055"/>
                        </a:xfrm>
                        <a:prstGeom prst="rect">
                          <a:avLst/>
                        </a:prstGeom>
                        <a:noFill/>
                        <a:ln>
                          <a:noFill/>
                        </a:ln>
                      </wps:spPr>
                      <wps:txbx>
                        <w:txbxContent>
                          <w:p w14:paraId="7C70498E" w14:textId="49A5C2BD" w:rsidR="00C7739D" w:rsidRPr="009A0BCE" w:rsidRDefault="00CC3541" w:rsidP="00CC3541">
                            <w:pPr>
                              <w:jc w:val="left"/>
                              <w:rPr>
                                <w:b/>
                                <w:bCs/>
                                <w:color w:val="FFFFFF" w:themeColor="background2"/>
                                <w:sz w:val="48"/>
                                <w:szCs w:val="36"/>
                              </w:rPr>
                            </w:pPr>
                            <w:r w:rsidRPr="009A0BCE">
                              <w:rPr>
                                <w:b/>
                                <w:bCs/>
                                <w:color w:val="FFFFFF" w:themeColor="background2"/>
                                <w:sz w:val="48"/>
                                <w:szCs w:val="36"/>
                              </w:rPr>
                              <w:t xml:space="preserve">Design of the </w:t>
                            </w:r>
                            <w:r w:rsidR="004C00E1" w:rsidRPr="009A0BCE">
                              <w:rPr>
                                <w:b/>
                                <w:bCs/>
                                <w:color w:val="FFFFFF" w:themeColor="background2"/>
                                <w:sz w:val="48"/>
                                <w:szCs w:val="36"/>
                              </w:rPr>
                              <w:t>African</w:t>
                            </w:r>
                            <w:r w:rsidRPr="009A0BCE">
                              <w:rPr>
                                <w:b/>
                                <w:bCs/>
                                <w:color w:val="FFFFFF" w:themeColor="background2"/>
                                <w:sz w:val="48"/>
                                <w:szCs w:val="36"/>
                              </w:rPr>
                              <w:t xml:space="preserve"> </w:t>
                            </w:r>
                            <w:r w:rsidR="001C36F6">
                              <w:rPr>
                                <w:b/>
                                <w:bCs/>
                                <w:color w:val="FFFFFF" w:themeColor="background2"/>
                                <w:sz w:val="48"/>
                                <w:szCs w:val="36"/>
                              </w:rPr>
                              <w:t>E</w:t>
                            </w:r>
                            <w:r w:rsidRPr="009A0BCE">
                              <w:rPr>
                                <w:b/>
                                <w:bCs/>
                                <w:color w:val="FFFFFF" w:themeColor="background2"/>
                                <w:sz w:val="48"/>
                                <w:szCs w:val="36"/>
                              </w:rPr>
                              <w:t xml:space="preserve">nergy </w:t>
                            </w:r>
                            <w:r w:rsidR="001C36F6">
                              <w:rPr>
                                <w:b/>
                                <w:bCs/>
                                <w:color w:val="FFFFFF" w:themeColor="background2"/>
                                <w:sz w:val="48"/>
                                <w:szCs w:val="36"/>
                              </w:rPr>
                              <w:t>T</w:t>
                            </w:r>
                            <w:r w:rsidRPr="009A0BCE">
                              <w:rPr>
                                <w:b/>
                                <w:bCs/>
                                <w:color w:val="FFFFFF" w:themeColor="background2"/>
                                <w:sz w:val="48"/>
                                <w:szCs w:val="36"/>
                              </w:rPr>
                              <w:t xml:space="preserve">ransition </w:t>
                            </w:r>
                            <w:r w:rsidR="001C36F6">
                              <w:rPr>
                                <w:b/>
                                <w:bCs/>
                                <w:color w:val="FFFFFF" w:themeColor="background2"/>
                                <w:sz w:val="48"/>
                                <w:szCs w:val="36"/>
                              </w:rPr>
                              <w:t>S</w:t>
                            </w:r>
                            <w:r w:rsidRPr="009A0BCE">
                              <w:rPr>
                                <w:b/>
                                <w:bCs/>
                                <w:color w:val="FFFFFF" w:themeColor="background2"/>
                                <w:sz w:val="48"/>
                                <w:szCs w:val="36"/>
                              </w:rPr>
                              <w:t xml:space="preserve">trategy and country- level </w:t>
                            </w:r>
                            <w:r w:rsidR="001C36F6">
                              <w:rPr>
                                <w:b/>
                                <w:bCs/>
                                <w:color w:val="FFFFFF" w:themeColor="background2"/>
                                <w:sz w:val="48"/>
                                <w:szCs w:val="36"/>
                              </w:rPr>
                              <w:t>Deep D</w:t>
                            </w:r>
                            <w:r w:rsidRPr="009A0BCE">
                              <w:rPr>
                                <w:b/>
                                <w:bCs/>
                                <w:color w:val="FFFFFF" w:themeColor="background2"/>
                                <w:sz w:val="48"/>
                                <w:szCs w:val="36"/>
                              </w:rPr>
                              <w:t xml:space="preserve">ecarbonization </w:t>
                            </w:r>
                            <w:r w:rsidR="001C36F6">
                              <w:rPr>
                                <w:b/>
                                <w:bCs/>
                                <w:color w:val="FFFFFF" w:themeColor="background2"/>
                                <w:sz w:val="48"/>
                                <w:szCs w:val="36"/>
                              </w:rPr>
                              <w:t>P</w:t>
                            </w:r>
                            <w:r w:rsidRPr="009A0BCE">
                              <w:rPr>
                                <w:b/>
                                <w:bCs/>
                                <w:color w:val="FFFFFF" w:themeColor="background2"/>
                                <w:sz w:val="48"/>
                                <w:szCs w:val="36"/>
                              </w:rPr>
                              <w:t>athways</w:t>
                            </w:r>
                          </w:p>
                          <w:p w14:paraId="7AC2D69A" w14:textId="41A86C19" w:rsidR="00C7739D" w:rsidRPr="009A0BCE" w:rsidRDefault="00CC3541" w:rsidP="00CC3541">
                            <w:pPr>
                              <w:jc w:val="left"/>
                              <w:rPr>
                                <w:color w:val="FFFFFF" w:themeColor="background2"/>
                                <w:sz w:val="24"/>
                                <w:szCs w:val="24"/>
                              </w:rPr>
                            </w:pPr>
                            <w:r w:rsidRPr="009A0BCE">
                              <w:rPr>
                                <w:color w:val="FFFFFF" w:themeColor="background2"/>
                                <w:sz w:val="24"/>
                                <w:szCs w:val="24"/>
                              </w:rPr>
                              <w:t>Contract n. Pesr/ctr/2023/12/003</w:t>
                            </w:r>
                          </w:p>
                          <w:p w14:paraId="3F03443C" w14:textId="77777777" w:rsidR="004C00E1" w:rsidRPr="009A0BCE" w:rsidRDefault="004C00E1" w:rsidP="00CC3541">
                            <w:pPr>
                              <w:jc w:val="left"/>
                              <w:rPr>
                                <w:color w:val="FFFFFF" w:themeColor="background2"/>
                                <w:sz w:val="24"/>
                                <w:szCs w:val="24"/>
                              </w:rPr>
                            </w:pPr>
                          </w:p>
                          <w:p w14:paraId="18086EBD" w14:textId="242098D0" w:rsidR="00C7739D" w:rsidRPr="009A0BCE" w:rsidRDefault="003E3484" w:rsidP="00CC3541">
                            <w:pPr>
                              <w:jc w:val="left"/>
                              <w:rPr>
                                <w:b/>
                                <w:bCs/>
                                <w:color w:val="FFFFFF" w:themeColor="background2"/>
                                <w:sz w:val="48"/>
                                <w:szCs w:val="36"/>
                              </w:rPr>
                            </w:pPr>
                            <w:r w:rsidRPr="00F7188C">
                              <w:rPr>
                                <w:b/>
                                <w:bCs/>
                                <w:color w:val="FFFFFF" w:themeColor="background2"/>
                                <w:sz w:val="48"/>
                                <w:szCs w:val="36"/>
                                <w:lang w:val="en-US"/>
                              </w:rPr>
                              <w:t>African</w:t>
                            </w:r>
                            <w:r w:rsidR="000051F2" w:rsidRPr="00F7188C">
                              <w:rPr>
                                <w:b/>
                                <w:bCs/>
                                <w:color w:val="FFFFFF" w:themeColor="background2"/>
                                <w:sz w:val="48"/>
                                <w:szCs w:val="36"/>
                              </w:rPr>
                              <w:t xml:space="preserve"> </w:t>
                            </w:r>
                            <w:r w:rsidR="00367E6B">
                              <w:rPr>
                                <w:b/>
                                <w:bCs/>
                                <w:color w:val="FFFFFF" w:themeColor="background2"/>
                                <w:sz w:val="48"/>
                                <w:szCs w:val="36"/>
                              </w:rPr>
                              <w:t>Energy Transition Strategy and Action Plan</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FFA17E4" id="Rectangle 1" o:spid="_x0000_s1026" style="position:absolute;left:0;text-align:left;margin-left:26.25pt;margin-top:172.7pt;width:285.1pt;height:35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" filled="f" stroked="f">
                <v:textbox inset="0,0,0,0">
                  <w:txbxContent>
                    <w:p w14:paraId="7C70498E" w14:textId="49A5C2BD" w:rsidR="00C7739D" w:rsidRPr="009A0BCE" w:rsidRDefault="00CC3541" w:rsidP="00CC3541">
                      <w:pPr>
                        <w:jc w:val="left"/>
                        <w:rPr>
                          <w:b/>
                          <w:bCs/>
                          <w:color w:val="FFFFFF" w:themeColor="background2"/>
                          <w:sz w:val="48"/>
                          <w:szCs w:val="36"/>
                        </w:rPr>
                      </w:pPr>
                      <w:r w:rsidRPr="009A0BCE">
                        <w:rPr>
                          <w:b/>
                          <w:bCs/>
                          <w:color w:val="FFFFFF" w:themeColor="background2"/>
                          <w:sz w:val="48"/>
                          <w:szCs w:val="36"/>
                        </w:rPr>
                        <w:t xml:space="preserve">Design of the </w:t>
                      </w:r>
                      <w:r w:rsidR="004C00E1" w:rsidRPr="009A0BCE">
                        <w:rPr>
                          <w:b/>
                          <w:bCs/>
                          <w:color w:val="FFFFFF" w:themeColor="background2"/>
                          <w:sz w:val="48"/>
                          <w:szCs w:val="36"/>
                        </w:rPr>
                        <w:t>African</w:t>
                      </w:r>
                      <w:r w:rsidRPr="009A0BCE">
                        <w:rPr>
                          <w:b/>
                          <w:bCs/>
                          <w:color w:val="FFFFFF" w:themeColor="background2"/>
                          <w:sz w:val="48"/>
                          <w:szCs w:val="36"/>
                        </w:rPr>
                        <w:t xml:space="preserve"> </w:t>
                      </w:r>
                      <w:r w:rsidR="001C36F6">
                        <w:rPr>
                          <w:b/>
                          <w:bCs/>
                          <w:color w:val="FFFFFF" w:themeColor="background2"/>
                          <w:sz w:val="48"/>
                          <w:szCs w:val="36"/>
                        </w:rPr>
                        <w:t>E</w:t>
                      </w:r>
                      <w:r w:rsidRPr="009A0BCE">
                        <w:rPr>
                          <w:b/>
                          <w:bCs/>
                          <w:color w:val="FFFFFF" w:themeColor="background2"/>
                          <w:sz w:val="48"/>
                          <w:szCs w:val="36"/>
                        </w:rPr>
                        <w:t xml:space="preserve">nergy </w:t>
                      </w:r>
                      <w:r w:rsidR="001C36F6">
                        <w:rPr>
                          <w:b/>
                          <w:bCs/>
                          <w:color w:val="FFFFFF" w:themeColor="background2"/>
                          <w:sz w:val="48"/>
                          <w:szCs w:val="36"/>
                        </w:rPr>
                        <w:t>T</w:t>
                      </w:r>
                      <w:r w:rsidRPr="009A0BCE">
                        <w:rPr>
                          <w:b/>
                          <w:bCs/>
                          <w:color w:val="FFFFFF" w:themeColor="background2"/>
                          <w:sz w:val="48"/>
                          <w:szCs w:val="36"/>
                        </w:rPr>
                        <w:t xml:space="preserve">ransition </w:t>
                      </w:r>
                      <w:r w:rsidR="001C36F6">
                        <w:rPr>
                          <w:b/>
                          <w:bCs/>
                          <w:color w:val="FFFFFF" w:themeColor="background2"/>
                          <w:sz w:val="48"/>
                          <w:szCs w:val="36"/>
                        </w:rPr>
                        <w:t>S</w:t>
                      </w:r>
                      <w:r w:rsidRPr="009A0BCE">
                        <w:rPr>
                          <w:b/>
                          <w:bCs/>
                          <w:color w:val="FFFFFF" w:themeColor="background2"/>
                          <w:sz w:val="48"/>
                          <w:szCs w:val="36"/>
                        </w:rPr>
                        <w:t xml:space="preserve">trategy and country- level </w:t>
                      </w:r>
                      <w:r w:rsidR="001C36F6">
                        <w:rPr>
                          <w:b/>
                          <w:bCs/>
                          <w:color w:val="FFFFFF" w:themeColor="background2"/>
                          <w:sz w:val="48"/>
                          <w:szCs w:val="36"/>
                        </w:rPr>
                        <w:t>Deep D</w:t>
                      </w:r>
                      <w:r w:rsidRPr="009A0BCE">
                        <w:rPr>
                          <w:b/>
                          <w:bCs/>
                          <w:color w:val="FFFFFF" w:themeColor="background2"/>
                          <w:sz w:val="48"/>
                          <w:szCs w:val="36"/>
                        </w:rPr>
                        <w:t xml:space="preserve">ecarbonization </w:t>
                      </w:r>
                      <w:r w:rsidR="001C36F6">
                        <w:rPr>
                          <w:b/>
                          <w:bCs/>
                          <w:color w:val="FFFFFF" w:themeColor="background2"/>
                          <w:sz w:val="48"/>
                          <w:szCs w:val="36"/>
                        </w:rPr>
                        <w:t>P</w:t>
                      </w:r>
                      <w:r w:rsidRPr="009A0BCE">
                        <w:rPr>
                          <w:b/>
                          <w:bCs/>
                          <w:color w:val="FFFFFF" w:themeColor="background2"/>
                          <w:sz w:val="48"/>
                          <w:szCs w:val="36"/>
                        </w:rPr>
                        <w:t>athways</w:t>
                      </w:r>
                    </w:p>
                    <w:p w14:paraId="7AC2D69A" w14:textId="41A86C19" w:rsidR="00C7739D" w:rsidRPr="009A0BCE" w:rsidRDefault="00CC3541" w:rsidP="00CC3541">
                      <w:pPr>
                        <w:jc w:val="left"/>
                        <w:rPr>
                          <w:color w:val="FFFFFF" w:themeColor="background2"/>
                          <w:sz w:val="24"/>
                          <w:szCs w:val="24"/>
                        </w:rPr>
                      </w:pPr>
                      <w:r w:rsidRPr="009A0BCE">
                        <w:rPr>
                          <w:color w:val="FFFFFF" w:themeColor="background2"/>
                          <w:sz w:val="24"/>
                          <w:szCs w:val="24"/>
                        </w:rPr>
                        <w:t>Contract n. Pesr/ctr/2023/12/003</w:t>
                      </w:r>
                    </w:p>
                    <w:p w14:paraId="3F03443C" w14:textId="77777777" w:rsidR="004C00E1" w:rsidRPr="009A0BCE" w:rsidRDefault="004C00E1" w:rsidP="00CC3541">
                      <w:pPr>
                        <w:jc w:val="left"/>
                        <w:rPr>
                          <w:color w:val="FFFFFF" w:themeColor="background2"/>
                          <w:sz w:val="24"/>
                          <w:szCs w:val="24"/>
                        </w:rPr>
                      </w:pPr>
                    </w:p>
                    <w:p w14:paraId="18086EBD" w14:textId="242098D0" w:rsidR="00C7739D" w:rsidRPr="009A0BCE" w:rsidRDefault="003E3484" w:rsidP="00CC3541">
                      <w:pPr>
                        <w:jc w:val="left"/>
                        <w:rPr>
                          <w:b/>
                          <w:bCs/>
                          <w:color w:val="FFFFFF" w:themeColor="background2"/>
                          <w:sz w:val="48"/>
                          <w:szCs w:val="36"/>
                        </w:rPr>
                      </w:pPr>
                      <w:r w:rsidRPr="00F7188C">
                        <w:rPr>
                          <w:b/>
                          <w:bCs/>
                          <w:color w:val="FFFFFF" w:themeColor="background2"/>
                          <w:sz w:val="48"/>
                          <w:szCs w:val="36"/>
                          <w:lang w:val="en-US"/>
                        </w:rPr>
                        <w:t>African</w:t>
                      </w:r>
                      <w:r w:rsidR="000051F2" w:rsidRPr="00F7188C">
                        <w:rPr>
                          <w:b/>
                          <w:bCs/>
                          <w:color w:val="FFFFFF" w:themeColor="background2"/>
                          <w:sz w:val="48"/>
                          <w:szCs w:val="36"/>
                        </w:rPr>
                        <w:t xml:space="preserve"> </w:t>
                      </w:r>
                      <w:r w:rsidR="00367E6B">
                        <w:rPr>
                          <w:b/>
                          <w:bCs/>
                          <w:color w:val="FFFFFF" w:themeColor="background2"/>
                          <w:sz w:val="48"/>
                          <w:szCs w:val="36"/>
                        </w:rPr>
                        <w:t>Energy Transition Strategy and Action Plan</w:t>
                      </w:r>
                    </w:p>
                  </w:txbxContent>
                </v:textbox>
              </v:rect>
            </w:pict>
          </mc:Fallback>
        </mc:AlternateContent>
      </w:r>
      <w:r w:rsidR="00046793" w:rsidRPr="00662906">
        <w:rPr>
          <w:noProof/>
        </w:rPr>
        <mc:AlternateContent>
          <mc:Choice Requires="wps">
            <w:drawing>
              <wp:anchor distT="0" distB="0" distL="114299" distR="114299" simplePos="0" relativeHeight="251658244" behindDoc="0" locked="0" layoutInCell="1" allowOverlap="1" wp14:anchorId="57E53925" wp14:editId="472611DD">
                <wp:simplePos x="0" y="0"/>
                <wp:positionH relativeFrom="column">
                  <wp:posOffset>4349749</wp:posOffset>
                </wp:positionH>
                <wp:positionV relativeFrom="paragraph">
                  <wp:posOffset>8434070</wp:posOffset>
                </wp:positionV>
                <wp:extent cx="0" cy="433070"/>
                <wp:effectExtent l="0" t="0" r="0" b="0"/>
                <wp:wrapNone/>
                <wp:docPr id="73237027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070"/>
                        </a:xfrm>
                        <a:prstGeom prst="line">
                          <a:avLst/>
                        </a:prstGeom>
                        <a:ln w="12700">
                          <a:solidFill>
                            <a:schemeClr val="accent3">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18991F" id="Straight Connector 3" o:spid="_x0000_s1026" style="position:absolute;z-index:2516582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5pt,664.1pt" to="342.5pt,6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" strokecolor="#ededed [662]" strokeweight="1pt">
                <v:stroke joinstyle="miter"/>
                <o:lock v:ext="edit" shapetype="f"/>
              </v:line>
            </w:pict>
          </mc:Fallback>
        </mc:AlternateContent>
      </w:r>
      <w:r w:rsidR="00A9097E" w:rsidRPr="00662906">
        <w:rPr>
          <w:noProof/>
          <w:lang w:eastAsia="en-GB"/>
        </w:rPr>
        <w:drawing>
          <wp:anchor distT="0" distB="0" distL="114300" distR="114300" simplePos="0" relativeHeight="251658243" behindDoc="0" locked="0" layoutInCell="1" allowOverlap="1" wp14:anchorId="3B78108B" wp14:editId="2008DE59">
            <wp:simplePos x="0" y="0"/>
            <wp:positionH relativeFrom="margin">
              <wp:align>right</wp:align>
            </wp:positionH>
            <wp:positionV relativeFrom="paragraph">
              <wp:posOffset>8375015</wp:posOffset>
            </wp:positionV>
            <wp:extent cx="1342339" cy="521975"/>
            <wp:effectExtent l="0" t="0" r="0" b="0"/>
            <wp:wrapNone/>
            <wp:docPr id="9379516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2339" cy="52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6793" w:rsidRPr="00662906">
        <w:rPr>
          <w:noProof/>
        </w:rPr>
        <mc:AlternateContent>
          <mc:Choice Requires="wps">
            <w:drawing>
              <wp:anchor distT="0" distB="0" distL="114299" distR="114299" simplePos="0" relativeHeight="251658245" behindDoc="0" locked="0" layoutInCell="1" allowOverlap="1" wp14:anchorId="65117EDF" wp14:editId="1C140B1B">
                <wp:simplePos x="0" y="0"/>
                <wp:positionH relativeFrom="rightMargin">
                  <wp:align>left</wp:align>
                </wp:positionH>
                <wp:positionV relativeFrom="paragraph">
                  <wp:posOffset>8434705</wp:posOffset>
                </wp:positionV>
                <wp:extent cx="0" cy="433705"/>
                <wp:effectExtent l="0" t="0" r="0" b="0"/>
                <wp:wrapNone/>
                <wp:docPr id="194391549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line">
                          <a:avLst/>
                        </a:prstGeom>
                        <a:ln w="12700">
                          <a:solidFill>
                            <a:schemeClr val="accent3">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35D9D6" id="Straight Connector 2" o:spid="_x0000_s1026" style="position:absolute;z-index:251658245;visibility:visible;mso-wrap-style:square;mso-width-percent:0;mso-height-percent:0;mso-wrap-distance-left:3.17497mm;mso-wrap-distance-top:0;mso-wrap-distance-right:3.17497mm;mso-wrap-distance-bottom:0;mso-position-horizontal:left;mso-position-horizontal-relative:right-margin-area;mso-position-vertical:absolute;mso-position-vertical-relative:text;mso-width-percent:0;mso-height-percent:0;mso-width-relative:page;mso-height-relative:page" from="0,664.15pt" to="0,6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" strokecolor="#ededed [662]" strokeweight="1pt">
                <v:stroke joinstyle="miter"/>
                <o:lock v:ext="edit" shapetype="f"/>
                <w10:wrap anchorx="margin"/>
              </v:line>
            </w:pict>
          </mc:Fallback>
        </mc:AlternateContent>
      </w:r>
      <w:r w:rsidR="00DD04A1" w:rsidRPr="00662906">
        <w:rPr>
          <w:b/>
          <w:bCs/>
          <w:noProof/>
          <w:color w:val="ED7D31" w:themeColor="accent2"/>
          <w:sz w:val="26"/>
          <w:szCs w:val="26"/>
        </w:rPr>
        <w:drawing>
          <wp:anchor distT="0" distB="0" distL="114300" distR="114300" simplePos="0" relativeHeight="251658240" behindDoc="0" locked="0" layoutInCell="1" allowOverlap="1" wp14:anchorId="58CC7D3F" wp14:editId="0F86FCE9">
            <wp:simplePos x="0" y="0"/>
            <wp:positionH relativeFrom="column">
              <wp:posOffset>116006</wp:posOffset>
            </wp:positionH>
            <wp:positionV relativeFrom="paragraph">
              <wp:posOffset>2704058</wp:posOffset>
            </wp:positionV>
            <wp:extent cx="3838446" cy="2647666"/>
            <wp:effectExtent l="0" t="0" r="0" b="635"/>
            <wp:wrapNone/>
            <wp:docPr id="14622240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2584" cy="265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182C8F" w:rsidRPr="00662906">
        <w:rPr>
          <w:b/>
          <w:bCs/>
          <w:noProof/>
          <w:color w:val="ED7D31" w:themeColor="accent2"/>
          <w:sz w:val="26"/>
          <w:szCs w:val="26"/>
        </w:rPr>
        <w:drawing>
          <wp:anchor distT="0" distB="0" distL="114300" distR="114300" simplePos="0" relativeHeight="251658242" behindDoc="1" locked="1" layoutInCell="1" allowOverlap="1" wp14:anchorId="7FBFC23C" wp14:editId="51C9DA91">
            <wp:simplePos x="0" y="0"/>
            <wp:positionH relativeFrom="margin">
              <wp:posOffset>-356870</wp:posOffset>
            </wp:positionH>
            <wp:positionV relativeFrom="page">
              <wp:posOffset>2012315</wp:posOffset>
            </wp:positionV>
            <wp:extent cx="6471920" cy="699960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71920" cy="699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1EC2" w:rsidRPr="00662906">
        <w:rPr>
          <w:b/>
          <w:bCs/>
          <w:color w:val="ED7D31" w:themeColor="accent2"/>
          <w:sz w:val="26"/>
          <w:szCs w:val="26"/>
        </w:rPr>
        <w:t xml:space="preserve"> </w:t>
      </w:r>
      <w:r w:rsidR="002E0925" w:rsidRPr="00662906">
        <w:rPr>
          <w:b/>
          <w:bCs/>
          <w:color w:val="ED7D31" w:themeColor="accent2"/>
          <w:sz w:val="26"/>
          <w:szCs w:val="26"/>
        </w:rPr>
        <w:br w:type="page"/>
      </w:r>
    </w:p>
    <w:p w14:paraId="3C9C3E96" w14:textId="0461D589" w:rsidR="002E0925" w:rsidRPr="00662906" w:rsidRDefault="002E0925" w:rsidP="004E7299">
      <w:r w:rsidRPr="00662906">
        <w:lastRenderedPageBreak/>
        <w:t xml:space="preserve">This document has been prepared under the terms of a project funded by the African Development Bank (AfDB). The content of this document is the sole responsibility of the consortium led by Stantec and can in no way be taken to reflect the views of AfDB. This document is prepared solely for the use and benefit of the Contracting Authority, and neither the consortium led by Stantec, nor the authors accept or assume any responsibility or duty of care to any third party. </w:t>
      </w:r>
    </w:p>
    <w:p w14:paraId="5119CD85" w14:textId="77777777" w:rsidR="002E0925" w:rsidRPr="00662906" w:rsidRDefault="002E0925" w:rsidP="004E7299">
      <w:r w:rsidRPr="00662906">
        <w:t>©Stantec 2022</w:t>
      </w:r>
    </w:p>
    <w:p w14:paraId="1FF0D241" w14:textId="77777777" w:rsidR="002E0925" w:rsidRPr="00662906" w:rsidRDefault="002E0925" w:rsidP="004E7299"/>
    <w:p w14:paraId="54612FEC" w14:textId="77777777" w:rsidR="002E0925" w:rsidRPr="00662906" w:rsidRDefault="002E0925" w:rsidP="004E7299"/>
    <w:tbl>
      <w:tblPr>
        <w:tblW w:w="9360" w:type="dxa"/>
        <w:jc w:val="center"/>
        <w:tblBorders>
          <w:insideH w:val="single" w:sz="4" w:space="0" w:color="9F2241" w:themeColor="background1"/>
          <w:insideV w:val="single" w:sz="4" w:space="0" w:color="9F2241" w:themeColor="background1"/>
        </w:tblBorders>
        <w:tblLayout w:type="fixed"/>
        <w:tblLook w:val="0000" w:firstRow="0" w:lastRow="0" w:firstColumn="0" w:lastColumn="0" w:noHBand="0" w:noVBand="0"/>
      </w:tblPr>
      <w:tblGrid>
        <w:gridCol w:w="1816"/>
        <w:gridCol w:w="7544"/>
      </w:tblGrid>
      <w:tr w:rsidR="00E2685B" w:rsidRPr="00662906" w14:paraId="144DDE6E" w14:textId="77777777" w:rsidTr="5C88E6D1">
        <w:trPr>
          <w:trHeight w:val="383"/>
          <w:jc w:val="center"/>
        </w:trPr>
        <w:tc>
          <w:tcPr>
            <w:tcW w:w="1816" w:type="dxa"/>
            <w:shd w:val="clear" w:color="auto" w:fill="FFFFFF" w:themeFill="background2"/>
            <w:tcMar>
              <w:top w:w="57" w:type="dxa"/>
              <w:left w:w="108" w:type="dxa"/>
              <w:bottom w:w="57" w:type="dxa"/>
              <w:right w:w="108" w:type="dxa"/>
            </w:tcMar>
            <w:vAlign w:val="center"/>
          </w:tcPr>
          <w:p w14:paraId="29F3CA48" w14:textId="77777777" w:rsidR="00E2685B" w:rsidRPr="00662906" w:rsidRDefault="00E2685B" w:rsidP="008D2D49">
            <w:r w:rsidRPr="00662906">
              <w:t>Report Title</w:t>
            </w:r>
          </w:p>
        </w:tc>
        <w:tc>
          <w:tcPr>
            <w:tcW w:w="7544" w:type="dxa"/>
            <w:tcMar>
              <w:top w:w="57" w:type="dxa"/>
              <w:left w:w="108" w:type="dxa"/>
              <w:bottom w:w="57" w:type="dxa"/>
              <w:right w:w="108" w:type="dxa"/>
            </w:tcMar>
            <w:vAlign w:val="center"/>
          </w:tcPr>
          <w:p w14:paraId="08A3F07F" w14:textId="10362E76" w:rsidR="00E2685B" w:rsidRPr="00662906" w:rsidRDefault="003E3484" w:rsidP="008D2D49">
            <w:r w:rsidRPr="00662906">
              <w:t xml:space="preserve">African </w:t>
            </w:r>
            <w:r w:rsidR="00297B79" w:rsidRPr="00662906">
              <w:t>Energy Transition Strategy and Action Plan</w:t>
            </w:r>
          </w:p>
        </w:tc>
      </w:tr>
      <w:tr w:rsidR="00E2685B" w:rsidRPr="00662906" w14:paraId="65B559FA" w14:textId="77777777" w:rsidTr="5C88E6D1">
        <w:trPr>
          <w:trHeight w:val="383"/>
          <w:jc w:val="center"/>
        </w:trPr>
        <w:tc>
          <w:tcPr>
            <w:tcW w:w="1816" w:type="dxa"/>
            <w:shd w:val="clear" w:color="auto" w:fill="FFFFFF" w:themeFill="background2"/>
            <w:tcMar>
              <w:top w:w="57" w:type="dxa"/>
              <w:left w:w="108" w:type="dxa"/>
              <w:bottom w:w="57" w:type="dxa"/>
              <w:right w:w="108" w:type="dxa"/>
            </w:tcMar>
            <w:vAlign w:val="center"/>
          </w:tcPr>
          <w:p w14:paraId="0A5ACE79" w14:textId="77777777" w:rsidR="00E2685B" w:rsidRPr="00662906" w:rsidRDefault="00E2685B" w:rsidP="008D2D49">
            <w:r w:rsidRPr="00662906">
              <w:t>Version</w:t>
            </w:r>
          </w:p>
        </w:tc>
        <w:tc>
          <w:tcPr>
            <w:tcW w:w="7544" w:type="dxa"/>
            <w:tcMar>
              <w:top w:w="57" w:type="dxa"/>
              <w:left w:w="108" w:type="dxa"/>
              <w:bottom w:w="57" w:type="dxa"/>
              <w:right w:w="108" w:type="dxa"/>
            </w:tcMar>
            <w:vAlign w:val="center"/>
          </w:tcPr>
          <w:p w14:paraId="58AFA763" w14:textId="02B44AB7" w:rsidR="00E2685B" w:rsidRPr="00662906" w:rsidRDefault="0ABF372B" w:rsidP="008D2D49">
            <w:r w:rsidRPr="00662906">
              <w:t xml:space="preserve">Version </w:t>
            </w:r>
            <w:r w:rsidR="00195C14" w:rsidRPr="00662906">
              <w:t>07</w:t>
            </w:r>
            <w:r w:rsidR="00555A2D" w:rsidRPr="00662906">
              <w:t xml:space="preserve"> – Final version</w:t>
            </w:r>
          </w:p>
        </w:tc>
      </w:tr>
      <w:tr w:rsidR="00E2685B" w:rsidRPr="00662906" w14:paraId="5D2B7F8B" w14:textId="77777777" w:rsidTr="5C88E6D1">
        <w:trPr>
          <w:trHeight w:val="383"/>
          <w:jc w:val="center"/>
        </w:trPr>
        <w:tc>
          <w:tcPr>
            <w:tcW w:w="1816" w:type="dxa"/>
            <w:shd w:val="clear" w:color="auto" w:fill="FFFFFF" w:themeFill="background2"/>
            <w:tcMar>
              <w:top w:w="57" w:type="dxa"/>
              <w:left w:w="108" w:type="dxa"/>
              <w:bottom w:w="57" w:type="dxa"/>
              <w:right w:w="108" w:type="dxa"/>
            </w:tcMar>
            <w:vAlign w:val="center"/>
          </w:tcPr>
          <w:p w14:paraId="7949C3ED" w14:textId="77777777" w:rsidR="00E2685B" w:rsidRPr="00662906" w:rsidRDefault="00E2685B" w:rsidP="008D2D49">
            <w:r w:rsidRPr="00662906">
              <w:t>Date</w:t>
            </w:r>
          </w:p>
        </w:tc>
        <w:tc>
          <w:tcPr>
            <w:tcW w:w="7544" w:type="dxa"/>
            <w:tcMar>
              <w:top w:w="57" w:type="dxa"/>
              <w:left w:w="108" w:type="dxa"/>
              <w:bottom w:w="57" w:type="dxa"/>
              <w:right w:w="108" w:type="dxa"/>
            </w:tcMar>
            <w:vAlign w:val="center"/>
          </w:tcPr>
          <w:p w14:paraId="1DEE61D2" w14:textId="5E861A8E" w:rsidR="00E2685B" w:rsidRPr="00662906" w:rsidRDefault="00F2725E" w:rsidP="008D2D49">
            <w:r w:rsidRPr="00662906">
              <w:t>06</w:t>
            </w:r>
            <w:r w:rsidR="00A85157" w:rsidRPr="00662906">
              <w:t>/</w:t>
            </w:r>
            <w:r w:rsidR="00EE2BAD" w:rsidRPr="00662906">
              <w:t>0</w:t>
            </w:r>
            <w:r w:rsidR="003E3484" w:rsidRPr="00662906">
              <w:t>5</w:t>
            </w:r>
            <w:r w:rsidR="2F0D270F" w:rsidRPr="00662906">
              <w:t>/</w:t>
            </w:r>
            <w:r w:rsidR="72399F35" w:rsidRPr="00662906">
              <w:t>202</w:t>
            </w:r>
            <w:r w:rsidR="00EE2BAD" w:rsidRPr="00662906">
              <w:t>5</w:t>
            </w:r>
          </w:p>
        </w:tc>
      </w:tr>
      <w:tr w:rsidR="00E2685B" w:rsidRPr="00662906" w14:paraId="4C719A2F" w14:textId="77777777" w:rsidTr="5C88E6D1">
        <w:trPr>
          <w:trHeight w:val="2480"/>
          <w:jc w:val="center"/>
        </w:trPr>
        <w:tc>
          <w:tcPr>
            <w:tcW w:w="1816" w:type="dxa"/>
            <w:shd w:val="clear" w:color="auto" w:fill="FFFFFF" w:themeFill="background2"/>
            <w:tcMar>
              <w:top w:w="57" w:type="dxa"/>
              <w:left w:w="108" w:type="dxa"/>
              <w:bottom w:w="57" w:type="dxa"/>
              <w:right w:w="108" w:type="dxa"/>
            </w:tcMar>
            <w:vAlign w:val="center"/>
          </w:tcPr>
          <w:p w14:paraId="68C8D18F" w14:textId="77777777" w:rsidR="00E2685B" w:rsidRPr="00662906" w:rsidRDefault="00E2685B" w:rsidP="008D2D49">
            <w:r w:rsidRPr="00662906">
              <w:t>Prepared By</w:t>
            </w:r>
          </w:p>
        </w:tc>
        <w:tc>
          <w:tcPr>
            <w:tcW w:w="7544" w:type="dxa"/>
            <w:tcMar>
              <w:top w:w="57" w:type="dxa"/>
              <w:left w:w="108" w:type="dxa"/>
              <w:bottom w:w="57" w:type="dxa"/>
              <w:right w:w="108" w:type="dxa"/>
            </w:tcMar>
            <w:vAlign w:val="center"/>
          </w:tcPr>
          <w:p w14:paraId="7B1C4186" w14:textId="59B5A0D6" w:rsidR="00E2685B" w:rsidRPr="00662906" w:rsidRDefault="005C3A9D" w:rsidP="008D2D49">
            <w:r w:rsidRPr="00662906">
              <w:t>Key Expert (</w:t>
            </w:r>
            <w:r w:rsidR="00E2685B" w:rsidRPr="00662906">
              <w:t>K</w:t>
            </w:r>
            <w:r w:rsidR="00C324D6" w:rsidRPr="00662906">
              <w:t>E</w:t>
            </w:r>
            <w:r w:rsidRPr="00662906">
              <w:t>)</w:t>
            </w:r>
            <w:r w:rsidR="00E2685B" w:rsidRPr="00662906">
              <w:t>1: Peter ZHOU</w:t>
            </w:r>
          </w:p>
          <w:p w14:paraId="060AA513" w14:textId="33CB7CFF" w:rsidR="00E2685B" w:rsidRPr="00662906" w:rsidRDefault="00E2685B" w:rsidP="008D2D49">
            <w:r w:rsidRPr="00662906">
              <w:t>K</w:t>
            </w:r>
            <w:r w:rsidR="00C324D6" w:rsidRPr="00662906">
              <w:t>E</w:t>
            </w:r>
            <w:r w:rsidRPr="00662906">
              <w:t>-2: George KYRIAKARAKOS</w:t>
            </w:r>
          </w:p>
          <w:p w14:paraId="616B72E3" w14:textId="20870E64" w:rsidR="00E2685B" w:rsidRPr="00662906" w:rsidRDefault="00E2685B" w:rsidP="008D2D49">
            <w:r w:rsidRPr="00662906">
              <w:t>K</w:t>
            </w:r>
            <w:r w:rsidR="00C324D6" w:rsidRPr="00662906">
              <w:t>E</w:t>
            </w:r>
            <w:r w:rsidRPr="00662906">
              <w:t>-3: George GIANNAKIDIS</w:t>
            </w:r>
          </w:p>
          <w:p w14:paraId="72235603" w14:textId="783FDE4D" w:rsidR="00E2685B" w:rsidRPr="00662906" w:rsidRDefault="00E2685B" w:rsidP="008D2D49">
            <w:r w:rsidRPr="00662906">
              <w:t>K</w:t>
            </w:r>
            <w:r w:rsidR="00C324D6" w:rsidRPr="00662906">
              <w:t>E</w:t>
            </w:r>
            <w:r w:rsidRPr="00662906">
              <w:t>-4: Pascal AUGAREILS</w:t>
            </w:r>
          </w:p>
          <w:p w14:paraId="2095A53B" w14:textId="5985278A" w:rsidR="7A9C1923" w:rsidRPr="00662906" w:rsidRDefault="005C3A9D" w:rsidP="2243435D">
            <w:r w:rsidRPr="00662906">
              <w:t>Non-Key Expert (</w:t>
            </w:r>
            <w:r w:rsidR="7A9C1923" w:rsidRPr="00662906">
              <w:t>NKE</w:t>
            </w:r>
            <w:r w:rsidRPr="00662906">
              <w:t>)</w:t>
            </w:r>
            <w:r w:rsidR="7A9C1923" w:rsidRPr="00662906">
              <w:t>-1</w:t>
            </w:r>
            <w:r w:rsidR="398B1EEF" w:rsidRPr="00662906">
              <w:t>:</w:t>
            </w:r>
            <w:r w:rsidR="00513666" w:rsidRPr="00662906">
              <w:t xml:space="preserve"> </w:t>
            </w:r>
            <w:r w:rsidR="398B1EEF" w:rsidRPr="00662906">
              <w:t>Rachid B</w:t>
            </w:r>
            <w:r w:rsidR="53E77F6A" w:rsidRPr="00662906">
              <w:t>EN DALY</w:t>
            </w:r>
          </w:p>
          <w:p w14:paraId="47867268" w14:textId="67171E88" w:rsidR="7A9C1923" w:rsidRPr="00662906" w:rsidRDefault="7A9C1923" w:rsidP="2243435D">
            <w:r w:rsidRPr="00662906">
              <w:t>NKE-2</w:t>
            </w:r>
            <w:r w:rsidR="6BEDA170" w:rsidRPr="00662906">
              <w:t>: Goodman K</w:t>
            </w:r>
            <w:r w:rsidR="32461E4F" w:rsidRPr="00662906">
              <w:t>AZOORA</w:t>
            </w:r>
          </w:p>
          <w:p w14:paraId="50A7B257" w14:textId="78CB1DAB" w:rsidR="00E2685B" w:rsidRPr="00662906" w:rsidRDefault="7A9C1923" w:rsidP="008D2D49">
            <w:r w:rsidRPr="00662906">
              <w:t>NKE-3</w:t>
            </w:r>
            <w:r w:rsidR="20FA3358" w:rsidRPr="00662906">
              <w:t>: Francis DANGARE</w:t>
            </w:r>
          </w:p>
        </w:tc>
      </w:tr>
      <w:tr w:rsidR="00E2685B" w:rsidRPr="00662906" w14:paraId="2889514C" w14:textId="77777777" w:rsidTr="5C88E6D1">
        <w:trPr>
          <w:trHeight w:val="950"/>
          <w:jc w:val="center"/>
        </w:trPr>
        <w:tc>
          <w:tcPr>
            <w:tcW w:w="1816" w:type="dxa"/>
            <w:shd w:val="clear" w:color="auto" w:fill="FFFFFF" w:themeFill="background2"/>
            <w:tcMar>
              <w:top w:w="57" w:type="dxa"/>
              <w:left w:w="108" w:type="dxa"/>
              <w:bottom w:w="57" w:type="dxa"/>
              <w:right w:w="108" w:type="dxa"/>
            </w:tcMar>
            <w:vAlign w:val="center"/>
          </w:tcPr>
          <w:p w14:paraId="3D34CA1A" w14:textId="77777777" w:rsidR="00E2685B" w:rsidRPr="00662906" w:rsidRDefault="00E2685B" w:rsidP="008D2D49">
            <w:r w:rsidRPr="00662906">
              <w:t>Reviewer</w:t>
            </w:r>
          </w:p>
        </w:tc>
        <w:tc>
          <w:tcPr>
            <w:tcW w:w="7544" w:type="dxa"/>
            <w:tcMar>
              <w:top w:w="57" w:type="dxa"/>
              <w:left w:w="108" w:type="dxa"/>
              <w:bottom w:w="57" w:type="dxa"/>
              <w:right w:w="108" w:type="dxa"/>
            </w:tcMar>
            <w:vAlign w:val="center"/>
          </w:tcPr>
          <w:p w14:paraId="2660B0DD" w14:textId="16CDB403" w:rsidR="00E2685B" w:rsidRPr="00662906" w:rsidRDefault="00B66F94" w:rsidP="008D2D49">
            <w:r w:rsidRPr="00662906">
              <w:t>Project Managers (</w:t>
            </w:r>
            <w:r w:rsidR="00E2685B" w:rsidRPr="00662906">
              <w:t>PM</w:t>
            </w:r>
            <w:r w:rsidRPr="00662906">
              <w:t>)</w:t>
            </w:r>
            <w:r w:rsidR="00E2685B" w:rsidRPr="00662906">
              <w:t>: Alba MERILLAS DOCHAO</w:t>
            </w:r>
          </w:p>
          <w:p w14:paraId="2D3A16CC" w14:textId="588F07B1" w:rsidR="005C5546" w:rsidRPr="00662906" w:rsidRDefault="005C5546" w:rsidP="008D2D49">
            <w:r w:rsidRPr="00662906">
              <w:t>Technical Advisor: Alexandros GRIVAS</w:t>
            </w:r>
          </w:p>
        </w:tc>
      </w:tr>
    </w:tbl>
    <w:p w14:paraId="58B232A6" w14:textId="5FDE029C" w:rsidR="309563B9" w:rsidRPr="00662906" w:rsidRDefault="309563B9"/>
    <w:p w14:paraId="169CDCDA" w14:textId="77777777" w:rsidR="002663C2" w:rsidRPr="00662906" w:rsidRDefault="002663C2" w:rsidP="008F050A">
      <w:pPr>
        <w:spacing w:before="80" w:after="80"/>
        <w:rPr>
          <w:b/>
          <w:bCs/>
          <w:color w:val="348F41" w:themeColor="text1"/>
          <w:sz w:val="24"/>
          <w:szCs w:val="24"/>
        </w:rPr>
      </w:pPr>
    </w:p>
    <w:p w14:paraId="2D038C09" w14:textId="0A01898D" w:rsidR="001246D0" w:rsidRPr="00662906" w:rsidRDefault="001246D0" w:rsidP="008F050A">
      <w:pPr>
        <w:spacing w:before="80" w:after="80"/>
        <w:rPr>
          <w:b/>
          <w:bCs/>
          <w:color w:val="348F41" w:themeColor="text1"/>
          <w:sz w:val="24"/>
          <w:szCs w:val="24"/>
        </w:rPr>
        <w:sectPr w:rsidR="001246D0" w:rsidRPr="00662906" w:rsidSect="00A37F01">
          <w:headerReference w:type="default" r:id="rId16"/>
          <w:footerReference w:type="default" r:id="rId17"/>
          <w:headerReference w:type="first" r:id="rId18"/>
          <w:footerReference w:type="first" r:id="rId19"/>
          <w:pgSz w:w="11906" w:h="16838"/>
          <w:pgMar w:top="1440" w:right="1440" w:bottom="1440" w:left="1440" w:header="720" w:footer="720" w:gutter="0"/>
          <w:pgNumType w:fmt="lowerRoman" w:start="1"/>
          <w:cols w:space="720"/>
          <w:titlePg/>
          <w:docGrid w:linePitch="360"/>
        </w:sectPr>
      </w:pPr>
    </w:p>
    <w:bookmarkStart w:id="1" w:name="_Toc176430207" w:displacedByCustomXml="next"/>
    <w:bookmarkStart w:id="2" w:name="_Toc176341814" w:displacedByCustomXml="next"/>
    <w:bookmarkStart w:id="3" w:name="_Toc176191094" w:displacedByCustomXml="next"/>
    <w:bookmarkStart w:id="4" w:name="_Toc176190922" w:displacedByCustomXml="next"/>
    <w:bookmarkStart w:id="5" w:name="_Toc171955498" w:displacedByCustomXml="next"/>
    <w:bookmarkStart w:id="6" w:name="_Toc176430264" w:displacedByCustomXml="next"/>
    <w:bookmarkStart w:id="7" w:name="_Toc176441397" w:displacedByCustomXml="next"/>
    <w:bookmarkStart w:id="8" w:name="_Toc170902819" w:displacedByCustomXml="next"/>
    <w:sdt>
      <w:sdtPr>
        <w:rPr>
          <w:rFonts w:ascii="Arial" w:hAnsi="Arial" w:cs="ArialMT"/>
          <w:b w:val="0"/>
          <w:bCs w:val="0"/>
          <w:caps w:val="0"/>
        </w:rPr>
        <w:id w:val="1673071184"/>
        <w:docPartObj>
          <w:docPartGallery w:val="Table of Contents"/>
          <w:docPartUnique/>
        </w:docPartObj>
      </w:sdtPr>
      <w:sdtContent>
        <w:p w14:paraId="5BCBC8DD" w14:textId="2D970F1C" w:rsidR="00813F48" w:rsidRPr="00662906" w:rsidRDefault="00813F48" w:rsidP="00813F48">
          <w:pPr>
            <w:pStyle w:val="TOC1"/>
            <w:tabs>
              <w:tab w:val="right" w:leader="dot" w:pos="9016"/>
            </w:tabs>
            <w:spacing w:before="40" w:after="40"/>
            <w:rPr>
              <w:rFonts w:ascii="Arial" w:hAnsi="Arial" w:cs="Arial"/>
              <w:caps w:val="0"/>
              <w:color w:val="348F41" w:themeColor="text1"/>
              <w:sz w:val="26"/>
            </w:rPr>
          </w:pPr>
          <w:r w:rsidRPr="00662906">
            <w:rPr>
              <w:rFonts w:ascii="Arial" w:hAnsi="Arial" w:cs="Arial"/>
              <w:caps w:val="0"/>
              <w:color w:val="348F41" w:themeColor="text1"/>
              <w:sz w:val="26"/>
            </w:rPr>
            <w:t>Table of Contents</w:t>
          </w:r>
        </w:p>
        <w:p w14:paraId="662B0E74" w14:textId="1F9A3584" w:rsidR="00F7188C" w:rsidRPr="00662906" w:rsidRDefault="007613C5">
          <w:pPr>
            <w:pStyle w:val="TOC1"/>
            <w:tabs>
              <w:tab w:val="right" w:leader="dot" w:pos="9016"/>
            </w:tabs>
            <w:rPr>
              <w:rFonts w:eastAsiaTheme="minorEastAsia" w:cstheme="minorBidi"/>
              <w:b w:val="0"/>
              <w:bCs w:val="0"/>
              <w:caps w:val="0"/>
              <w:noProof/>
              <w:color w:val="auto"/>
              <w:kern w:val="2"/>
              <w:sz w:val="24"/>
              <w:szCs w:val="24"/>
              <w:lang w:eastAsia="en-GB"/>
              <w14:ligatures w14:val="standardContextual"/>
            </w:rPr>
          </w:pPr>
          <w:r w:rsidRPr="00662906">
            <w:rPr>
              <w:rFonts w:ascii="Arial" w:hAnsi="Arial" w:cs="Arial"/>
            </w:rPr>
            <w:fldChar w:fldCharType="begin"/>
          </w:r>
          <w:r w:rsidRPr="00662906">
            <w:rPr>
              <w:rFonts w:ascii="Arial" w:hAnsi="Arial" w:cs="Arial"/>
            </w:rPr>
            <w:instrText xml:space="preserve"> TOC \o "1-3" \h \z \u </w:instrText>
          </w:r>
          <w:r w:rsidRPr="00662906">
            <w:rPr>
              <w:rFonts w:ascii="Arial" w:hAnsi="Arial" w:cs="Arial"/>
            </w:rPr>
            <w:fldChar w:fldCharType="separate"/>
          </w:r>
          <w:hyperlink w:anchor="_Toc197433800" w:history="1">
            <w:r w:rsidR="00F7188C" w:rsidRPr="00662906">
              <w:rPr>
                <w:rStyle w:val="Hyperlink"/>
                <w:noProof/>
              </w:rPr>
              <w:t>List of Acronyms</w:t>
            </w:r>
            <w:r w:rsidR="00F7188C" w:rsidRPr="00662906">
              <w:rPr>
                <w:noProof/>
                <w:webHidden/>
              </w:rPr>
              <w:tab/>
            </w:r>
            <w:r w:rsidR="00F7188C" w:rsidRPr="00662906">
              <w:rPr>
                <w:noProof/>
                <w:webHidden/>
              </w:rPr>
              <w:fldChar w:fldCharType="begin"/>
            </w:r>
            <w:r w:rsidR="00F7188C" w:rsidRPr="00662906">
              <w:rPr>
                <w:noProof/>
                <w:webHidden/>
              </w:rPr>
              <w:instrText xml:space="preserve"> PAGEREF _Toc197433800 \h </w:instrText>
            </w:r>
            <w:r w:rsidR="00F7188C" w:rsidRPr="00662906">
              <w:rPr>
                <w:noProof/>
                <w:webHidden/>
              </w:rPr>
            </w:r>
            <w:r w:rsidR="00F7188C" w:rsidRPr="00662906">
              <w:rPr>
                <w:noProof/>
                <w:webHidden/>
              </w:rPr>
              <w:fldChar w:fldCharType="separate"/>
            </w:r>
            <w:r w:rsidR="00610F61">
              <w:rPr>
                <w:noProof/>
                <w:webHidden/>
              </w:rPr>
              <w:t>i</w:t>
            </w:r>
            <w:r w:rsidR="00F7188C" w:rsidRPr="00662906">
              <w:rPr>
                <w:noProof/>
                <w:webHidden/>
              </w:rPr>
              <w:fldChar w:fldCharType="end"/>
            </w:r>
          </w:hyperlink>
        </w:p>
        <w:p w14:paraId="1CD6720D" w14:textId="4E27B08D" w:rsidR="00F7188C" w:rsidRPr="00662906" w:rsidRDefault="00F7188C">
          <w:pPr>
            <w:pStyle w:val="TOC1"/>
            <w:tabs>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01" w:history="1">
            <w:r w:rsidRPr="00662906">
              <w:rPr>
                <w:rStyle w:val="Hyperlink"/>
                <w:noProof/>
              </w:rPr>
              <w:t>Glossary and Definitions</w:t>
            </w:r>
            <w:r w:rsidRPr="00662906">
              <w:rPr>
                <w:noProof/>
                <w:webHidden/>
              </w:rPr>
              <w:tab/>
            </w:r>
            <w:r w:rsidRPr="00662906">
              <w:rPr>
                <w:noProof/>
                <w:webHidden/>
              </w:rPr>
              <w:fldChar w:fldCharType="begin"/>
            </w:r>
            <w:r w:rsidRPr="00662906">
              <w:rPr>
                <w:noProof/>
                <w:webHidden/>
              </w:rPr>
              <w:instrText xml:space="preserve"> PAGEREF _Toc197433801 \h </w:instrText>
            </w:r>
            <w:r w:rsidRPr="00662906">
              <w:rPr>
                <w:noProof/>
                <w:webHidden/>
              </w:rPr>
            </w:r>
            <w:r w:rsidRPr="00662906">
              <w:rPr>
                <w:noProof/>
                <w:webHidden/>
              </w:rPr>
              <w:fldChar w:fldCharType="separate"/>
            </w:r>
            <w:r w:rsidR="00610F61">
              <w:rPr>
                <w:noProof/>
                <w:webHidden/>
              </w:rPr>
              <w:t>vi</w:t>
            </w:r>
            <w:r w:rsidRPr="00662906">
              <w:rPr>
                <w:noProof/>
                <w:webHidden/>
              </w:rPr>
              <w:fldChar w:fldCharType="end"/>
            </w:r>
          </w:hyperlink>
        </w:p>
        <w:p w14:paraId="69E22480" w14:textId="7A6F65BE" w:rsidR="00F7188C" w:rsidRPr="00662906" w:rsidRDefault="00F7188C">
          <w:pPr>
            <w:pStyle w:val="TOC1"/>
            <w:tabs>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02" w:history="1">
            <w:r w:rsidRPr="00662906">
              <w:rPr>
                <w:rStyle w:val="Hyperlink"/>
                <w:noProof/>
              </w:rPr>
              <w:t>Executive Summary</w:t>
            </w:r>
            <w:r w:rsidRPr="00662906">
              <w:rPr>
                <w:noProof/>
                <w:webHidden/>
              </w:rPr>
              <w:tab/>
            </w:r>
            <w:r w:rsidRPr="00662906">
              <w:rPr>
                <w:noProof/>
                <w:webHidden/>
              </w:rPr>
              <w:fldChar w:fldCharType="begin"/>
            </w:r>
            <w:r w:rsidRPr="00662906">
              <w:rPr>
                <w:noProof/>
                <w:webHidden/>
              </w:rPr>
              <w:instrText xml:space="preserve"> PAGEREF _Toc197433802 \h </w:instrText>
            </w:r>
            <w:r w:rsidRPr="00662906">
              <w:rPr>
                <w:noProof/>
                <w:webHidden/>
              </w:rPr>
            </w:r>
            <w:r w:rsidRPr="00662906">
              <w:rPr>
                <w:noProof/>
                <w:webHidden/>
              </w:rPr>
              <w:fldChar w:fldCharType="separate"/>
            </w:r>
            <w:r w:rsidR="00610F61">
              <w:rPr>
                <w:noProof/>
                <w:webHidden/>
              </w:rPr>
              <w:t>ix</w:t>
            </w:r>
            <w:r w:rsidRPr="00662906">
              <w:rPr>
                <w:noProof/>
                <w:webHidden/>
              </w:rPr>
              <w:fldChar w:fldCharType="end"/>
            </w:r>
          </w:hyperlink>
        </w:p>
        <w:p w14:paraId="239F4327" w14:textId="59355B0F"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03" w:history="1">
            <w:r w:rsidRPr="00662906">
              <w:rPr>
                <w:rStyle w:val="Hyperlink"/>
                <w:noProof/>
              </w:rPr>
              <w:t>1.</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INTRODUCTION AND CONTEXT</w:t>
            </w:r>
            <w:r w:rsidRPr="00662906">
              <w:rPr>
                <w:noProof/>
                <w:webHidden/>
              </w:rPr>
              <w:tab/>
            </w:r>
            <w:r w:rsidRPr="00662906">
              <w:rPr>
                <w:noProof/>
                <w:webHidden/>
              </w:rPr>
              <w:fldChar w:fldCharType="begin"/>
            </w:r>
            <w:r w:rsidRPr="00662906">
              <w:rPr>
                <w:noProof/>
                <w:webHidden/>
              </w:rPr>
              <w:instrText xml:space="preserve"> PAGEREF _Toc197433803 \h </w:instrText>
            </w:r>
            <w:r w:rsidRPr="00662906">
              <w:rPr>
                <w:noProof/>
                <w:webHidden/>
              </w:rPr>
            </w:r>
            <w:r w:rsidRPr="00662906">
              <w:rPr>
                <w:noProof/>
                <w:webHidden/>
              </w:rPr>
              <w:fldChar w:fldCharType="separate"/>
            </w:r>
            <w:r w:rsidR="00610F61">
              <w:rPr>
                <w:noProof/>
                <w:webHidden/>
              </w:rPr>
              <w:t>23</w:t>
            </w:r>
            <w:r w:rsidRPr="00662906">
              <w:rPr>
                <w:noProof/>
                <w:webHidden/>
              </w:rPr>
              <w:fldChar w:fldCharType="end"/>
            </w:r>
          </w:hyperlink>
        </w:p>
        <w:p w14:paraId="2FE0044A" w14:textId="0514E5C0"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04" w:history="1">
            <w:r w:rsidRPr="00662906">
              <w:rPr>
                <w:rStyle w:val="Hyperlink"/>
                <w:bCs/>
                <w:noProof/>
              </w:rPr>
              <w:t>1.1.</w:t>
            </w:r>
            <w:r w:rsidRPr="00662906">
              <w:rPr>
                <w:rStyle w:val="Hyperlink"/>
                <w:noProof/>
              </w:rPr>
              <w:t xml:space="preserve"> Background</w:t>
            </w:r>
            <w:r w:rsidRPr="00662906">
              <w:rPr>
                <w:noProof/>
                <w:webHidden/>
              </w:rPr>
              <w:tab/>
            </w:r>
            <w:r w:rsidRPr="00662906">
              <w:rPr>
                <w:noProof/>
                <w:webHidden/>
              </w:rPr>
              <w:fldChar w:fldCharType="begin"/>
            </w:r>
            <w:r w:rsidRPr="00662906">
              <w:rPr>
                <w:noProof/>
                <w:webHidden/>
              </w:rPr>
              <w:instrText xml:space="preserve"> PAGEREF _Toc197433804 \h </w:instrText>
            </w:r>
            <w:r w:rsidRPr="00662906">
              <w:rPr>
                <w:noProof/>
                <w:webHidden/>
              </w:rPr>
            </w:r>
            <w:r w:rsidRPr="00662906">
              <w:rPr>
                <w:noProof/>
                <w:webHidden/>
              </w:rPr>
              <w:fldChar w:fldCharType="separate"/>
            </w:r>
            <w:r w:rsidR="00610F61">
              <w:rPr>
                <w:noProof/>
                <w:webHidden/>
              </w:rPr>
              <w:t>23</w:t>
            </w:r>
            <w:r w:rsidRPr="00662906">
              <w:rPr>
                <w:noProof/>
                <w:webHidden/>
              </w:rPr>
              <w:fldChar w:fldCharType="end"/>
            </w:r>
          </w:hyperlink>
        </w:p>
        <w:p w14:paraId="40114B8C" w14:textId="69136808"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05" w:history="1">
            <w:r w:rsidRPr="00662906">
              <w:rPr>
                <w:rStyle w:val="Hyperlink"/>
                <w:bCs/>
                <w:noProof/>
              </w:rPr>
              <w:t>1.2.</w:t>
            </w:r>
            <w:r w:rsidRPr="00662906">
              <w:rPr>
                <w:rStyle w:val="Hyperlink"/>
                <w:noProof/>
              </w:rPr>
              <w:t xml:space="preserve"> Rationale</w:t>
            </w:r>
            <w:r w:rsidRPr="00662906">
              <w:rPr>
                <w:noProof/>
                <w:webHidden/>
              </w:rPr>
              <w:tab/>
            </w:r>
            <w:r w:rsidRPr="00662906">
              <w:rPr>
                <w:noProof/>
                <w:webHidden/>
              </w:rPr>
              <w:fldChar w:fldCharType="begin"/>
            </w:r>
            <w:r w:rsidRPr="00662906">
              <w:rPr>
                <w:noProof/>
                <w:webHidden/>
              </w:rPr>
              <w:instrText xml:space="preserve"> PAGEREF _Toc197433805 \h </w:instrText>
            </w:r>
            <w:r w:rsidRPr="00662906">
              <w:rPr>
                <w:noProof/>
                <w:webHidden/>
              </w:rPr>
            </w:r>
            <w:r w:rsidRPr="00662906">
              <w:rPr>
                <w:noProof/>
                <w:webHidden/>
              </w:rPr>
              <w:fldChar w:fldCharType="separate"/>
            </w:r>
            <w:r w:rsidR="00610F61">
              <w:rPr>
                <w:noProof/>
                <w:webHidden/>
              </w:rPr>
              <w:t>24</w:t>
            </w:r>
            <w:r w:rsidRPr="00662906">
              <w:rPr>
                <w:noProof/>
                <w:webHidden/>
              </w:rPr>
              <w:fldChar w:fldCharType="end"/>
            </w:r>
          </w:hyperlink>
        </w:p>
        <w:p w14:paraId="728C0A54" w14:textId="71DF6BBF"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06" w:history="1">
            <w:r w:rsidRPr="00662906">
              <w:rPr>
                <w:rStyle w:val="Hyperlink"/>
                <w:noProof/>
              </w:rPr>
              <w:t>1.2.1. What is the Problem? Addressing Africa’s Energy and Climate Gaps</w:t>
            </w:r>
            <w:r w:rsidRPr="00662906">
              <w:rPr>
                <w:noProof/>
                <w:webHidden/>
              </w:rPr>
              <w:tab/>
            </w:r>
            <w:r w:rsidRPr="00662906">
              <w:rPr>
                <w:noProof/>
                <w:webHidden/>
              </w:rPr>
              <w:fldChar w:fldCharType="begin"/>
            </w:r>
            <w:r w:rsidRPr="00662906">
              <w:rPr>
                <w:noProof/>
                <w:webHidden/>
              </w:rPr>
              <w:instrText xml:space="preserve"> PAGEREF _Toc197433806 \h </w:instrText>
            </w:r>
            <w:r w:rsidRPr="00662906">
              <w:rPr>
                <w:noProof/>
                <w:webHidden/>
              </w:rPr>
            </w:r>
            <w:r w:rsidRPr="00662906">
              <w:rPr>
                <w:noProof/>
                <w:webHidden/>
              </w:rPr>
              <w:fldChar w:fldCharType="separate"/>
            </w:r>
            <w:r w:rsidR="00610F61">
              <w:rPr>
                <w:noProof/>
                <w:webHidden/>
              </w:rPr>
              <w:t>24</w:t>
            </w:r>
            <w:r w:rsidRPr="00662906">
              <w:rPr>
                <w:noProof/>
                <w:webHidden/>
              </w:rPr>
              <w:fldChar w:fldCharType="end"/>
            </w:r>
          </w:hyperlink>
        </w:p>
        <w:p w14:paraId="01753BDE" w14:textId="51FC2A01"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07" w:history="1">
            <w:r w:rsidRPr="00662906">
              <w:rPr>
                <w:rStyle w:val="Hyperlink"/>
                <w:noProof/>
              </w:rPr>
              <w:t>1.2.2. Why Does It Matter? Energy as the Engine of Transformation</w:t>
            </w:r>
            <w:r w:rsidRPr="00662906">
              <w:rPr>
                <w:noProof/>
                <w:webHidden/>
              </w:rPr>
              <w:tab/>
            </w:r>
            <w:r w:rsidRPr="00662906">
              <w:rPr>
                <w:noProof/>
                <w:webHidden/>
              </w:rPr>
              <w:fldChar w:fldCharType="begin"/>
            </w:r>
            <w:r w:rsidRPr="00662906">
              <w:rPr>
                <w:noProof/>
                <w:webHidden/>
              </w:rPr>
              <w:instrText xml:space="preserve"> PAGEREF _Toc197433807 \h </w:instrText>
            </w:r>
            <w:r w:rsidRPr="00662906">
              <w:rPr>
                <w:noProof/>
                <w:webHidden/>
              </w:rPr>
            </w:r>
            <w:r w:rsidRPr="00662906">
              <w:rPr>
                <w:noProof/>
                <w:webHidden/>
              </w:rPr>
              <w:fldChar w:fldCharType="separate"/>
            </w:r>
            <w:r w:rsidR="00610F61">
              <w:rPr>
                <w:noProof/>
                <w:webHidden/>
              </w:rPr>
              <w:t>24</w:t>
            </w:r>
            <w:r w:rsidRPr="00662906">
              <w:rPr>
                <w:noProof/>
                <w:webHidden/>
              </w:rPr>
              <w:fldChar w:fldCharType="end"/>
            </w:r>
          </w:hyperlink>
        </w:p>
        <w:p w14:paraId="0986772A" w14:textId="3DFA68FC"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08" w:history="1">
            <w:r w:rsidRPr="00662906">
              <w:rPr>
                <w:rStyle w:val="Hyperlink"/>
                <w:noProof/>
              </w:rPr>
              <w:t>1.2.3. How Will We Address It? The Role of ETSAP</w:t>
            </w:r>
            <w:r w:rsidRPr="00662906">
              <w:rPr>
                <w:noProof/>
                <w:webHidden/>
              </w:rPr>
              <w:tab/>
            </w:r>
            <w:r w:rsidRPr="00662906">
              <w:rPr>
                <w:noProof/>
                <w:webHidden/>
              </w:rPr>
              <w:fldChar w:fldCharType="begin"/>
            </w:r>
            <w:r w:rsidRPr="00662906">
              <w:rPr>
                <w:noProof/>
                <w:webHidden/>
              </w:rPr>
              <w:instrText xml:space="preserve"> PAGEREF _Toc197433808 \h </w:instrText>
            </w:r>
            <w:r w:rsidRPr="00662906">
              <w:rPr>
                <w:noProof/>
                <w:webHidden/>
              </w:rPr>
            </w:r>
            <w:r w:rsidRPr="00662906">
              <w:rPr>
                <w:noProof/>
                <w:webHidden/>
              </w:rPr>
              <w:fldChar w:fldCharType="separate"/>
            </w:r>
            <w:r w:rsidR="00610F61">
              <w:rPr>
                <w:noProof/>
                <w:webHidden/>
              </w:rPr>
              <w:t>25</w:t>
            </w:r>
            <w:r w:rsidRPr="00662906">
              <w:rPr>
                <w:noProof/>
                <w:webHidden/>
              </w:rPr>
              <w:fldChar w:fldCharType="end"/>
            </w:r>
          </w:hyperlink>
        </w:p>
        <w:p w14:paraId="06962CA0" w14:textId="1E840BE9"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09" w:history="1">
            <w:r w:rsidRPr="00662906">
              <w:rPr>
                <w:rStyle w:val="Hyperlink"/>
                <w:bCs/>
                <w:noProof/>
              </w:rPr>
              <w:t>1.3.</w:t>
            </w:r>
            <w:r w:rsidRPr="00662906">
              <w:rPr>
                <w:rStyle w:val="Hyperlink"/>
                <w:noProof/>
              </w:rPr>
              <w:t xml:space="preserve"> ETSAP Design Framework</w:t>
            </w:r>
            <w:r w:rsidRPr="00662906">
              <w:rPr>
                <w:noProof/>
                <w:webHidden/>
              </w:rPr>
              <w:tab/>
            </w:r>
            <w:r w:rsidRPr="00662906">
              <w:rPr>
                <w:noProof/>
                <w:webHidden/>
              </w:rPr>
              <w:fldChar w:fldCharType="begin"/>
            </w:r>
            <w:r w:rsidRPr="00662906">
              <w:rPr>
                <w:noProof/>
                <w:webHidden/>
              </w:rPr>
              <w:instrText xml:space="preserve"> PAGEREF _Toc197433809 \h </w:instrText>
            </w:r>
            <w:r w:rsidRPr="00662906">
              <w:rPr>
                <w:noProof/>
                <w:webHidden/>
              </w:rPr>
            </w:r>
            <w:r w:rsidRPr="00662906">
              <w:rPr>
                <w:noProof/>
                <w:webHidden/>
              </w:rPr>
              <w:fldChar w:fldCharType="separate"/>
            </w:r>
            <w:r w:rsidR="00610F61">
              <w:rPr>
                <w:noProof/>
                <w:webHidden/>
              </w:rPr>
              <w:t>25</w:t>
            </w:r>
            <w:r w:rsidRPr="00662906">
              <w:rPr>
                <w:noProof/>
                <w:webHidden/>
              </w:rPr>
              <w:fldChar w:fldCharType="end"/>
            </w:r>
          </w:hyperlink>
        </w:p>
        <w:p w14:paraId="4A3AB51A" w14:textId="3394E053"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10" w:history="1">
            <w:r w:rsidRPr="00662906">
              <w:rPr>
                <w:rStyle w:val="Hyperlink"/>
                <w:bCs/>
                <w:noProof/>
              </w:rPr>
              <w:t>1.4.</w:t>
            </w:r>
            <w:r w:rsidRPr="00662906">
              <w:rPr>
                <w:rStyle w:val="Hyperlink"/>
                <w:noProof/>
              </w:rPr>
              <w:t xml:space="preserve"> ETSAP Outline</w:t>
            </w:r>
            <w:r w:rsidRPr="00662906">
              <w:rPr>
                <w:noProof/>
                <w:webHidden/>
              </w:rPr>
              <w:tab/>
            </w:r>
            <w:r w:rsidRPr="00662906">
              <w:rPr>
                <w:noProof/>
                <w:webHidden/>
              </w:rPr>
              <w:fldChar w:fldCharType="begin"/>
            </w:r>
            <w:r w:rsidRPr="00662906">
              <w:rPr>
                <w:noProof/>
                <w:webHidden/>
              </w:rPr>
              <w:instrText xml:space="preserve"> PAGEREF _Toc197433810 \h </w:instrText>
            </w:r>
            <w:r w:rsidRPr="00662906">
              <w:rPr>
                <w:noProof/>
                <w:webHidden/>
              </w:rPr>
            </w:r>
            <w:r w:rsidRPr="00662906">
              <w:rPr>
                <w:noProof/>
                <w:webHidden/>
              </w:rPr>
              <w:fldChar w:fldCharType="separate"/>
            </w:r>
            <w:r w:rsidR="00610F61">
              <w:rPr>
                <w:noProof/>
                <w:webHidden/>
              </w:rPr>
              <w:t>26</w:t>
            </w:r>
            <w:r w:rsidRPr="00662906">
              <w:rPr>
                <w:noProof/>
                <w:webHidden/>
              </w:rPr>
              <w:fldChar w:fldCharType="end"/>
            </w:r>
          </w:hyperlink>
        </w:p>
        <w:p w14:paraId="494286C4" w14:textId="39859499"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11" w:history="1">
            <w:r w:rsidRPr="00662906">
              <w:rPr>
                <w:rStyle w:val="Hyperlink"/>
                <w:noProof/>
              </w:rPr>
              <w:t>2.</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CURRENT SITUATION, PROJECTION, GAPS AND BARRIERS</w:t>
            </w:r>
            <w:r w:rsidRPr="00662906">
              <w:rPr>
                <w:noProof/>
                <w:webHidden/>
              </w:rPr>
              <w:tab/>
            </w:r>
            <w:r w:rsidRPr="00662906">
              <w:rPr>
                <w:noProof/>
                <w:webHidden/>
              </w:rPr>
              <w:fldChar w:fldCharType="begin"/>
            </w:r>
            <w:r w:rsidRPr="00662906">
              <w:rPr>
                <w:noProof/>
                <w:webHidden/>
              </w:rPr>
              <w:instrText xml:space="preserve"> PAGEREF _Toc197433811 \h </w:instrText>
            </w:r>
            <w:r w:rsidRPr="00662906">
              <w:rPr>
                <w:noProof/>
                <w:webHidden/>
              </w:rPr>
            </w:r>
            <w:r w:rsidRPr="00662906">
              <w:rPr>
                <w:noProof/>
                <w:webHidden/>
              </w:rPr>
              <w:fldChar w:fldCharType="separate"/>
            </w:r>
            <w:r w:rsidR="00610F61">
              <w:rPr>
                <w:noProof/>
                <w:webHidden/>
              </w:rPr>
              <w:t>27</w:t>
            </w:r>
            <w:r w:rsidRPr="00662906">
              <w:rPr>
                <w:noProof/>
                <w:webHidden/>
              </w:rPr>
              <w:fldChar w:fldCharType="end"/>
            </w:r>
          </w:hyperlink>
        </w:p>
        <w:p w14:paraId="1838E6F8" w14:textId="7A4745DA"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12" w:history="1">
            <w:r w:rsidRPr="00662906">
              <w:rPr>
                <w:rStyle w:val="Hyperlink"/>
                <w:bCs/>
                <w:noProof/>
              </w:rPr>
              <w:t>2.1.</w:t>
            </w:r>
            <w:r w:rsidRPr="00662906">
              <w:rPr>
                <w:rStyle w:val="Hyperlink"/>
                <w:noProof/>
              </w:rPr>
              <w:t xml:space="preserve"> Introduction</w:t>
            </w:r>
            <w:r w:rsidRPr="00662906">
              <w:rPr>
                <w:noProof/>
                <w:webHidden/>
              </w:rPr>
              <w:tab/>
            </w:r>
            <w:r w:rsidRPr="00662906">
              <w:rPr>
                <w:noProof/>
                <w:webHidden/>
              </w:rPr>
              <w:fldChar w:fldCharType="begin"/>
            </w:r>
            <w:r w:rsidRPr="00662906">
              <w:rPr>
                <w:noProof/>
                <w:webHidden/>
              </w:rPr>
              <w:instrText xml:space="preserve"> PAGEREF _Toc197433812 \h </w:instrText>
            </w:r>
            <w:r w:rsidRPr="00662906">
              <w:rPr>
                <w:noProof/>
                <w:webHidden/>
              </w:rPr>
            </w:r>
            <w:r w:rsidRPr="00662906">
              <w:rPr>
                <w:noProof/>
                <w:webHidden/>
              </w:rPr>
              <w:fldChar w:fldCharType="separate"/>
            </w:r>
            <w:r w:rsidR="00610F61">
              <w:rPr>
                <w:noProof/>
                <w:webHidden/>
              </w:rPr>
              <w:t>27</w:t>
            </w:r>
            <w:r w:rsidRPr="00662906">
              <w:rPr>
                <w:noProof/>
                <w:webHidden/>
              </w:rPr>
              <w:fldChar w:fldCharType="end"/>
            </w:r>
          </w:hyperlink>
        </w:p>
        <w:p w14:paraId="5A0182CC" w14:textId="5C93EB75"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13" w:history="1">
            <w:r w:rsidRPr="00662906">
              <w:rPr>
                <w:rStyle w:val="Hyperlink"/>
                <w:bCs/>
                <w:noProof/>
              </w:rPr>
              <w:t>2.2.</w:t>
            </w:r>
            <w:r w:rsidRPr="00662906">
              <w:rPr>
                <w:rStyle w:val="Hyperlink"/>
                <w:noProof/>
              </w:rPr>
              <w:t xml:space="preserve"> Subsector situation analysis</w:t>
            </w:r>
            <w:r w:rsidRPr="00662906">
              <w:rPr>
                <w:noProof/>
                <w:webHidden/>
              </w:rPr>
              <w:tab/>
            </w:r>
            <w:r w:rsidRPr="00662906">
              <w:rPr>
                <w:noProof/>
                <w:webHidden/>
              </w:rPr>
              <w:fldChar w:fldCharType="begin"/>
            </w:r>
            <w:r w:rsidRPr="00662906">
              <w:rPr>
                <w:noProof/>
                <w:webHidden/>
              </w:rPr>
              <w:instrText xml:space="preserve"> PAGEREF _Toc197433813 \h </w:instrText>
            </w:r>
            <w:r w:rsidRPr="00662906">
              <w:rPr>
                <w:noProof/>
                <w:webHidden/>
              </w:rPr>
            </w:r>
            <w:r w:rsidRPr="00662906">
              <w:rPr>
                <w:noProof/>
                <w:webHidden/>
              </w:rPr>
              <w:fldChar w:fldCharType="separate"/>
            </w:r>
            <w:r w:rsidR="00610F61">
              <w:rPr>
                <w:noProof/>
                <w:webHidden/>
              </w:rPr>
              <w:t>27</w:t>
            </w:r>
            <w:r w:rsidRPr="00662906">
              <w:rPr>
                <w:noProof/>
                <w:webHidden/>
              </w:rPr>
              <w:fldChar w:fldCharType="end"/>
            </w:r>
          </w:hyperlink>
        </w:p>
        <w:p w14:paraId="0703A9A0" w14:textId="3188BC2F"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4" w:history="1">
            <w:r w:rsidRPr="00662906">
              <w:rPr>
                <w:rStyle w:val="Hyperlink"/>
                <w:noProof/>
              </w:rPr>
              <w:t>2.2.1. Electricity</w:t>
            </w:r>
            <w:r w:rsidRPr="00662906">
              <w:rPr>
                <w:noProof/>
                <w:webHidden/>
              </w:rPr>
              <w:tab/>
            </w:r>
            <w:r w:rsidRPr="00662906">
              <w:rPr>
                <w:noProof/>
                <w:webHidden/>
              </w:rPr>
              <w:fldChar w:fldCharType="begin"/>
            </w:r>
            <w:r w:rsidRPr="00662906">
              <w:rPr>
                <w:noProof/>
                <w:webHidden/>
              </w:rPr>
              <w:instrText xml:space="preserve"> PAGEREF _Toc197433814 \h </w:instrText>
            </w:r>
            <w:r w:rsidRPr="00662906">
              <w:rPr>
                <w:noProof/>
                <w:webHidden/>
              </w:rPr>
            </w:r>
            <w:r w:rsidRPr="00662906">
              <w:rPr>
                <w:noProof/>
                <w:webHidden/>
              </w:rPr>
              <w:fldChar w:fldCharType="separate"/>
            </w:r>
            <w:r w:rsidR="00610F61">
              <w:rPr>
                <w:noProof/>
                <w:webHidden/>
              </w:rPr>
              <w:t>27</w:t>
            </w:r>
            <w:r w:rsidRPr="00662906">
              <w:rPr>
                <w:noProof/>
                <w:webHidden/>
              </w:rPr>
              <w:fldChar w:fldCharType="end"/>
            </w:r>
          </w:hyperlink>
        </w:p>
        <w:p w14:paraId="328F069D" w14:textId="001BB62D"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5" w:history="1">
            <w:r w:rsidRPr="00662906">
              <w:rPr>
                <w:rStyle w:val="Hyperlink"/>
                <w:noProof/>
              </w:rPr>
              <w:t>2.2.2. Transportation</w:t>
            </w:r>
            <w:r w:rsidRPr="00662906">
              <w:rPr>
                <w:noProof/>
                <w:webHidden/>
              </w:rPr>
              <w:tab/>
            </w:r>
            <w:r w:rsidRPr="00662906">
              <w:rPr>
                <w:noProof/>
                <w:webHidden/>
              </w:rPr>
              <w:fldChar w:fldCharType="begin"/>
            </w:r>
            <w:r w:rsidRPr="00662906">
              <w:rPr>
                <w:noProof/>
                <w:webHidden/>
              </w:rPr>
              <w:instrText xml:space="preserve"> PAGEREF _Toc197433815 \h </w:instrText>
            </w:r>
            <w:r w:rsidRPr="00662906">
              <w:rPr>
                <w:noProof/>
                <w:webHidden/>
              </w:rPr>
            </w:r>
            <w:r w:rsidRPr="00662906">
              <w:rPr>
                <w:noProof/>
                <w:webHidden/>
              </w:rPr>
              <w:fldChar w:fldCharType="separate"/>
            </w:r>
            <w:r w:rsidR="00610F61">
              <w:rPr>
                <w:noProof/>
                <w:webHidden/>
              </w:rPr>
              <w:t>29</w:t>
            </w:r>
            <w:r w:rsidRPr="00662906">
              <w:rPr>
                <w:noProof/>
                <w:webHidden/>
              </w:rPr>
              <w:fldChar w:fldCharType="end"/>
            </w:r>
          </w:hyperlink>
        </w:p>
        <w:p w14:paraId="33FD844F" w14:textId="287E8AB3"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6" w:history="1">
            <w:r w:rsidRPr="00662906">
              <w:rPr>
                <w:rStyle w:val="Hyperlink"/>
                <w:noProof/>
              </w:rPr>
              <w:t>2.2.3. Buildings</w:t>
            </w:r>
            <w:r w:rsidRPr="00662906">
              <w:rPr>
                <w:noProof/>
                <w:webHidden/>
              </w:rPr>
              <w:tab/>
            </w:r>
            <w:r w:rsidRPr="00662906">
              <w:rPr>
                <w:noProof/>
                <w:webHidden/>
              </w:rPr>
              <w:fldChar w:fldCharType="begin"/>
            </w:r>
            <w:r w:rsidRPr="00662906">
              <w:rPr>
                <w:noProof/>
                <w:webHidden/>
              </w:rPr>
              <w:instrText xml:space="preserve"> PAGEREF _Toc197433816 \h </w:instrText>
            </w:r>
            <w:r w:rsidRPr="00662906">
              <w:rPr>
                <w:noProof/>
                <w:webHidden/>
              </w:rPr>
            </w:r>
            <w:r w:rsidRPr="00662906">
              <w:rPr>
                <w:noProof/>
                <w:webHidden/>
              </w:rPr>
              <w:fldChar w:fldCharType="separate"/>
            </w:r>
            <w:r w:rsidR="00610F61">
              <w:rPr>
                <w:noProof/>
                <w:webHidden/>
              </w:rPr>
              <w:t>30</w:t>
            </w:r>
            <w:r w:rsidRPr="00662906">
              <w:rPr>
                <w:noProof/>
                <w:webHidden/>
              </w:rPr>
              <w:fldChar w:fldCharType="end"/>
            </w:r>
          </w:hyperlink>
        </w:p>
        <w:p w14:paraId="1FC9AB49" w14:textId="0667EE56"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7" w:history="1">
            <w:r w:rsidRPr="00662906">
              <w:rPr>
                <w:rStyle w:val="Hyperlink"/>
                <w:noProof/>
              </w:rPr>
              <w:t>2.2.4. Industry</w:t>
            </w:r>
            <w:r w:rsidRPr="00662906">
              <w:rPr>
                <w:noProof/>
                <w:webHidden/>
              </w:rPr>
              <w:tab/>
            </w:r>
            <w:r w:rsidRPr="00662906">
              <w:rPr>
                <w:noProof/>
                <w:webHidden/>
              </w:rPr>
              <w:fldChar w:fldCharType="begin"/>
            </w:r>
            <w:r w:rsidRPr="00662906">
              <w:rPr>
                <w:noProof/>
                <w:webHidden/>
              </w:rPr>
              <w:instrText xml:space="preserve"> PAGEREF _Toc197433817 \h </w:instrText>
            </w:r>
            <w:r w:rsidRPr="00662906">
              <w:rPr>
                <w:noProof/>
                <w:webHidden/>
              </w:rPr>
            </w:r>
            <w:r w:rsidRPr="00662906">
              <w:rPr>
                <w:noProof/>
                <w:webHidden/>
              </w:rPr>
              <w:fldChar w:fldCharType="separate"/>
            </w:r>
            <w:r w:rsidR="00610F61">
              <w:rPr>
                <w:noProof/>
                <w:webHidden/>
              </w:rPr>
              <w:t>31</w:t>
            </w:r>
            <w:r w:rsidRPr="00662906">
              <w:rPr>
                <w:noProof/>
                <w:webHidden/>
              </w:rPr>
              <w:fldChar w:fldCharType="end"/>
            </w:r>
          </w:hyperlink>
        </w:p>
        <w:p w14:paraId="16BCC82B" w14:textId="1569509D"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8" w:history="1">
            <w:r w:rsidRPr="00662906">
              <w:rPr>
                <w:rStyle w:val="Hyperlink"/>
                <w:noProof/>
              </w:rPr>
              <w:t>2.2.5. Oil and Gas and related infrastructure</w:t>
            </w:r>
            <w:r w:rsidRPr="00662906">
              <w:rPr>
                <w:noProof/>
                <w:webHidden/>
              </w:rPr>
              <w:tab/>
            </w:r>
            <w:r w:rsidRPr="00662906">
              <w:rPr>
                <w:noProof/>
                <w:webHidden/>
              </w:rPr>
              <w:fldChar w:fldCharType="begin"/>
            </w:r>
            <w:r w:rsidRPr="00662906">
              <w:rPr>
                <w:noProof/>
                <w:webHidden/>
              </w:rPr>
              <w:instrText xml:space="preserve"> PAGEREF _Toc197433818 \h </w:instrText>
            </w:r>
            <w:r w:rsidRPr="00662906">
              <w:rPr>
                <w:noProof/>
                <w:webHidden/>
              </w:rPr>
            </w:r>
            <w:r w:rsidRPr="00662906">
              <w:rPr>
                <w:noProof/>
                <w:webHidden/>
              </w:rPr>
              <w:fldChar w:fldCharType="separate"/>
            </w:r>
            <w:r w:rsidR="00610F61">
              <w:rPr>
                <w:noProof/>
                <w:webHidden/>
              </w:rPr>
              <w:t>33</w:t>
            </w:r>
            <w:r w:rsidRPr="00662906">
              <w:rPr>
                <w:noProof/>
                <w:webHidden/>
              </w:rPr>
              <w:fldChar w:fldCharType="end"/>
            </w:r>
          </w:hyperlink>
        </w:p>
        <w:p w14:paraId="6357D962" w14:textId="165AC423"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19" w:history="1">
            <w:r w:rsidRPr="00662906">
              <w:rPr>
                <w:rStyle w:val="Hyperlink"/>
                <w:noProof/>
              </w:rPr>
              <w:t>2.2.6. Agriculture</w:t>
            </w:r>
            <w:r w:rsidRPr="00662906">
              <w:rPr>
                <w:noProof/>
                <w:webHidden/>
              </w:rPr>
              <w:tab/>
            </w:r>
            <w:r w:rsidRPr="00662906">
              <w:rPr>
                <w:noProof/>
                <w:webHidden/>
              </w:rPr>
              <w:fldChar w:fldCharType="begin"/>
            </w:r>
            <w:r w:rsidRPr="00662906">
              <w:rPr>
                <w:noProof/>
                <w:webHidden/>
              </w:rPr>
              <w:instrText xml:space="preserve"> PAGEREF _Toc197433819 \h </w:instrText>
            </w:r>
            <w:r w:rsidRPr="00662906">
              <w:rPr>
                <w:noProof/>
                <w:webHidden/>
              </w:rPr>
            </w:r>
            <w:r w:rsidRPr="00662906">
              <w:rPr>
                <w:noProof/>
                <w:webHidden/>
              </w:rPr>
              <w:fldChar w:fldCharType="separate"/>
            </w:r>
            <w:r w:rsidR="00610F61">
              <w:rPr>
                <w:noProof/>
                <w:webHidden/>
              </w:rPr>
              <w:t>34</w:t>
            </w:r>
            <w:r w:rsidRPr="00662906">
              <w:rPr>
                <w:noProof/>
                <w:webHidden/>
              </w:rPr>
              <w:fldChar w:fldCharType="end"/>
            </w:r>
          </w:hyperlink>
        </w:p>
        <w:p w14:paraId="3C3B748C" w14:textId="687400D7"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0" w:history="1">
            <w:r w:rsidRPr="00662906">
              <w:rPr>
                <w:rStyle w:val="Hyperlink"/>
                <w:noProof/>
              </w:rPr>
              <w:t>2.2.7. Clean Cooking</w:t>
            </w:r>
            <w:r w:rsidRPr="00662906">
              <w:rPr>
                <w:noProof/>
                <w:webHidden/>
              </w:rPr>
              <w:tab/>
            </w:r>
            <w:r w:rsidRPr="00662906">
              <w:rPr>
                <w:noProof/>
                <w:webHidden/>
              </w:rPr>
              <w:fldChar w:fldCharType="begin"/>
            </w:r>
            <w:r w:rsidRPr="00662906">
              <w:rPr>
                <w:noProof/>
                <w:webHidden/>
              </w:rPr>
              <w:instrText xml:space="preserve"> PAGEREF _Toc197433820 \h </w:instrText>
            </w:r>
            <w:r w:rsidRPr="00662906">
              <w:rPr>
                <w:noProof/>
                <w:webHidden/>
              </w:rPr>
            </w:r>
            <w:r w:rsidRPr="00662906">
              <w:rPr>
                <w:noProof/>
                <w:webHidden/>
              </w:rPr>
              <w:fldChar w:fldCharType="separate"/>
            </w:r>
            <w:r w:rsidR="00610F61">
              <w:rPr>
                <w:noProof/>
                <w:webHidden/>
              </w:rPr>
              <w:t>34</w:t>
            </w:r>
            <w:r w:rsidRPr="00662906">
              <w:rPr>
                <w:noProof/>
                <w:webHidden/>
              </w:rPr>
              <w:fldChar w:fldCharType="end"/>
            </w:r>
          </w:hyperlink>
        </w:p>
        <w:p w14:paraId="4FF2E092" w14:textId="5341160A"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21" w:history="1">
            <w:r w:rsidRPr="00662906">
              <w:rPr>
                <w:rStyle w:val="Hyperlink"/>
                <w:bCs/>
                <w:noProof/>
                <w:lang w:eastAsia="fr-FR"/>
              </w:rPr>
              <w:t>2.3.</w:t>
            </w:r>
            <w:r w:rsidRPr="00662906">
              <w:rPr>
                <w:rStyle w:val="Hyperlink"/>
                <w:noProof/>
                <w:lang w:eastAsia="fr-FR"/>
              </w:rPr>
              <w:t xml:space="preserve"> National Energy Transition Frameworks</w:t>
            </w:r>
            <w:r w:rsidRPr="00662906">
              <w:rPr>
                <w:noProof/>
                <w:webHidden/>
              </w:rPr>
              <w:tab/>
            </w:r>
            <w:r w:rsidRPr="00662906">
              <w:rPr>
                <w:noProof/>
                <w:webHidden/>
              </w:rPr>
              <w:fldChar w:fldCharType="begin"/>
            </w:r>
            <w:r w:rsidRPr="00662906">
              <w:rPr>
                <w:noProof/>
                <w:webHidden/>
              </w:rPr>
              <w:instrText xml:space="preserve"> PAGEREF _Toc197433821 \h </w:instrText>
            </w:r>
            <w:r w:rsidRPr="00662906">
              <w:rPr>
                <w:noProof/>
                <w:webHidden/>
              </w:rPr>
            </w:r>
            <w:r w:rsidRPr="00662906">
              <w:rPr>
                <w:noProof/>
                <w:webHidden/>
              </w:rPr>
              <w:fldChar w:fldCharType="separate"/>
            </w:r>
            <w:r w:rsidR="00610F61">
              <w:rPr>
                <w:noProof/>
                <w:webHidden/>
              </w:rPr>
              <w:t>35</w:t>
            </w:r>
            <w:r w:rsidRPr="00662906">
              <w:rPr>
                <w:noProof/>
                <w:webHidden/>
              </w:rPr>
              <w:fldChar w:fldCharType="end"/>
            </w:r>
          </w:hyperlink>
        </w:p>
        <w:p w14:paraId="339E2658" w14:textId="692808FE"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22" w:history="1">
            <w:r w:rsidRPr="00662906">
              <w:rPr>
                <w:rStyle w:val="Hyperlink"/>
                <w:bCs/>
                <w:noProof/>
                <w:lang w:eastAsia="fr-FR"/>
              </w:rPr>
              <w:t>2.4.</w:t>
            </w:r>
            <w:r w:rsidRPr="00662906">
              <w:rPr>
                <w:rStyle w:val="Hyperlink"/>
                <w:noProof/>
                <w:lang w:eastAsia="fr-FR"/>
              </w:rPr>
              <w:t xml:space="preserve"> Nationally Determined Contributions</w:t>
            </w:r>
            <w:r w:rsidRPr="00662906">
              <w:rPr>
                <w:noProof/>
                <w:webHidden/>
              </w:rPr>
              <w:tab/>
            </w:r>
            <w:r w:rsidRPr="00662906">
              <w:rPr>
                <w:noProof/>
                <w:webHidden/>
              </w:rPr>
              <w:fldChar w:fldCharType="begin"/>
            </w:r>
            <w:r w:rsidRPr="00662906">
              <w:rPr>
                <w:noProof/>
                <w:webHidden/>
              </w:rPr>
              <w:instrText xml:space="preserve"> PAGEREF _Toc197433822 \h </w:instrText>
            </w:r>
            <w:r w:rsidRPr="00662906">
              <w:rPr>
                <w:noProof/>
                <w:webHidden/>
              </w:rPr>
            </w:r>
            <w:r w:rsidRPr="00662906">
              <w:rPr>
                <w:noProof/>
                <w:webHidden/>
              </w:rPr>
              <w:fldChar w:fldCharType="separate"/>
            </w:r>
            <w:r w:rsidR="00610F61">
              <w:rPr>
                <w:noProof/>
                <w:webHidden/>
              </w:rPr>
              <w:t>36</w:t>
            </w:r>
            <w:r w:rsidRPr="00662906">
              <w:rPr>
                <w:noProof/>
                <w:webHidden/>
              </w:rPr>
              <w:fldChar w:fldCharType="end"/>
            </w:r>
          </w:hyperlink>
        </w:p>
        <w:p w14:paraId="5531C79F" w14:textId="25D2BAF9"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23" w:history="1">
            <w:r w:rsidRPr="00662906">
              <w:rPr>
                <w:rStyle w:val="Hyperlink"/>
                <w:bCs/>
                <w:noProof/>
                <w:lang w:eastAsia="fr-FR"/>
              </w:rPr>
              <w:t>2.5.</w:t>
            </w:r>
            <w:r w:rsidRPr="00662906">
              <w:rPr>
                <w:rStyle w:val="Hyperlink"/>
                <w:noProof/>
                <w:lang w:eastAsia="fr-FR"/>
              </w:rPr>
              <w:t xml:space="preserve"> ET Relevant AU Initiatives</w:t>
            </w:r>
            <w:r w:rsidRPr="00662906">
              <w:rPr>
                <w:noProof/>
                <w:webHidden/>
              </w:rPr>
              <w:tab/>
            </w:r>
            <w:r w:rsidRPr="00662906">
              <w:rPr>
                <w:noProof/>
                <w:webHidden/>
              </w:rPr>
              <w:fldChar w:fldCharType="begin"/>
            </w:r>
            <w:r w:rsidRPr="00662906">
              <w:rPr>
                <w:noProof/>
                <w:webHidden/>
              </w:rPr>
              <w:instrText xml:space="preserve"> PAGEREF _Toc197433823 \h </w:instrText>
            </w:r>
            <w:r w:rsidRPr="00662906">
              <w:rPr>
                <w:noProof/>
                <w:webHidden/>
              </w:rPr>
            </w:r>
            <w:r w:rsidRPr="00662906">
              <w:rPr>
                <w:noProof/>
                <w:webHidden/>
              </w:rPr>
              <w:fldChar w:fldCharType="separate"/>
            </w:r>
            <w:r w:rsidR="00610F61">
              <w:rPr>
                <w:noProof/>
                <w:webHidden/>
              </w:rPr>
              <w:t>38</w:t>
            </w:r>
            <w:r w:rsidRPr="00662906">
              <w:rPr>
                <w:noProof/>
                <w:webHidden/>
              </w:rPr>
              <w:fldChar w:fldCharType="end"/>
            </w:r>
          </w:hyperlink>
        </w:p>
        <w:p w14:paraId="71C40DCD" w14:textId="7881D63B"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4" w:history="1">
            <w:r w:rsidRPr="00662906">
              <w:rPr>
                <w:rStyle w:val="Hyperlink"/>
                <w:noProof/>
                <w:lang w:eastAsia="fr-FR"/>
              </w:rPr>
              <w:t>2.5.1. African Union Climate Change and Resilient Development Strategy and Action Plan</w:t>
            </w:r>
            <w:r w:rsidRPr="00662906">
              <w:rPr>
                <w:noProof/>
                <w:webHidden/>
              </w:rPr>
              <w:tab/>
            </w:r>
            <w:r w:rsidRPr="00662906">
              <w:rPr>
                <w:noProof/>
                <w:webHidden/>
              </w:rPr>
              <w:fldChar w:fldCharType="begin"/>
            </w:r>
            <w:r w:rsidRPr="00662906">
              <w:rPr>
                <w:noProof/>
                <w:webHidden/>
              </w:rPr>
              <w:instrText xml:space="preserve"> PAGEREF _Toc197433824 \h </w:instrText>
            </w:r>
            <w:r w:rsidRPr="00662906">
              <w:rPr>
                <w:noProof/>
                <w:webHidden/>
              </w:rPr>
            </w:r>
            <w:r w:rsidRPr="00662906">
              <w:rPr>
                <w:noProof/>
                <w:webHidden/>
              </w:rPr>
              <w:fldChar w:fldCharType="separate"/>
            </w:r>
            <w:r w:rsidR="00610F61">
              <w:rPr>
                <w:noProof/>
                <w:webHidden/>
              </w:rPr>
              <w:t>38</w:t>
            </w:r>
            <w:r w:rsidRPr="00662906">
              <w:rPr>
                <w:noProof/>
                <w:webHidden/>
              </w:rPr>
              <w:fldChar w:fldCharType="end"/>
            </w:r>
          </w:hyperlink>
        </w:p>
        <w:p w14:paraId="09527906" w14:textId="4F6C8850"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5" w:history="1">
            <w:r w:rsidRPr="00662906">
              <w:rPr>
                <w:rStyle w:val="Hyperlink"/>
                <w:noProof/>
                <w:lang w:eastAsia="fr-FR"/>
              </w:rPr>
              <w:t>2.5.2. AfSEM</w:t>
            </w:r>
            <w:r w:rsidRPr="00662906">
              <w:rPr>
                <w:noProof/>
                <w:webHidden/>
              </w:rPr>
              <w:tab/>
            </w:r>
            <w:r w:rsidRPr="00662906">
              <w:rPr>
                <w:noProof/>
                <w:webHidden/>
              </w:rPr>
              <w:fldChar w:fldCharType="begin"/>
            </w:r>
            <w:r w:rsidRPr="00662906">
              <w:rPr>
                <w:noProof/>
                <w:webHidden/>
              </w:rPr>
              <w:instrText xml:space="preserve"> PAGEREF _Toc197433825 \h </w:instrText>
            </w:r>
            <w:r w:rsidRPr="00662906">
              <w:rPr>
                <w:noProof/>
                <w:webHidden/>
              </w:rPr>
            </w:r>
            <w:r w:rsidRPr="00662906">
              <w:rPr>
                <w:noProof/>
                <w:webHidden/>
              </w:rPr>
              <w:fldChar w:fldCharType="separate"/>
            </w:r>
            <w:r w:rsidR="00610F61">
              <w:rPr>
                <w:noProof/>
                <w:webHidden/>
              </w:rPr>
              <w:t>38</w:t>
            </w:r>
            <w:r w:rsidRPr="00662906">
              <w:rPr>
                <w:noProof/>
                <w:webHidden/>
              </w:rPr>
              <w:fldChar w:fldCharType="end"/>
            </w:r>
          </w:hyperlink>
        </w:p>
        <w:p w14:paraId="3BF97EEC" w14:textId="15C92A6A"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6" w:history="1">
            <w:r w:rsidRPr="00662906">
              <w:rPr>
                <w:rStyle w:val="Hyperlink"/>
                <w:noProof/>
                <w:lang w:eastAsia="fr-FR"/>
              </w:rPr>
              <w:t>2.5.3. CMP Scenario analysis</w:t>
            </w:r>
            <w:r w:rsidRPr="00662906">
              <w:rPr>
                <w:noProof/>
                <w:webHidden/>
              </w:rPr>
              <w:tab/>
            </w:r>
            <w:r w:rsidRPr="00662906">
              <w:rPr>
                <w:noProof/>
                <w:webHidden/>
              </w:rPr>
              <w:fldChar w:fldCharType="begin"/>
            </w:r>
            <w:r w:rsidRPr="00662906">
              <w:rPr>
                <w:noProof/>
                <w:webHidden/>
              </w:rPr>
              <w:instrText xml:space="preserve"> PAGEREF _Toc197433826 \h </w:instrText>
            </w:r>
            <w:r w:rsidRPr="00662906">
              <w:rPr>
                <w:noProof/>
                <w:webHidden/>
              </w:rPr>
            </w:r>
            <w:r w:rsidRPr="00662906">
              <w:rPr>
                <w:noProof/>
                <w:webHidden/>
              </w:rPr>
              <w:fldChar w:fldCharType="separate"/>
            </w:r>
            <w:r w:rsidR="00610F61">
              <w:rPr>
                <w:noProof/>
                <w:webHidden/>
              </w:rPr>
              <w:t>39</w:t>
            </w:r>
            <w:r w:rsidRPr="00662906">
              <w:rPr>
                <w:noProof/>
                <w:webHidden/>
              </w:rPr>
              <w:fldChar w:fldCharType="end"/>
            </w:r>
          </w:hyperlink>
        </w:p>
        <w:p w14:paraId="6D86EFDC" w14:textId="29477D78"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7" w:history="1">
            <w:r w:rsidRPr="00662906">
              <w:rPr>
                <w:rStyle w:val="Hyperlink"/>
                <w:noProof/>
                <w:lang w:eastAsia="fr-FR"/>
              </w:rPr>
              <w:t>2.5.4. African Union Energy Efficiency Strategy and Action Plan Scenario Analysis</w:t>
            </w:r>
            <w:r w:rsidRPr="00662906">
              <w:rPr>
                <w:noProof/>
                <w:webHidden/>
              </w:rPr>
              <w:tab/>
            </w:r>
            <w:r w:rsidRPr="00662906">
              <w:rPr>
                <w:noProof/>
                <w:webHidden/>
              </w:rPr>
              <w:fldChar w:fldCharType="begin"/>
            </w:r>
            <w:r w:rsidRPr="00662906">
              <w:rPr>
                <w:noProof/>
                <w:webHidden/>
              </w:rPr>
              <w:instrText xml:space="preserve"> PAGEREF _Toc197433827 \h </w:instrText>
            </w:r>
            <w:r w:rsidRPr="00662906">
              <w:rPr>
                <w:noProof/>
                <w:webHidden/>
              </w:rPr>
            </w:r>
            <w:r w:rsidRPr="00662906">
              <w:rPr>
                <w:noProof/>
                <w:webHidden/>
              </w:rPr>
              <w:fldChar w:fldCharType="separate"/>
            </w:r>
            <w:r w:rsidR="00610F61">
              <w:rPr>
                <w:noProof/>
                <w:webHidden/>
              </w:rPr>
              <w:t>42</w:t>
            </w:r>
            <w:r w:rsidRPr="00662906">
              <w:rPr>
                <w:noProof/>
                <w:webHidden/>
              </w:rPr>
              <w:fldChar w:fldCharType="end"/>
            </w:r>
          </w:hyperlink>
        </w:p>
        <w:p w14:paraId="6CACB9BD" w14:textId="78F7C0EC"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8" w:history="1">
            <w:r w:rsidRPr="00662906">
              <w:rPr>
                <w:rStyle w:val="Hyperlink"/>
                <w:noProof/>
                <w:lang w:eastAsia="fr-FR"/>
              </w:rPr>
              <w:t>2.5.5. African Clean Cooking Initiative</w:t>
            </w:r>
            <w:r w:rsidRPr="00662906">
              <w:rPr>
                <w:noProof/>
                <w:webHidden/>
              </w:rPr>
              <w:tab/>
            </w:r>
            <w:r w:rsidRPr="00662906">
              <w:rPr>
                <w:noProof/>
                <w:webHidden/>
              </w:rPr>
              <w:fldChar w:fldCharType="begin"/>
            </w:r>
            <w:r w:rsidRPr="00662906">
              <w:rPr>
                <w:noProof/>
                <w:webHidden/>
              </w:rPr>
              <w:instrText xml:space="preserve"> PAGEREF _Toc197433828 \h </w:instrText>
            </w:r>
            <w:r w:rsidRPr="00662906">
              <w:rPr>
                <w:noProof/>
                <w:webHidden/>
              </w:rPr>
            </w:r>
            <w:r w:rsidRPr="00662906">
              <w:rPr>
                <w:noProof/>
                <w:webHidden/>
              </w:rPr>
              <w:fldChar w:fldCharType="separate"/>
            </w:r>
            <w:r w:rsidR="00610F61">
              <w:rPr>
                <w:noProof/>
                <w:webHidden/>
              </w:rPr>
              <w:t>43</w:t>
            </w:r>
            <w:r w:rsidRPr="00662906">
              <w:rPr>
                <w:noProof/>
                <w:webHidden/>
              </w:rPr>
              <w:fldChar w:fldCharType="end"/>
            </w:r>
          </w:hyperlink>
        </w:p>
        <w:p w14:paraId="395E7A60" w14:textId="48F0DEBC"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29" w:history="1">
            <w:r w:rsidRPr="00662906">
              <w:rPr>
                <w:rStyle w:val="Hyperlink"/>
                <w:noProof/>
                <w:lang w:eastAsia="fr-FR"/>
              </w:rPr>
              <w:t>2.5.6. Other projections for the development of the energy sector and related emissions</w:t>
            </w:r>
            <w:r w:rsidRPr="00662906">
              <w:rPr>
                <w:noProof/>
                <w:webHidden/>
              </w:rPr>
              <w:tab/>
            </w:r>
            <w:r w:rsidRPr="00662906">
              <w:rPr>
                <w:noProof/>
                <w:webHidden/>
              </w:rPr>
              <w:fldChar w:fldCharType="begin"/>
            </w:r>
            <w:r w:rsidRPr="00662906">
              <w:rPr>
                <w:noProof/>
                <w:webHidden/>
              </w:rPr>
              <w:instrText xml:space="preserve"> PAGEREF _Toc197433829 \h </w:instrText>
            </w:r>
            <w:r w:rsidRPr="00662906">
              <w:rPr>
                <w:noProof/>
                <w:webHidden/>
              </w:rPr>
            </w:r>
            <w:r w:rsidRPr="00662906">
              <w:rPr>
                <w:noProof/>
                <w:webHidden/>
              </w:rPr>
              <w:fldChar w:fldCharType="separate"/>
            </w:r>
            <w:r w:rsidR="00610F61">
              <w:rPr>
                <w:noProof/>
                <w:webHidden/>
              </w:rPr>
              <w:t>44</w:t>
            </w:r>
            <w:r w:rsidRPr="00662906">
              <w:rPr>
                <w:noProof/>
                <w:webHidden/>
              </w:rPr>
              <w:fldChar w:fldCharType="end"/>
            </w:r>
          </w:hyperlink>
        </w:p>
        <w:p w14:paraId="7889924F" w14:textId="4C659AED"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0" w:history="1">
            <w:r w:rsidRPr="00662906">
              <w:rPr>
                <w:rStyle w:val="Hyperlink"/>
                <w:noProof/>
                <w:lang w:eastAsia="fr-FR"/>
              </w:rPr>
              <w:t>2.5.7. Mission 300</w:t>
            </w:r>
            <w:r w:rsidRPr="00662906">
              <w:rPr>
                <w:noProof/>
                <w:webHidden/>
              </w:rPr>
              <w:tab/>
            </w:r>
            <w:r w:rsidRPr="00662906">
              <w:rPr>
                <w:noProof/>
                <w:webHidden/>
              </w:rPr>
              <w:fldChar w:fldCharType="begin"/>
            </w:r>
            <w:r w:rsidRPr="00662906">
              <w:rPr>
                <w:noProof/>
                <w:webHidden/>
              </w:rPr>
              <w:instrText xml:space="preserve"> PAGEREF _Toc197433830 \h </w:instrText>
            </w:r>
            <w:r w:rsidRPr="00662906">
              <w:rPr>
                <w:noProof/>
                <w:webHidden/>
              </w:rPr>
            </w:r>
            <w:r w:rsidRPr="00662906">
              <w:rPr>
                <w:noProof/>
                <w:webHidden/>
              </w:rPr>
              <w:fldChar w:fldCharType="separate"/>
            </w:r>
            <w:r w:rsidR="00610F61">
              <w:rPr>
                <w:noProof/>
                <w:webHidden/>
              </w:rPr>
              <w:t>45</w:t>
            </w:r>
            <w:r w:rsidRPr="00662906">
              <w:rPr>
                <w:noProof/>
                <w:webHidden/>
              </w:rPr>
              <w:fldChar w:fldCharType="end"/>
            </w:r>
          </w:hyperlink>
        </w:p>
        <w:p w14:paraId="50BECDF2" w14:textId="10D43BA9"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1" w:history="1">
            <w:r w:rsidRPr="00662906">
              <w:rPr>
                <w:rStyle w:val="Hyperlink"/>
                <w:noProof/>
              </w:rPr>
              <w:t>2.5.8. African Green Hydrogen Strategy and Action Plan</w:t>
            </w:r>
            <w:r w:rsidRPr="00662906">
              <w:rPr>
                <w:noProof/>
                <w:webHidden/>
              </w:rPr>
              <w:tab/>
            </w:r>
            <w:r w:rsidRPr="00662906">
              <w:rPr>
                <w:noProof/>
                <w:webHidden/>
              </w:rPr>
              <w:fldChar w:fldCharType="begin"/>
            </w:r>
            <w:r w:rsidRPr="00662906">
              <w:rPr>
                <w:noProof/>
                <w:webHidden/>
              </w:rPr>
              <w:instrText xml:space="preserve"> PAGEREF _Toc197433831 \h </w:instrText>
            </w:r>
            <w:r w:rsidRPr="00662906">
              <w:rPr>
                <w:noProof/>
                <w:webHidden/>
              </w:rPr>
            </w:r>
            <w:r w:rsidRPr="00662906">
              <w:rPr>
                <w:noProof/>
                <w:webHidden/>
              </w:rPr>
              <w:fldChar w:fldCharType="separate"/>
            </w:r>
            <w:r w:rsidR="00610F61">
              <w:rPr>
                <w:noProof/>
                <w:webHidden/>
              </w:rPr>
              <w:t>46</w:t>
            </w:r>
            <w:r w:rsidRPr="00662906">
              <w:rPr>
                <w:noProof/>
                <w:webHidden/>
              </w:rPr>
              <w:fldChar w:fldCharType="end"/>
            </w:r>
          </w:hyperlink>
        </w:p>
        <w:p w14:paraId="42EF9076" w14:textId="09782DA7"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2" w:history="1">
            <w:r w:rsidRPr="00662906">
              <w:rPr>
                <w:rStyle w:val="Hyperlink"/>
                <w:noProof/>
              </w:rPr>
              <w:t>2.5.9. The African Green Minerals Strategy (AGMS)</w:t>
            </w:r>
            <w:r w:rsidRPr="00662906">
              <w:rPr>
                <w:noProof/>
                <w:webHidden/>
              </w:rPr>
              <w:tab/>
            </w:r>
            <w:r w:rsidRPr="00662906">
              <w:rPr>
                <w:noProof/>
                <w:webHidden/>
              </w:rPr>
              <w:fldChar w:fldCharType="begin"/>
            </w:r>
            <w:r w:rsidRPr="00662906">
              <w:rPr>
                <w:noProof/>
                <w:webHidden/>
              </w:rPr>
              <w:instrText xml:space="preserve"> PAGEREF _Toc197433832 \h </w:instrText>
            </w:r>
            <w:r w:rsidRPr="00662906">
              <w:rPr>
                <w:noProof/>
                <w:webHidden/>
              </w:rPr>
            </w:r>
            <w:r w:rsidRPr="00662906">
              <w:rPr>
                <w:noProof/>
                <w:webHidden/>
              </w:rPr>
              <w:fldChar w:fldCharType="separate"/>
            </w:r>
            <w:r w:rsidR="00610F61">
              <w:rPr>
                <w:noProof/>
                <w:webHidden/>
              </w:rPr>
              <w:t>46</w:t>
            </w:r>
            <w:r w:rsidRPr="00662906">
              <w:rPr>
                <w:noProof/>
                <w:webHidden/>
              </w:rPr>
              <w:fldChar w:fldCharType="end"/>
            </w:r>
          </w:hyperlink>
        </w:p>
        <w:p w14:paraId="7B85C6A5" w14:textId="4B0E9A19"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33" w:history="1">
            <w:r w:rsidRPr="00662906">
              <w:rPr>
                <w:rStyle w:val="Hyperlink"/>
                <w:bCs/>
                <w:noProof/>
              </w:rPr>
              <w:t>2.6.</w:t>
            </w:r>
            <w:r w:rsidRPr="00662906">
              <w:rPr>
                <w:rStyle w:val="Hyperlink"/>
                <w:noProof/>
              </w:rPr>
              <w:t xml:space="preserve"> GAP ANALYSIS</w:t>
            </w:r>
            <w:r w:rsidRPr="00662906">
              <w:rPr>
                <w:noProof/>
                <w:webHidden/>
              </w:rPr>
              <w:tab/>
            </w:r>
            <w:r w:rsidRPr="00662906">
              <w:rPr>
                <w:noProof/>
                <w:webHidden/>
              </w:rPr>
              <w:fldChar w:fldCharType="begin"/>
            </w:r>
            <w:r w:rsidRPr="00662906">
              <w:rPr>
                <w:noProof/>
                <w:webHidden/>
              </w:rPr>
              <w:instrText xml:space="preserve"> PAGEREF _Toc197433833 \h </w:instrText>
            </w:r>
            <w:r w:rsidRPr="00662906">
              <w:rPr>
                <w:noProof/>
                <w:webHidden/>
              </w:rPr>
            </w:r>
            <w:r w:rsidRPr="00662906">
              <w:rPr>
                <w:noProof/>
                <w:webHidden/>
              </w:rPr>
              <w:fldChar w:fldCharType="separate"/>
            </w:r>
            <w:r w:rsidR="00610F61">
              <w:rPr>
                <w:noProof/>
                <w:webHidden/>
              </w:rPr>
              <w:t>46</w:t>
            </w:r>
            <w:r w:rsidRPr="00662906">
              <w:rPr>
                <w:noProof/>
                <w:webHidden/>
              </w:rPr>
              <w:fldChar w:fldCharType="end"/>
            </w:r>
          </w:hyperlink>
        </w:p>
        <w:p w14:paraId="5622A898" w14:textId="046040DB"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4" w:history="1">
            <w:r w:rsidRPr="00662906">
              <w:rPr>
                <w:rStyle w:val="Hyperlink"/>
                <w:noProof/>
              </w:rPr>
              <w:t>2.6.1. Gap Analysis Overview</w:t>
            </w:r>
            <w:r w:rsidRPr="00662906">
              <w:rPr>
                <w:noProof/>
                <w:webHidden/>
              </w:rPr>
              <w:tab/>
            </w:r>
            <w:r w:rsidRPr="00662906">
              <w:rPr>
                <w:noProof/>
                <w:webHidden/>
              </w:rPr>
              <w:fldChar w:fldCharType="begin"/>
            </w:r>
            <w:r w:rsidRPr="00662906">
              <w:rPr>
                <w:noProof/>
                <w:webHidden/>
              </w:rPr>
              <w:instrText xml:space="preserve"> PAGEREF _Toc197433834 \h </w:instrText>
            </w:r>
            <w:r w:rsidRPr="00662906">
              <w:rPr>
                <w:noProof/>
                <w:webHidden/>
              </w:rPr>
            </w:r>
            <w:r w:rsidRPr="00662906">
              <w:rPr>
                <w:noProof/>
                <w:webHidden/>
              </w:rPr>
              <w:fldChar w:fldCharType="separate"/>
            </w:r>
            <w:r w:rsidR="00610F61">
              <w:rPr>
                <w:noProof/>
                <w:webHidden/>
              </w:rPr>
              <w:t>46</w:t>
            </w:r>
            <w:r w:rsidRPr="00662906">
              <w:rPr>
                <w:noProof/>
                <w:webHidden/>
              </w:rPr>
              <w:fldChar w:fldCharType="end"/>
            </w:r>
          </w:hyperlink>
        </w:p>
        <w:p w14:paraId="0AAAA46A" w14:textId="7C866C29"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5" w:history="1">
            <w:r w:rsidRPr="00662906">
              <w:rPr>
                <w:rStyle w:val="Hyperlink"/>
                <w:rFonts w:eastAsia="Arial"/>
                <w:noProof/>
              </w:rPr>
              <w:t>2.6.2. SWOT Analysis</w:t>
            </w:r>
            <w:r w:rsidRPr="00662906">
              <w:rPr>
                <w:noProof/>
                <w:webHidden/>
              </w:rPr>
              <w:tab/>
            </w:r>
            <w:r w:rsidRPr="00662906">
              <w:rPr>
                <w:noProof/>
                <w:webHidden/>
              </w:rPr>
              <w:fldChar w:fldCharType="begin"/>
            </w:r>
            <w:r w:rsidRPr="00662906">
              <w:rPr>
                <w:noProof/>
                <w:webHidden/>
              </w:rPr>
              <w:instrText xml:space="preserve"> PAGEREF _Toc197433835 \h </w:instrText>
            </w:r>
            <w:r w:rsidRPr="00662906">
              <w:rPr>
                <w:noProof/>
                <w:webHidden/>
              </w:rPr>
            </w:r>
            <w:r w:rsidRPr="00662906">
              <w:rPr>
                <w:noProof/>
                <w:webHidden/>
              </w:rPr>
              <w:fldChar w:fldCharType="separate"/>
            </w:r>
            <w:r w:rsidR="00610F61">
              <w:rPr>
                <w:noProof/>
                <w:webHidden/>
              </w:rPr>
              <w:t>47</w:t>
            </w:r>
            <w:r w:rsidRPr="00662906">
              <w:rPr>
                <w:noProof/>
                <w:webHidden/>
              </w:rPr>
              <w:fldChar w:fldCharType="end"/>
            </w:r>
          </w:hyperlink>
        </w:p>
        <w:p w14:paraId="4F723E23" w14:textId="5F1D5596"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6" w:history="1">
            <w:r w:rsidRPr="00662906">
              <w:rPr>
                <w:rStyle w:val="Hyperlink"/>
                <w:rFonts w:eastAsia="Arial"/>
                <w:noProof/>
              </w:rPr>
              <w:t>2.6.3. PESTEL Analysis</w:t>
            </w:r>
            <w:r w:rsidRPr="00662906">
              <w:rPr>
                <w:noProof/>
                <w:webHidden/>
              </w:rPr>
              <w:tab/>
            </w:r>
            <w:r w:rsidRPr="00662906">
              <w:rPr>
                <w:noProof/>
                <w:webHidden/>
              </w:rPr>
              <w:fldChar w:fldCharType="begin"/>
            </w:r>
            <w:r w:rsidRPr="00662906">
              <w:rPr>
                <w:noProof/>
                <w:webHidden/>
              </w:rPr>
              <w:instrText xml:space="preserve"> PAGEREF _Toc197433836 \h </w:instrText>
            </w:r>
            <w:r w:rsidRPr="00662906">
              <w:rPr>
                <w:noProof/>
                <w:webHidden/>
              </w:rPr>
            </w:r>
            <w:r w:rsidRPr="00662906">
              <w:rPr>
                <w:noProof/>
                <w:webHidden/>
              </w:rPr>
              <w:fldChar w:fldCharType="separate"/>
            </w:r>
            <w:r w:rsidR="00610F61">
              <w:rPr>
                <w:noProof/>
                <w:webHidden/>
              </w:rPr>
              <w:t>48</w:t>
            </w:r>
            <w:r w:rsidRPr="00662906">
              <w:rPr>
                <w:noProof/>
                <w:webHidden/>
              </w:rPr>
              <w:fldChar w:fldCharType="end"/>
            </w:r>
          </w:hyperlink>
        </w:p>
        <w:p w14:paraId="6CC6B76D" w14:textId="79B946CF"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37" w:history="1">
            <w:r w:rsidRPr="00662906">
              <w:rPr>
                <w:rStyle w:val="Hyperlink"/>
                <w:noProof/>
              </w:rPr>
              <w:t>2.6.4. Summary of SWOT and PESTEL Analyses</w:t>
            </w:r>
            <w:r w:rsidRPr="00662906">
              <w:rPr>
                <w:noProof/>
                <w:webHidden/>
              </w:rPr>
              <w:tab/>
            </w:r>
            <w:r w:rsidRPr="00662906">
              <w:rPr>
                <w:noProof/>
                <w:webHidden/>
              </w:rPr>
              <w:fldChar w:fldCharType="begin"/>
            </w:r>
            <w:r w:rsidRPr="00662906">
              <w:rPr>
                <w:noProof/>
                <w:webHidden/>
              </w:rPr>
              <w:instrText xml:space="preserve"> PAGEREF _Toc197433837 \h </w:instrText>
            </w:r>
            <w:r w:rsidRPr="00662906">
              <w:rPr>
                <w:noProof/>
                <w:webHidden/>
              </w:rPr>
            </w:r>
            <w:r w:rsidRPr="00662906">
              <w:rPr>
                <w:noProof/>
                <w:webHidden/>
              </w:rPr>
              <w:fldChar w:fldCharType="separate"/>
            </w:r>
            <w:r w:rsidR="00610F61">
              <w:rPr>
                <w:noProof/>
                <w:webHidden/>
              </w:rPr>
              <w:t>49</w:t>
            </w:r>
            <w:r w:rsidRPr="00662906">
              <w:rPr>
                <w:noProof/>
                <w:webHidden/>
              </w:rPr>
              <w:fldChar w:fldCharType="end"/>
            </w:r>
          </w:hyperlink>
        </w:p>
        <w:p w14:paraId="1E77D453" w14:textId="18DB5E22"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38" w:history="1">
            <w:r w:rsidRPr="00662906">
              <w:rPr>
                <w:rStyle w:val="Hyperlink"/>
                <w:noProof/>
              </w:rPr>
              <w:t>3.</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STRATEGY: A PATHWAY TO AFRICA’S ENERGY TRANSITION</w:t>
            </w:r>
            <w:r w:rsidRPr="00662906">
              <w:rPr>
                <w:noProof/>
                <w:webHidden/>
              </w:rPr>
              <w:tab/>
            </w:r>
            <w:r w:rsidRPr="00662906">
              <w:rPr>
                <w:noProof/>
                <w:webHidden/>
              </w:rPr>
              <w:fldChar w:fldCharType="begin"/>
            </w:r>
            <w:r w:rsidRPr="00662906">
              <w:rPr>
                <w:noProof/>
                <w:webHidden/>
              </w:rPr>
              <w:instrText xml:space="preserve"> PAGEREF _Toc197433838 \h </w:instrText>
            </w:r>
            <w:r w:rsidRPr="00662906">
              <w:rPr>
                <w:noProof/>
                <w:webHidden/>
              </w:rPr>
            </w:r>
            <w:r w:rsidRPr="00662906">
              <w:rPr>
                <w:noProof/>
                <w:webHidden/>
              </w:rPr>
              <w:fldChar w:fldCharType="separate"/>
            </w:r>
            <w:r w:rsidR="00610F61">
              <w:rPr>
                <w:noProof/>
                <w:webHidden/>
              </w:rPr>
              <w:t>49</w:t>
            </w:r>
            <w:r w:rsidRPr="00662906">
              <w:rPr>
                <w:noProof/>
                <w:webHidden/>
              </w:rPr>
              <w:fldChar w:fldCharType="end"/>
            </w:r>
          </w:hyperlink>
        </w:p>
        <w:p w14:paraId="76193437" w14:textId="3387143A"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39" w:history="1">
            <w:r w:rsidRPr="00662906">
              <w:rPr>
                <w:rStyle w:val="Hyperlink"/>
                <w:bCs/>
                <w:noProof/>
              </w:rPr>
              <w:t>3.1.</w:t>
            </w:r>
            <w:r w:rsidRPr="00662906">
              <w:rPr>
                <w:rStyle w:val="Hyperlink"/>
                <w:noProof/>
              </w:rPr>
              <w:t xml:space="preserve"> Introduction</w:t>
            </w:r>
            <w:r w:rsidRPr="00662906">
              <w:rPr>
                <w:noProof/>
                <w:webHidden/>
              </w:rPr>
              <w:tab/>
            </w:r>
            <w:r w:rsidRPr="00662906">
              <w:rPr>
                <w:noProof/>
                <w:webHidden/>
              </w:rPr>
              <w:fldChar w:fldCharType="begin"/>
            </w:r>
            <w:r w:rsidRPr="00662906">
              <w:rPr>
                <w:noProof/>
                <w:webHidden/>
              </w:rPr>
              <w:instrText xml:space="preserve"> PAGEREF _Toc197433839 \h </w:instrText>
            </w:r>
            <w:r w:rsidRPr="00662906">
              <w:rPr>
                <w:noProof/>
                <w:webHidden/>
              </w:rPr>
            </w:r>
            <w:r w:rsidRPr="00662906">
              <w:rPr>
                <w:noProof/>
                <w:webHidden/>
              </w:rPr>
              <w:fldChar w:fldCharType="separate"/>
            </w:r>
            <w:r w:rsidR="00610F61">
              <w:rPr>
                <w:noProof/>
                <w:webHidden/>
              </w:rPr>
              <w:t>49</w:t>
            </w:r>
            <w:r w:rsidRPr="00662906">
              <w:rPr>
                <w:noProof/>
                <w:webHidden/>
              </w:rPr>
              <w:fldChar w:fldCharType="end"/>
            </w:r>
          </w:hyperlink>
        </w:p>
        <w:p w14:paraId="3FF5076F" w14:textId="3CD08F28"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40" w:history="1">
            <w:r w:rsidRPr="00662906">
              <w:rPr>
                <w:rStyle w:val="Hyperlink"/>
                <w:bCs/>
                <w:noProof/>
              </w:rPr>
              <w:t>3.2.</w:t>
            </w:r>
            <w:r w:rsidRPr="00662906">
              <w:rPr>
                <w:rStyle w:val="Hyperlink"/>
                <w:noProof/>
              </w:rPr>
              <w:t xml:space="preserve"> Vision and Mission and High-Level Target</w:t>
            </w:r>
            <w:r w:rsidRPr="00662906">
              <w:rPr>
                <w:noProof/>
                <w:webHidden/>
              </w:rPr>
              <w:tab/>
            </w:r>
            <w:r w:rsidRPr="00662906">
              <w:rPr>
                <w:noProof/>
                <w:webHidden/>
              </w:rPr>
              <w:fldChar w:fldCharType="begin"/>
            </w:r>
            <w:r w:rsidRPr="00662906">
              <w:rPr>
                <w:noProof/>
                <w:webHidden/>
              </w:rPr>
              <w:instrText xml:space="preserve"> PAGEREF _Toc197433840 \h </w:instrText>
            </w:r>
            <w:r w:rsidRPr="00662906">
              <w:rPr>
                <w:noProof/>
                <w:webHidden/>
              </w:rPr>
            </w:r>
            <w:r w:rsidRPr="00662906">
              <w:rPr>
                <w:noProof/>
                <w:webHidden/>
              </w:rPr>
              <w:fldChar w:fldCharType="separate"/>
            </w:r>
            <w:r w:rsidR="00610F61">
              <w:rPr>
                <w:noProof/>
                <w:webHidden/>
              </w:rPr>
              <w:t>50</w:t>
            </w:r>
            <w:r w:rsidRPr="00662906">
              <w:rPr>
                <w:noProof/>
                <w:webHidden/>
              </w:rPr>
              <w:fldChar w:fldCharType="end"/>
            </w:r>
          </w:hyperlink>
        </w:p>
        <w:p w14:paraId="362B0511" w14:textId="270370F0"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41" w:history="1">
            <w:r w:rsidRPr="00662906">
              <w:rPr>
                <w:rStyle w:val="Hyperlink"/>
                <w:bCs/>
                <w:noProof/>
              </w:rPr>
              <w:t>3.3.</w:t>
            </w:r>
            <w:r w:rsidRPr="00662906">
              <w:rPr>
                <w:rStyle w:val="Hyperlink"/>
                <w:noProof/>
              </w:rPr>
              <w:t xml:space="preserve"> Pillars of the Strategy</w:t>
            </w:r>
            <w:r w:rsidRPr="00662906">
              <w:rPr>
                <w:noProof/>
                <w:webHidden/>
              </w:rPr>
              <w:tab/>
            </w:r>
            <w:r w:rsidRPr="00662906">
              <w:rPr>
                <w:noProof/>
                <w:webHidden/>
              </w:rPr>
              <w:fldChar w:fldCharType="begin"/>
            </w:r>
            <w:r w:rsidRPr="00662906">
              <w:rPr>
                <w:noProof/>
                <w:webHidden/>
              </w:rPr>
              <w:instrText xml:space="preserve"> PAGEREF _Toc197433841 \h </w:instrText>
            </w:r>
            <w:r w:rsidRPr="00662906">
              <w:rPr>
                <w:noProof/>
                <w:webHidden/>
              </w:rPr>
            </w:r>
            <w:r w:rsidRPr="00662906">
              <w:rPr>
                <w:noProof/>
                <w:webHidden/>
              </w:rPr>
              <w:fldChar w:fldCharType="separate"/>
            </w:r>
            <w:r w:rsidR="00610F61">
              <w:rPr>
                <w:noProof/>
                <w:webHidden/>
              </w:rPr>
              <w:t>50</w:t>
            </w:r>
            <w:r w:rsidRPr="00662906">
              <w:rPr>
                <w:noProof/>
                <w:webHidden/>
              </w:rPr>
              <w:fldChar w:fldCharType="end"/>
            </w:r>
          </w:hyperlink>
        </w:p>
        <w:p w14:paraId="2B6E2B8D" w14:textId="710B5693"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42" w:history="1">
            <w:r w:rsidRPr="00662906">
              <w:rPr>
                <w:rStyle w:val="Hyperlink"/>
                <w:bCs/>
                <w:noProof/>
              </w:rPr>
              <w:t>3.4.</w:t>
            </w:r>
            <w:r w:rsidRPr="00662906">
              <w:rPr>
                <w:rStyle w:val="Hyperlink"/>
                <w:noProof/>
              </w:rPr>
              <w:t xml:space="preserve"> ETSAP Scope</w:t>
            </w:r>
            <w:r w:rsidRPr="00662906">
              <w:rPr>
                <w:noProof/>
                <w:webHidden/>
              </w:rPr>
              <w:tab/>
            </w:r>
            <w:r w:rsidRPr="00662906">
              <w:rPr>
                <w:noProof/>
                <w:webHidden/>
              </w:rPr>
              <w:fldChar w:fldCharType="begin"/>
            </w:r>
            <w:r w:rsidRPr="00662906">
              <w:rPr>
                <w:noProof/>
                <w:webHidden/>
              </w:rPr>
              <w:instrText xml:space="preserve"> PAGEREF _Toc197433842 \h </w:instrText>
            </w:r>
            <w:r w:rsidRPr="00662906">
              <w:rPr>
                <w:noProof/>
                <w:webHidden/>
              </w:rPr>
            </w:r>
            <w:r w:rsidRPr="00662906">
              <w:rPr>
                <w:noProof/>
                <w:webHidden/>
              </w:rPr>
              <w:fldChar w:fldCharType="separate"/>
            </w:r>
            <w:r w:rsidR="00610F61">
              <w:rPr>
                <w:noProof/>
                <w:webHidden/>
              </w:rPr>
              <w:t>51</w:t>
            </w:r>
            <w:r w:rsidRPr="00662906">
              <w:rPr>
                <w:noProof/>
                <w:webHidden/>
              </w:rPr>
              <w:fldChar w:fldCharType="end"/>
            </w:r>
          </w:hyperlink>
        </w:p>
        <w:p w14:paraId="3C8999EA" w14:textId="703E6BD0"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43" w:history="1">
            <w:r w:rsidRPr="00662906">
              <w:rPr>
                <w:rStyle w:val="Hyperlink"/>
                <w:bCs/>
                <w:noProof/>
              </w:rPr>
              <w:t>3.5.</w:t>
            </w:r>
            <w:r w:rsidRPr="00662906">
              <w:rPr>
                <w:rStyle w:val="Hyperlink"/>
                <w:noProof/>
              </w:rPr>
              <w:t xml:space="preserve"> Synergies with Past-adopted AU Strategies</w:t>
            </w:r>
            <w:r w:rsidRPr="00662906">
              <w:rPr>
                <w:noProof/>
                <w:webHidden/>
              </w:rPr>
              <w:tab/>
            </w:r>
            <w:r w:rsidRPr="00662906">
              <w:rPr>
                <w:noProof/>
                <w:webHidden/>
              </w:rPr>
              <w:fldChar w:fldCharType="begin"/>
            </w:r>
            <w:r w:rsidRPr="00662906">
              <w:rPr>
                <w:noProof/>
                <w:webHidden/>
              </w:rPr>
              <w:instrText xml:space="preserve"> PAGEREF _Toc197433843 \h </w:instrText>
            </w:r>
            <w:r w:rsidRPr="00662906">
              <w:rPr>
                <w:noProof/>
                <w:webHidden/>
              </w:rPr>
            </w:r>
            <w:r w:rsidRPr="00662906">
              <w:rPr>
                <w:noProof/>
                <w:webHidden/>
              </w:rPr>
              <w:fldChar w:fldCharType="separate"/>
            </w:r>
            <w:r w:rsidR="00610F61">
              <w:rPr>
                <w:noProof/>
                <w:webHidden/>
              </w:rPr>
              <w:t>53</w:t>
            </w:r>
            <w:r w:rsidRPr="00662906">
              <w:rPr>
                <w:noProof/>
                <w:webHidden/>
              </w:rPr>
              <w:fldChar w:fldCharType="end"/>
            </w:r>
          </w:hyperlink>
        </w:p>
        <w:p w14:paraId="05E269BF" w14:textId="14596A5D"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44" w:history="1">
            <w:r w:rsidRPr="00662906">
              <w:rPr>
                <w:rStyle w:val="Hyperlink"/>
                <w:bCs/>
                <w:noProof/>
              </w:rPr>
              <w:t>3.6.</w:t>
            </w:r>
            <w:r w:rsidRPr="00662906">
              <w:rPr>
                <w:rStyle w:val="Hyperlink"/>
                <w:noProof/>
              </w:rPr>
              <w:t xml:space="preserve"> Intermediate Outcomes (Milestones)</w:t>
            </w:r>
            <w:r w:rsidRPr="00662906">
              <w:rPr>
                <w:noProof/>
                <w:webHidden/>
              </w:rPr>
              <w:tab/>
            </w:r>
            <w:r w:rsidRPr="00662906">
              <w:rPr>
                <w:noProof/>
                <w:webHidden/>
              </w:rPr>
              <w:fldChar w:fldCharType="begin"/>
            </w:r>
            <w:r w:rsidRPr="00662906">
              <w:rPr>
                <w:noProof/>
                <w:webHidden/>
              </w:rPr>
              <w:instrText xml:space="preserve"> PAGEREF _Toc197433844 \h </w:instrText>
            </w:r>
            <w:r w:rsidRPr="00662906">
              <w:rPr>
                <w:noProof/>
                <w:webHidden/>
              </w:rPr>
            </w:r>
            <w:r w:rsidRPr="00662906">
              <w:rPr>
                <w:noProof/>
                <w:webHidden/>
              </w:rPr>
              <w:fldChar w:fldCharType="separate"/>
            </w:r>
            <w:r w:rsidR="00610F61">
              <w:rPr>
                <w:noProof/>
                <w:webHidden/>
              </w:rPr>
              <w:t>54</w:t>
            </w:r>
            <w:r w:rsidRPr="00662906">
              <w:rPr>
                <w:noProof/>
                <w:webHidden/>
              </w:rPr>
              <w:fldChar w:fldCharType="end"/>
            </w:r>
          </w:hyperlink>
        </w:p>
        <w:p w14:paraId="59FF7FA7" w14:textId="7C4F62CB"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45" w:history="1">
            <w:r w:rsidRPr="00662906">
              <w:rPr>
                <w:rStyle w:val="Hyperlink"/>
                <w:noProof/>
              </w:rPr>
              <w:t>3.6.1. Transition Toward a Clean Energy Mix with Accelerated Infrastructure Development</w:t>
            </w:r>
            <w:r w:rsidRPr="00662906">
              <w:rPr>
                <w:noProof/>
                <w:webHidden/>
              </w:rPr>
              <w:tab/>
            </w:r>
            <w:r w:rsidRPr="00662906">
              <w:rPr>
                <w:noProof/>
                <w:webHidden/>
              </w:rPr>
              <w:fldChar w:fldCharType="begin"/>
            </w:r>
            <w:r w:rsidRPr="00662906">
              <w:rPr>
                <w:noProof/>
                <w:webHidden/>
              </w:rPr>
              <w:instrText xml:space="preserve"> PAGEREF _Toc197433845 \h </w:instrText>
            </w:r>
            <w:r w:rsidRPr="00662906">
              <w:rPr>
                <w:noProof/>
                <w:webHidden/>
              </w:rPr>
            </w:r>
            <w:r w:rsidRPr="00662906">
              <w:rPr>
                <w:noProof/>
                <w:webHidden/>
              </w:rPr>
              <w:fldChar w:fldCharType="separate"/>
            </w:r>
            <w:r w:rsidR="00610F61">
              <w:rPr>
                <w:noProof/>
                <w:webHidden/>
              </w:rPr>
              <w:t>54</w:t>
            </w:r>
            <w:r w:rsidRPr="00662906">
              <w:rPr>
                <w:noProof/>
                <w:webHidden/>
              </w:rPr>
              <w:fldChar w:fldCharType="end"/>
            </w:r>
          </w:hyperlink>
        </w:p>
        <w:p w14:paraId="39D11D82" w14:textId="3CAA0DEE"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46" w:history="1">
            <w:r w:rsidRPr="00662906">
              <w:rPr>
                <w:rStyle w:val="Hyperlink"/>
                <w:noProof/>
              </w:rPr>
              <w:t>3.6.2. Establishment of a Functioning Continental Energy Market</w:t>
            </w:r>
            <w:r w:rsidRPr="00662906">
              <w:rPr>
                <w:noProof/>
                <w:webHidden/>
              </w:rPr>
              <w:tab/>
            </w:r>
            <w:r w:rsidRPr="00662906">
              <w:rPr>
                <w:noProof/>
                <w:webHidden/>
              </w:rPr>
              <w:fldChar w:fldCharType="begin"/>
            </w:r>
            <w:r w:rsidRPr="00662906">
              <w:rPr>
                <w:noProof/>
                <w:webHidden/>
              </w:rPr>
              <w:instrText xml:space="preserve"> PAGEREF _Toc197433846 \h </w:instrText>
            </w:r>
            <w:r w:rsidRPr="00662906">
              <w:rPr>
                <w:noProof/>
                <w:webHidden/>
              </w:rPr>
            </w:r>
            <w:r w:rsidRPr="00662906">
              <w:rPr>
                <w:noProof/>
                <w:webHidden/>
              </w:rPr>
              <w:fldChar w:fldCharType="separate"/>
            </w:r>
            <w:r w:rsidR="00610F61">
              <w:rPr>
                <w:noProof/>
                <w:webHidden/>
              </w:rPr>
              <w:t>54</w:t>
            </w:r>
            <w:r w:rsidRPr="00662906">
              <w:rPr>
                <w:noProof/>
                <w:webHidden/>
              </w:rPr>
              <w:fldChar w:fldCharType="end"/>
            </w:r>
          </w:hyperlink>
        </w:p>
        <w:p w14:paraId="2665D706" w14:textId="0BDE4DA5"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47" w:history="1">
            <w:r w:rsidRPr="00662906">
              <w:rPr>
                <w:rStyle w:val="Hyperlink"/>
                <w:noProof/>
              </w:rPr>
              <w:t>3.6.3. Increased Energy Efficiency Across All Sectors</w:t>
            </w:r>
            <w:r w:rsidRPr="00662906">
              <w:rPr>
                <w:noProof/>
                <w:webHidden/>
              </w:rPr>
              <w:tab/>
            </w:r>
            <w:r w:rsidRPr="00662906">
              <w:rPr>
                <w:noProof/>
                <w:webHidden/>
              </w:rPr>
              <w:fldChar w:fldCharType="begin"/>
            </w:r>
            <w:r w:rsidRPr="00662906">
              <w:rPr>
                <w:noProof/>
                <w:webHidden/>
              </w:rPr>
              <w:instrText xml:space="preserve"> PAGEREF _Toc197433847 \h </w:instrText>
            </w:r>
            <w:r w:rsidRPr="00662906">
              <w:rPr>
                <w:noProof/>
                <w:webHidden/>
              </w:rPr>
            </w:r>
            <w:r w:rsidRPr="00662906">
              <w:rPr>
                <w:noProof/>
                <w:webHidden/>
              </w:rPr>
              <w:fldChar w:fldCharType="separate"/>
            </w:r>
            <w:r w:rsidR="00610F61">
              <w:rPr>
                <w:noProof/>
                <w:webHidden/>
              </w:rPr>
              <w:t>54</w:t>
            </w:r>
            <w:r w:rsidRPr="00662906">
              <w:rPr>
                <w:noProof/>
                <w:webHidden/>
              </w:rPr>
              <w:fldChar w:fldCharType="end"/>
            </w:r>
          </w:hyperlink>
        </w:p>
        <w:p w14:paraId="2BF6D001" w14:textId="698345D3"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48" w:history="1">
            <w:r w:rsidRPr="00662906">
              <w:rPr>
                <w:rStyle w:val="Hyperlink"/>
                <w:noProof/>
              </w:rPr>
              <w:t>3.6.4. Strengthened Governance and Institutional Capacity</w:t>
            </w:r>
            <w:r w:rsidRPr="00662906">
              <w:rPr>
                <w:noProof/>
                <w:webHidden/>
              </w:rPr>
              <w:tab/>
            </w:r>
            <w:r w:rsidRPr="00662906">
              <w:rPr>
                <w:noProof/>
                <w:webHidden/>
              </w:rPr>
              <w:fldChar w:fldCharType="begin"/>
            </w:r>
            <w:r w:rsidRPr="00662906">
              <w:rPr>
                <w:noProof/>
                <w:webHidden/>
              </w:rPr>
              <w:instrText xml:space="preserve"> PAGEREF _Toc197433848 \h </w:instrText>
            </w:r>
            <w:r w:rsidRPr="00662906">
              <w:rPr>
                <w:noProof/>
                <w:webHidden/>
              </w:rPr>
            </w:r>
            <w:r w:rsidRPr="00662906">
              <w:rPr>
                <w:noProof/>
                <w:webHidden/>
              </w:rPr>
              <w:fldChar w:fldCharType="separate"/>
            </w:r>
            <w:r w:rsidR="00610F61">
              <w:rPr>
                <w:noProof/>
                <w:webHidden/>
              </w:rPr>
              <w:t>55</w:t>
            </w:r>
            <w:r w:rsidRPr="00662906">
              <w:rPr>
                <w:noProof/>
                <w:webHidden/>
              </w:rPr>
              <w:fldChar w:fldCharType="end"/>
            </w:r>
          </w:hyperlink>
        </w:p>
        <w:p w14:paraId="36969380" w14:textId="554F67F2"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49" w:history="1">
            <w:r w:rsidRPr="00662906">
              <w:rPr>
                <w:rStyle w:val="Hyperlink"/>
                <w:noProof/>
              </w:rPr>
              <w:t>3.6.5. Inclusive Economic and Social Development</w:t>
            </w:r>
            <w:r w:rsidRPr="00662906">
              <w:rPr>
                <w:noProof/>
                <w:webHidden/>
              </w:rPr>
              <w:tab/>
            </w:r>
            <w:r w:rsidRPr="00662906">
              <w:rPr>
                <w:noProof/>
                <w:webHidden/>
              </w:rPr>
              <w:fldChar w:fldCharType="begin"/>
            </w:r>
            <w:r w:rsidRPr="00662906">
              <w:rPr>
                <w:noProof/>
                <w:webHidden/>
              </w:rPr>
              <w:instrText xml:space="preserve"> PAGEREF _Toc197433849 \h </w:instrText>
            </w:r>
            <w:r w:rsidRPr="00662906">
              <w:rPr>
                <w:noProof/>
                <w:webHidden/>
              </w:rPr>
            </w:r>
            <w:r w:rsidRPr="00662906">
              <w:rPr>
                <w:noProof/>
                <w:webHidden/>
              </w:rPr>
              <w:fldChar w:fldCharType="separate"/>
            </w:r>
            <w:r w:rsidR="00610F61">
              <w:rPr>
                <w:noProof/>
                <w:webHidden/>
              </w:rPr>
              <w:t>55</w:t>
            </w:r>
            <w:r w:rsidRPr="00662906">
              <w:rPr>
                <w:noProof/>
                <w:webHidden/>
              </w:rPr>
              <w:fldChar w:fldCharType="end"/>
            </w:r>
          </w:hyperlink>
        </w:p>
        <w:p w14:paraId="49A566DF" w14:textId="3DC2B6F8"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50" w:history="1">
            <w:r w:rsidRPr="00662906">
              <w:rPr>
                <w:rStyle w:val="Hyperlink"/>
                <w:noProof/>
              </w:rPr>
              <w:t>3.6.6. Sustainable Development of the Oil and Gas Industry</w:t>
            </w:r>
            <w:r w:rsidRPr="00662906">
              <w:rPr>
                <w:noProof/>
                <w:webHidden/>
              </w:rPr>
              <w:tab/>
            </w:r>
            <w:r w:rsidRPr="00662906">
              <w:rPr>
                <w:noProof/>
                <w:webHidden/>
              </w:rPr>
              <w:fldChar w:fldCharType="begin"/>
            </w:r>
            <w:r w:rsidRPr="00662906">
              <w:rPr>
                <w:noProof/>
                <w:webHidden/>
              </w:rPr>
              <w:instrText xml:space="preserve"> PAGEREF _Toc197433850 \h </w:instrText>
            </w:r>
            <w:r w:rsidRPr="00662906">
              <w:rPr>
                <w:noProof/>
                <w:webHidden/>
              </w:rPr>
            </w:r>
            <w:r w:rsidRPr="00662906">
              <w:rPr>
                <w:noProof/>
                <w:webHidden/>
              </w:rPr>
              <w:fldChar w:fldCharType="separate"/>
            </w:r>
            <w:r w:rsidR="00610F61">
              <w:rPr>
                <w:noProof/>
                <w:webHidden/>
              </w:rPr>
              <w:t>55</w:t>
            </w:r>
            <w:r w:rsidRPr="00662906">
              <w:rPr>
                <w:noProof/>
                <w:webHidden/>
              </w:rPr>
              <w:fldChar w:fldCharType="end"/>
            </w:r>
          </w:hyperlink>
        </w:p>
        <w:p w14:paraId="69685CE4" w14:textId="71A218C5"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1" w:history="1">
            <w:r w:rsidRPr="00662906">
              <w:rPr>
                <w:rStyle w:val="Hyperlink"/>
                <w:bCs/>
                <w:noProof/>
              </w:rPr>
              <w:t>3.7.</w:t>
            </w:r>
            <w:r w:rsidRPr="00662906">
              <w:rPr>
                <w:rStyle w:val="Hyperlink"/>
                <w:noProof/>
              </w:rPr>
              <w:t xml:space="preserve"> Key Assumptions</w:t>
            </w:r>
            <w:r w:rsidRPr="00662906">
              <w:rPr>
                <w:noProof/>
                <w:webHidden/>
              </w:rPr>
              <w:tab/>
            </w:r>
            <w:r w:rsidRPr="00662906">
              <w:rPr>
                <w:noProof/>
                <w:webHidden/>
              </w:rPr>
              <w:fldChar w:fldCharType="begin"/>
            </w:r>
            <w:r w:rsidRPr="00662906">
              <w:rPr>
                <w:noProof/>
                <w:webHidden/>
              </w:rPr>
              <w:instrText xml:space="preserve"> PAGEREF _Toc197433851 \h </w:instrText>
            </w:r>
            <w:r w:rsidRPr="00662906">
              <w:rPr>
                <w:noProof/>
                <w:webHidden/>
              </w:rPr>
            </w:r>
            <w:r w:rsidRPr="00662906">
              <w:rPr>
                <w:noProof/>
                <w:webHidden/>
              </w:rPr>
              <w:fldChar w:fldCharType="separate"/>
            </w:r>
            <w:r w:rsidR="00610F61">
              <w:rPr>
                <w:noProof/>
                <w:webHidden/>
              </w:rPr>
              <w:t>55</w:t>
            </w:r>
            <w:r w:rsidRPr="00662906">
              <w:rPr>
                <w:noProof/>
                <w:webHidden/>
              </w:rPr>
              <w:fldChar w:fldCharType="end"/>
            </w:r>
          </w:hyperlink>
        </w:p>
        <w:p w14:paraId="63C07589" w14:textId="11EDA7A2"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2" w:history="1">
            <w:r w:rsidRPr="00662906">
              <w:rPr>
                <w:rStyle w:val="Hyperlink"/>
                <w:bCs/>
                <w:noProof/>
              </w:rPr>
              <w:t>3.8.</w:t>
            </w:r>
            <w:r w:rsidRPr="00662906">
              <w:rPr>
                <w:rStyle w:val="Hyperlink"/>
                <w:noProof/>
              </w:rPr>
              <w:t xml:space="preserve"> Risks and Risk Mitigation Strategies</w:t>
            </w:r>
            <w:r w:rsidRPr="00662906">
              <w:rPr>
                <w:noProof/>
                <w:webHidden/>
              </w:rPr>
              <w:tab/>
            </w:r>
            <w:r w:rsidRPr="00662906">
              <w:rPr>
                <w:noProof/>
                <w:webHidden/>
              </w:rPr>
              <w:fldChar w:fldCharType="begin"/>
            </w:r>
            <w:r w:rsidRPr="00662906">
              <w:rPr>
                <w:noProof/>
                <w:webHidden/>
              </w:rPr>
              <w:instrText xml:space="preserve"> PAGEREF _Toc197433852 \h </w:instrText>
            </w:r>
            <w:r w:rsidRPr="00662906">
              <w:rPr>
                <w:noProof/>
                <w:webHidden/>
              </w:rPr>
            </w:r>
            <w:r w:rsidRPr="00662906">
              <w:rPr>
                <w:noProof/>
                <w:webHidden/>
              </w:rPr>
              <w:fldChar w:fldCharType="separate"/>
            </w:r>
            <w:r w:rsidR="00610F61">
              <w:rPr>
                <w:noProof/>
                <w:webHidden/>
              </w:rPr>
              <w:t>56</w:t>
            </w:r>
            <w:r w:rsidRPr="00662906">
              <w:rPr>
                <w:noProof/>
                <w:webHidden/>
              </w:rPr>
              <w:fldChar w:fldCharType="end"/>
            </w:r>
          </w:hyperlink>
        </w:p>
        <w:p w14:paraId="6969F962" w14:textId="148A6492"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3" w:history="1">
            <w:r w:rsidRPr="00662906">
              <w:rPr>
                <w:rStyle w:val="Hyperlink"/>
                <w:bCs/>
                <w:noProof/>
              </w:rPr>
              <w:t>3.9.</w:t>
            </w:r>
            <w:r w:rsidRPr="00662906">
              <w:rPr>
                <w:rStyle w:val="Hyperlink"/>
                <w:noProof/>
              </w:rPr>
              <w:t xml:space="preserve"> Critical Enablers</w:t>
            </w:r>
            <w:r w:rsidRPr="00662906">
              <w:rPr>
                <w:noProof/>
                <w:webHidden/>
              </w:rPr>
              <w:tab/>
            </w:r>
            <w:r w:rsidRPr="00662906">
              <w:rPr>
                <w:noProof/>
                <w:webHidden/>
              </w:rPr>
              <w:fldChar w:fldCharType="begin"/>
            </w:r>
            <w:r w:rsidRPr="00662906">
              <w:rPr>
                <w:noProof/>
                <w:webHidden/>
              </w:rPr>
              <w:instrText xml:space="preserve"> PAGEREF _Toc197433853 \h </w:instrText>
            </w:r>
            <w:r w:rsidRPr="00662906">
              <w:rPr>
                <w:noProof/>
                <w:webHidden/>
              </w:rPr>
            </w:r>
            <w:r w:rsidRPr="00662906">
              <w:rPr>
                <w:noProof/>
                <w:webHidden/>
              </w:rPr>
              <w:fldChar w:fldCharType="separate"/>
            </w:r>
            <w:r w:rsidR="00610F61">
              <w:rPr>
                <w:noProof/>
                <w:webHidden/>
              </w:rPr>
              <w:t>58</w:t>
            </w:r>
            <w:r w:rsidRPr="00662906">
              <w:rPr>
                <w:noProof/>
                <w:webHidden/>
              </w:rPr>
              <w:fldChar w:fldCharType="end"/>
            </w:r>
          </w:hyperlink>
        </w:p>
        <w:p w14:paraId="21912508" w14:textId="03AE8467"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54" w:history="1">
            <w:r w:rsidRPr="00662906">
              <w:rPr>
                <w:rStyle w:val="Hyperlink"/>
                <w:noProof/>
              </w:rPr>
              <w:t>4.</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ACTION PLAN</w:t>
            </w:r>
            <w:r w:rsidRPr="00662906">
              <w:rPr>
                <w:noProof/>
                <w:webHidden/>
              </w:rPr>
              <w:tab/>
            </w:r>
            <w:r w:rsidRPr="00662906">
              <w:rPr>
                <w:noProof/>
                <w:webHidden/>
              </w:rPr>
              <w:fldChar w:fldCharType="begin"/>
            </w:r>
            <w:r w:rsidRPr="00662906">
              <w:rPr>
                <w:noProof/>
                <w:webHidden/>
              </w:rPr>
              <w:instrText xml:space="preserve"> PAGEREF _Toc197433854 \h </w:instrText>
            </w:r>
            <w:r w:rsidRPr="00662906">
              <w:rPr>
                <w:noProof/>
                <w:webHidden/>
              </w:rPr>
            </w:r>
            <w:r w:rsidRPr="00662906">
              <w:rPr>
                <w:noProof/>
                <w:webHidden/>
              </w:rPr>
              <w:fldChar w:fldCharType="separate"/>
            </w:r>
            <w:r w:rsidR="00610F61">
              <w:rPr>
                <w:noProof/>
                <w:webHidden/>
              </w:rPr>
              <w:t>60</w:t>
            </w:r>
            <w:r w:rsidRPr="00662906">
              <w:rPr>
                <w:noProof/>
                <w:webHidden/>
              </w:rPr>
              <w:fldChar w:fldCharType="end"/>
            </w:r>
          </w:hyperlink>
        </w:p>
        <w:p w14:paraId="5846641E" w14:textId="5743B401"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5" w:history="1">
            <w:r w:rsidRPr="00662906">
              <w:rPr>
                <w:rStyle w:val="Hyperlink"/>
                <w:bCs/>
                <w:noProof/>
              </w:rPr>
              <w:t>4.1.</w:t>
            </w:r>
            <w:r w:rsidRPr="00662906">
              <w:rPr>
                <w:rStyle w:val="Hyperlink"/>
                <w:noProof/>
              </w:rPr>
              <w:t xml:space="preserve"> Introduction and Methodological Approach</w:t>
            </w:r>
            <w:r w:rsidRPr="00662906">
              <w:rPr>
                <w:noProof/>
                <w:webHidden/>
              </w:rPr>
              <w:tab/>
            </w:r>
            <w:r w:rsidRPr="00662906">
              <w:rPr>
                <w:noProof/>
                <w:webHidden/>
              </w:rPr>
              <w:fldChar w:fldCharType="begin"/>
            </w:r>
            <w:r w:rsidRPr="00662906">
              <w:rPr>
                <w:noProof/>
                <w:webHidden/>
              </w:rPr>
              <w:instrText xml:space="preserve"> PAGEREF _Toc197433855 \h </w:instrText>
            </w:r>
            <w:r w:rsidRPr="00662906">
              <w:rPr>
                <w:noProof/>
                <w:webHidden/>
              </w:rPr>
            </w:r>
            <w:r w:rsidRPr="00662906">
              <w:rPr>
                <w:noProof/>
                <w:webHidden/>
              </w:rPr>
              <w:fldChar w:fldCharType="separate"/>
            </w:r>
            <w:r w:rsidR="00610F61">
              <w:rPr>
                <w:noProof/>
                <w:webHidden/>
              </w:rPr>
              <w:t>60</w:t>
            </w:r>
            <w:r w:rsidRPr="00662906">
              <w:rPr>
                <w:noProof/>
                <w:webHidden/>
              </w:rPr>
              <w:fldChar w:fldCharType="end"/>
            </w:r>
          </w:hyperlink>
        </w:p>
        <w:p w14:paraId="1F7BC64A" w14:textId="28333811"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6" w:history="1">
            <w:r w:rsidRPr="00662906">
              <w:rPr>
                <w:rStyle w:val="Hyperlink"/>
                <w:bCs/>
                <w:noProof/>
              </w:rPr>
              <w:t>4.2.</w:t>
            </w:r>
            <w:r w:rsidRPr="00662906">
              <w:rPr>
                <w:rStyle w:val="Hyperlink"/>
                <w:noProof/>
              </w:rPr>
              <w:t xml:space="preserve"> Electricity</w:t>
            </w:r>
            <w:r w:rsidRPr="00662906">
              <w:rPr>
                <w:noProof/>
                <w:webHidden/>
              </w:rPr>
              <w:tab/>
            </w:r>
            <w:r w:rsidRPr="00662906">
              <w:rPr>
                <w:noProof/>
                <w:webHidden/>
              </w:rPr>
              <w:fldChar w:fldCharType="begin"/>
            </w:r>
            <w:r w:rsidRPr="00662906">
              <w:rPr>
                <w:noProof/>
                <w:webHidden/>
              </w:rPr>
              <w:instrText xml:space="preserve"> PAGEREF _Toc197433856 \h </w:instrText>
            </w:r>
            <w:r w:rsidRPr="00662906">
              <w:rPr>
                <w:noProof/>
                <w:webHidden/>
              </w:rPr>
            </w:r>
            <w:r w:rsidRPr="00662906">
              <w:rPr>
                <w:noProof/>
                <w:webHidden/>
              </w:rPr>
              <w:fldChar w:fldCharType="separate"/>
            </w:r>
            <w:r w:rsidR="00610F61">
              <w:rPr>
                <w:noProof/>
                <w:webHidden/>
              </w:rPr>
              <w:t>61</w:t>
            </w:r>
            <w:r w:rsidRPr="00662906">
              <w:rPr>
                <w:noProof/>
                <w:webHidden/>
              </w:rPr>
              <w:fldChar w:fldCharType="end"/>
            </w:r>
          </w:hyperlink>
        </w:p>
        <w:p w14:paraId="6A72D43B" w14:textId="5CDAA4DB"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7" w:history="1">
            <w:r w:rsidRPr="00662906">
              <w:rPr>
                <w:rStyle w:val="Hyperlink"/>
                <w:bCs/>
                <w:noProof/>
              </w:rPr>
              <w:t>4.3.</w:t>
            </w:r>
            <w:r w:rsidRPr="00662906">
              <w:rPr>
                <w:rStyle w:val="Hyperlink"/>
                <w:noProof/>
              </w:rPr>
              <w:t xml:space="preserve"> Transport</w:t>
            </w:r>
            <w:r w:rsidRPr="00662906">
              <w:rPr>
                <w:noProof/>
                <w:webHidden/>
              </w:rPr>
              <w:tab/>
            </w:r>
            <w:r w:rsidRPr="00662906">
              <w:rPr>
                <w:noProof/>
                <w:webHidden/>
              </w:rPr>
              <w:fldChar w:fldCharType="begin"/>
            </w:r>
            <w:r w:rsidRPr="00662906">
              <w:rPr>
                <w:noProof/>
                <w:webHidden/>
              </w:rPr>
              <w:instrText xml:space="preserve"> PAGEREF _Toc197433857 \h </w:instrText>
            </w:r>
            <w:r w:rsidRPr="00662906">
              <w:rPr>
                <w:noProof/>
                <w:webHidden/>
              </w:rPr>
            </w:r>
            <w:r w:rsidRPr="00662906">
              <w:rPr>
                <w:noProof/>
                <w:webHidden/>
              </w:rPr>
              <w:fldChar w:fldCharType="separate"/>
            </w:r>
            <w:r w:rsidR="00610F61">
              <w:rPr>
                <w:noProof/>
                <w:webHidden/>
              </w:rPr>
              <w:t>66</w:t>
            </w:r>
            <w:r w:rsidRPr="00662906">
              <w:rPr>
                <w:noProof/>
                <w:webHidden/>
              </w:rPr>
              <w:fldChar w:fldCharType="end"/>
            </w:r>
          </w:hyperlink>
        </w:p>
        <w:p w14:paraId="5244C2FC" w14:textId="7094C092"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8" w:history="1">
            <w:r w:rsidRPr="00662906">
              <w:rPr>
                <w:rStyle w:val="Hyperlink"/>
                <w:bCs/>
                <w:noProof/>
              </w:rPr>
              <w:t>4.4.</w:t>
            </w:r>
            <w:r w:rsidRPr="00662906">
              <w:rPr>
                <w:rStyle w:val="Hyperlink"/>
                <w:noProof/>
              </w:rPr>
              <w:t xml:space="preserve"> Buildings</w:t>
            </w:r>
            <w:r w:rsidRPr="00662906">
              <w:rPr>
                <w:noProof/>
                <w:webHidden/>
              </w:rPr>
              <w:tab/>
            </w:r>
            <w:r w:rsidRPr="00662906">
              <w:rPr>
                <w:noProof/>
                <w:webHidden/>
              </w:rPr>
              <w:fldChar w:fldCharType="begin"/>
            </w:r>
            <w:r w:rsidRPr="00662906">
              <w:rPr>
                <w:noProof/>
                <w:webHidden/>
              </w:rPr>
              <w:instrText xml:space="preserve"> PAGEREF _Toc197433858 \h </w:instrText>
            </w:r>
            <w:r w:rsidRPr="00662906">
              <w:rPr>
                <w:noProof/>
                <w:webHidden/>
              </w:rPr>
            </w:r>
            <w:r w:rsidRPr="00662906">
              <w:rPr>
                <w:noProof/>
                <w:webHidden/>
              </w:rPr>
              <w:fldChar w:fldCharType="separate"/>
            </w:r>
            <w:r w:rsidR="00610F61">
              <w:rPr>
                <w:noProof/>
                <w:webHidden/>
              </w:rPr>
              <w:t>73</w:t>
            </w:r>
            <w:r w:rsidRPr="00662906">
              <w:rPr>
                <w:noProof/>
                <w:webHidden/>
              </w:rPr>
              <w:fldChar w:fldCharType="end"/>
            </w:r>
          </w:hyperlink>
        </w:p>
        <w:p w14:paraId="32F91870" w14:textId="16F84436"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59" w:history="1">
            <w:r w:rsidRPr="00662906">
              <w:rPr>
                <w:rStyle w:val="Hyperlink"/>
                <w:bCs/>
                <w:noProof/>
              </w:rPr>
              <w:t>4.5.</w:t>
            </w:r>
            <w:r w:rsidRPr="00662906">
              <w:rPr>
                <w:rStyle w:val="Hyperlink"/>
                <w:noProof/>
              </w:rPr>
              <w:t xml:space="preserve"> Industry</w:t>
            </w:r>
            <w:r w:rsidRPr="00662906">
              <w:rPr>
                <w:noProof/>
                <w:webHidden/>
              </w:rPr>
              <w:tab/>
            </w:r>
            <w:r w:rsidRPr="00662906">
              <w:rPr>
                <w:noProof/>
                <w:webHidden/>
              </w:rPr>
              <w:fldChar w:fldCharType="begin"/>
            </w:r>
            <w:r w:rsidRPr="00662906">
              <w:rPr>
                <w:noProof/>
                <w:webHidden/>
              </w:rPr>
              <w:instrText xml:space="preserve"> PAGEREF _Toc197433859 \h </w:instrText>
            </w:r>
            <w:r w:rsidRPr="00662906">
              <w:rPr>
                <w:noProof/>
                <w:webHidden/>
              </w:rPr>
            </w:r>
            <w:r w:rsidRPr="00662906">
              <w:rPr>
                <w:noProof/>
                <w:webHidden/>
              </w:rPr>
              <w:fldChar w:fldCharType="separate"/>
            </w:r>
            <w:r w:rsidR="00610F61">
              <w:rPr>
                <w:noProof/>
                <w:webHidden/>
              </w:rPr>
              <w:t>81</w:t>
            </w:r>
            <w:r w:rsidRPr="00662906">
              <w:rPr>
                <w:noProof/>
                <w:webHidden/>
              </w:rPr>
              <w:fldChar w:fldCharType="end"/>
            </w:r>
          </w:hyperlink>
        </w:p>
        <w:p w14:paraId="192B40D4" w14:textId="15ED3863"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0" w:history="1">
            <w:r w:rsidRPr="00662906">
              <w:rPr>
                <w:rStyle w:val="Hyperlink"/>
                <w:bCs/>
                <w:noProof/>
              </w:rPr>
              <w:t>4.6.</w:t>
            </w:r>
            <w:r w:rsidRPr="00662906">
              <w:rPr>
                <w:rStyle w:val="Hyperlink"/>
                <w:noProof/>
              </w:rPr>
              <w:t xml:space="preserve"> Oil and Gas</w:t>
            </w:r>
            <w:r w:rsidRPr="00662906">
              <w:rPr>
                <w:noProof/>
                <w:webHidden/>
              </w:rPr>
              <w:tab/>
            </w:r>
            <w:r w:rsidRPr="00662906">
              <w:rPr>
                <w:noProof/>
                <w:webHidden/>
              </w:rPr>
              <w:fldChar w:fldCharType="begin"/>
            </w:r>
            <w:r w:rsidRPr="00662906">
              <w:rPr>
                <w:noProof/>
                <w:webHidden/>
              </w:rPr>
              <w:instrText xml:space="preserve"> PAGEREF _Toc197433860 \h </w:instrText>
            </w:r>
            <w:r w:rsidRPr="00662906">
              <w:rPr>
                <w:noProof/>
                <w:webHidden/>
              </w:rPr>
            </w:r>
            <w:r w:rsidRPr="00662906">
              <w:rPr>
                <w:noProof/>
                <w:webHidden/>
              </w:rPr>
              <w:fldChar w:fldCharType="separate"/>
            </w:r>
            <w:r w:rsidR="00610F61">
              <w:rPr>
                <w:noProof/>
                <w:webHidden/>
              </w:rPr>
              <w:t>87</w:t>
            </w:r>
            <w:r w:rsidRPr="00662906">
              <w:rPr>
                <w:noProof/>
                <w:webHidden/>
              </w:rPr>
              <w:fldChar w:fldCharType="end"/>
            </w:r>
          </w:hyperlink>
        </w:p>
        <w:p w14:paraId="2B62CB13" w14:textId="2CBCD5D6"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1" w:history="1">
            <w:r w:rsidRPr="00662906">
              <w:rPr>
                <w:rStyle w:val="Hyperlink"/>
                <w:bCs/>
                <w:noProof/>
              </w:rPr>
              <w:t>4.7.</w:t>
            </w:r>
            <w:r w:rsidRPr="00662906">
              <w:rPr>
                <w:rStyle w:val="Hyperlink"/>
                <w:noProof/>
              </w:rPr>
              <w:t xml:space="preserve"> Agriculture</w:t>
            </w:r>
            <w:r w:rsidRPr="00662906">
              <w:rPr>
                <w:noProof/>
                <w:webHidden/>
              </w:rPr>
              <w:tab/>
            </w:r>
            <w:r w:rsidRPr="00662906">
              <w:rPr>
                <w:noProof/>
                <w:webHidden/>
              </w:rPr>
              <w:fldChar w:fldCharType="begin"/>
            </w:r>
            <w:r w:rsidRPr="00662906">
              <w:rPr>
                <w:noProof/>
                <w:webHidden/>
              </w:rPr>
              <w:instrText xml:space="preserve"> PAGEREF _Toc197433861 \h </w:instrText>
            </w:r>
            <w:r w:rsidRPr="00662906">
              <w:rPr>
                <w:noProof/>
                <w:webHidden/>
              </w:rPr>
            </w:r>
            <w:r w:rsidRPr="00662906">
              <w:rPr>
                <w:noProof/>
                <w:webHidden/>
              </w:rPr>
              <w:fldChar w:fldCharType="separate"/>
            </w:r>
            <w:r w:rsidR="00610F61">
              <w:rPr>
                <w:noProof/>
                <w:webHidden/>
              </w:rPr>
              <w:t>93</w:t>
            </w:r>
            <w:r w:rsidRPr="00662906">
              <w:rPr>
                <w:noProof/>
                <w:webHidden/>
              </w:rPr>
              <w:fldChar w:fldCharType="end"/>
            </w:r>
          </w:hyperlink>
        </w:p>
        <w:p w14:paraId="08156B60" w14:textId="169C072E"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2" w:history="1">
            <w:r w:rsidRPr="00662906">
              <w:rPr>
                <w:rStyle w:val="Hyperlink"/>
                <w:bCs/>
                <w:noProof/>
              </w:rPr>
              <w:t>4.8.</w:t>
            </w:r>
            <w:r w:rsidRPr="00662906">
              <w:rPr>
                <w:rStyle w:val="Hyperlink"/>
                <w:noProof/>
              </w:rPr>
              <w:t xml:space="preserve"> Clean Cooking</w:t>
            </w:r>
            <w:r w:rsidRPr="00662906">
              <w:rPr>
                <w:noProof/>
                <w:webHidden/>
              </w:rPr>
              <w:tab/>
            </w:r>
            <w:r w:rsidRPr="00662906">
              <w:rPr>
                <w:noProof/>
                <w:webHidden/>
              </w:rPr>
              <w:fldChar w:fldCharType="begin"/>
            </w:r>
            <w:r w:rsidRPr="00662906">
              <w:rPr>
                <w:noProof/>
                <w:webHidden/>
              </w:rPr>
              <w:instrText xml:space="preserve"> PAGEREF _Toc197433862 \h </w:instrText>
            </w:r>
            <w:r w:rsidRPr="00662906">
              <w:rPr>
                <w:noProof/>
                <w:webHidden/>
              </w:rPr>
            </w:r>
            <w:r w:rsidRPr="00662906">
              <w:rPr>
                <w:noProof/>
                <w:webHidden/>
              </w:rPr>
              <w:fldChar w:fldCharType="separate"/>
            </w:r>
            <w:r w:rsidR="00610F61">
              <w:rPr>
                <w:noProof/>
                <w:webHidden/>
              </w:rPr>
              <w:t>101</w:t>
            </w:r>
            <w:r w:rsidRPr="00662906">
              <w:rPr>
                <w:noProof/>
                <w:webHidden/>
              </w:rPr>
              <w:fldChar w:fldCharType="end"/>
            </w:r>
          </w:hyperlink>
        </w:p>
        <w:p w14:paraId="38C502B0" w14:textId="049F97EA"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3" w:history="1">
            <w:r w:rsidRPr="00662906">
              <w:rPr>
                <w:rStyle w:val="Hyperlink"/>
                <w:bCs/>
                <w:noProof/>
              </w:rPr>
              <w:t>4.9.</w:t>
            </w:r>
            <w:r w:rsidRPr="00662906">
              <w:rPr>
                <w:rStyle w:val="Hyperlink"/>
                <w:noProof/>
              </w:rPr>
              <w:t xml:space="preserve"> Summarized Strategic Objectives and Interventions</w:t>
            </w:r>
            <w:r w:rsidRPr="00662906">
              <w:rPr>
                <w:noProof/>
                <w:webHidden/>
              </w:rPr>
              <w:tab/>
            </w:r>
            <w:r w:rsidRPr="00662906">
              <w:rPr>
                <w:noProof/>
                <w:webHidden/>
              </w:rPr>
              <w:fldChar w:fldCharType="begin"/>
            </w:r>
            <w:r w:rsidRPr="00662906">
              <w:rPr>
                <w:noProof/>
                <w:webHidden/>
              </w:rPr>
              <w:instrText xml:space="preserve"> PAGEREF _Toc197433863 \h </w:instrText>
            </w:r>
            <w:r w:rsidRPr="00662906">
              <w:rPr>
                <w:noProof/>
                <w:webHidden/>
              </w:rPr>
            </w:r>
            <w:r w:rsidRPr="00662906">
              <w:rPr>
                <w:noProof/>
                <w:webHidden/>
              </w:rPr>
              <w:fldChar w:fldCharType="separate"/>
            </w:r>
            <w:r w:rsidR="00610F61">
              <w:rPr>
                <w:noProof/>
                <w:webHidden/>
              </w:rPr>
              <w:t>113</w:t>
            </w:r>
            <w:r w:rsidRPr="00662906">
              <w:rPr>
                <w:noProof/>
                <w:webHidden/>
              </w:rPr>
              <w:fldChar w:fldCharType="end"/>
            </w:r>
          </w:hyperlink>
        </w:p>
        <w:p w14:paraId="7904F858" w14:textId="304B9EDB"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4" w:history="1">
            <w:r w:rsidRPr="00662906">
              <w:rPr>
                <w:rStyle w:val="Hyperlink"/>
                <w:bCs/>
                <w:noProof/>
              </w:rPr>
              <w:t>4.10.</w:t>
            </w:r>
            <w:r w:rsidRPr="00662906">
              <w:rPr>
                <w:rStyle w:val="Hyperlink"/>
                <w:noProof/>
              </w:rPr>
              <w:t xml:space="preserve"> Horizontal Planning</w:t>
            </w:r>
            <w:r w:rsidRPr="00662906">
              <w:rPr>
                <w:noProof/>
                <w:webHidden/>
              </w:rPr>
              <w:tab/>
            </w:r>
            <w:r w:rsidRPr="00662906">
              <w:rPr>
                <w:noProof/>
                <w:webHidden/>
              </w:rPr>
              <w:fldChar w:fldCharType="begin"/>
            </w:r>
            <w:r w:rsidRPr="00662906">
              <w:rPr>
                <w:noProof/>
                <w:webHidden/>
              </w:rPr>
              <w:instrText xml:space="preserve"> PAGEREF _Toc197433864 \h </w:instrText>
            </w:r>
            <w:r w:rsidRPr="00662906">
              <w:rPr>
                <w:noProof/>
                <w:webHidden/>
              </w:rPr>
            </w:r>
            <w:r w:rsidRPr="00662906">
              <w:rPr>
                <w:noProof/>
                <w:webHidden/>
              </w:rPr>
              <w:fldChar w:fldCharType="separate"/>
            </w:r>
            <w:r w:rsidR="00610F61">
              <w:rPr>
                <w:noProof/>
                <w:webHidden/>
              </w:rPr>
              <w:t>114</w:t>
            </w:r>
            <w:r w:rsidRPr="00662906">
              <w:rPr>
                <w:noProof/>
                <w:webHidden/>
              </w:rPr>
              <w:fldChar w:fldCharType="end"/>
            </w:r>
          </w:hyperlink>
        </w:p>
        <w:p w14:paraId="4EB84313" w14:textId="62EC49CB"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5" w:history="1">
            <w:r w:rsidRPr="00662906">
              <w:rPr>
                <w:rStyle w:val="Hyperlink"/>
                <w:bCs/>
                <w:noProof/>
              </w:rPr>
              <w:t>4.11.</w:t>
            </w:r>
            <w:r w:rsidRPr="00662906">
              <w:rPr>
                <w:rStyle w:val="Hyperlink"/>
                <w:noProof/>
              </w:rPr>
              <w:t xml:space="preserve"> Cross Cutting issues</w:t>
            </w:r>
            <w:r w:rsidRPr="00662906">
              <w:rPr>
                <w:noProof/>
                <w:webHidden/>
              </w:rPr>
              <w:tab/>
            </w:r>
            <w:r w:rsidRPr="00662906">
              <w:rPr>
                <w:noProof/>
                <w:webHidden/>
              </w:rPr>
              <w:fldChar w:fldCharType="begin"/>
            </w:r>
            <w:r w:rsidRPr="00662906">
              <w:rPr>
                <w:noProof/>
                <w:webHidden/>
              </w:rPr>
              <w:instrText xml:space="preserve"> PAGEREF _Toc197433865 \h </w:instrText>
            </w:r>
            <w:r w:rsidRPr="00662906">
              <w:rPr>
                <w:noProof/>
                <w:webHidden/>
              </w:rPr>
            </w:r>
            <w:r w:rsidRPr="00662906">
              <w:rPr>
                <w:noProof/>
                <w:webHidden/>
              </w:rPr>
              <w:fldChar w:fldCharType="separate"/>
            </w:r>
            <w:r w:rsidR="00610F61">
              <w:rPr>
                <w:noProof/>
                <w:webHidden/>
              </w:rPr>
              <w:t>115</w:t>
            </w:r>
            <w:r w:rsidRPr="00662906">
              <w:rPr>
                <w:noProof/>
                <w:webHidden/>
              </w:rPr>
              <w:fldChar w:fldCharType="end"/>
            </w:r>
          </w:hyperlink>
        </w:p>
        <w:p w14:paraId="0DF21A87" w14:textId="7E943F58"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6" w:history="1">
            <w:r w:rsidRPr="00662906">
              <w:rPr>
                <w:rStyle w:val="Hyperlink"/>
                <w:bCs/>
                <w:noProof/>
              </w:rPr>
              <w:t>4.12.</w:t>
            </w:r>
            <w:r w:rsidRPr="00662906">
              <w:rPr>
                <w:rStyle w:val="Hyperlink"/>
                <w:noProof/>
              </w:rPr>
              <w:t xml:space="preserve"> Cross Sectoral Issues</w:t>
            </w:r>
            <w:r w:rsidRPr="00662906">
              <w:rPr>
                <w:noProof/>
                <w:webHidden/>
              </w:rPr>
              <w:tab/>
            </w:r>
            <w:r w:rsidRPr="00662906">
              <w:rPr>
                <w:noProof/>
                <w:webHidden/>
              </w:rPr>
              <w:fldChar w:fldCharType="begin"/>
            </w:r>
            <w:r w:rsidRPr="00662906">
              <w:rPr>
                <w:noProof/>
                <w:webHidden/>
              </w:rPr>
              <w:instrText xml:space="preserve"> PAGEREF _Toc197433866 \h </w:instrText>
            </w:r>
            <w:r w:rsidRPr="00662906">
              <w:rPr>
                <w:noProof/>
                <w:webHidden/>
              </w:rPr>
            </w:r>
            <w:r w:rsidRPr="00662906">
              <w:rPr>
                <w:noProof/>
                <w:webHidden/>
              </w:rPr>
              <w:fldChar w:fldCharType="separate"/>
            </w:r>
            <w:r w:rsidR="00610F61">
              <w:rPr>
                <w:noProof/>
                <w:webHidden/>
              </w:rPr>
              <w:t>117</w:t>
            </w:r>
            <w:r w:rsidRPr="00662906">
              <w:rPr>
                <w:noProof/>
                <w:webHidden/>
              </w:rPr>
              <w:fldChar w:fldCharType="end"/>
            </w:r>
          </w:hyperlink>
        </w:p>
        <w:p w14:paraId="1BF072BB" w14:textId="2D34CA02"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67" w:history="1">
            <w:r w:rsidRPr="00662906">
              <w:rPr>
                <w:rStyle w:val="Hyperlink"/>
                <w:noProof/>
              </w:rPr>
              <w:t>5.</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IMPLEMENTATION PLAN</w:t>
            </w:r>
            <w:r w:rsidRPr="00662906">
              <w:rPr>
                <w:noProof/>
                <w:webHidden/>
              </w:rPr>
              <w:tab/>
            </w:r>
            <w:r w:rsidRPr="00662906">
              <w:rPr>
                <w:noProof/>
                <w:webHidden/>
              </w:rPr>
              <w:fldChar w:fldCharType="begin"/>
            </w:r>
            <w:r w:rsidRPr="00662906">
              <w:rPr>
                <w:noProof/>
                <w:webHidden/>
              </w:rPr>
              <w:instrText xml:space="preserve"> PAGEREF _Toc197433867 \h </w:instrText>
            </w:r>
            <w:r w:rsidRPr="00662906">
              <w:rPr>
                <w:noProof/>
                <w:webHidden/>
              </w:rPr>
            </w:r>
            <w:r w:rsidRPr="00662906">
              <w:rPr>
                <w:noProof/>
                <w:webHidden/>
              </w:rPr>
              <w:fldChar w:fldCharType="separate"/>
            </w:r>
            <w:r w:rsidR="00610F61">
              <w:rPr>
                <w:noProof/>
                <w:webHidden/>
              </w:rPr>
              <w:t>119</w:t>
            </w:r>
            <w:r w:rsidRPr="00662906">
              <w:rPr>
                <w:noProof/>
                <w:webHidden/>
              </w:rPr>
              <w:fldChar w:fldCharType="end"/>
            </w:r>
          </w:hyperlink>
        </w:p>
        <w:p w14:paraId="726E208F" w14:textId="0DBDAFE6"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8" w:history="1">
            <w:r w:rsidRPr="00662906">
              <w:rPr>
                <w:rStyle w:val="Hyperlink"/>
                <w:bCs/>
                <w:noProof/>
              </w:rPr>
              <w:t>5.1.</w:t>
            </w:r>
            <w:r w:rsidRPr="00662906">
              <w:rPr>
                <w:rStyle w:val="Hyperlink"/>
                <w:noProof/>
              </w:rPr>
              <w:t xml:space="preserve"> Guiding Principles</w:t>
            </w:r>
            <w:r w:rsidRPr="00662906">
              <w:rPr>
                <w:noProof/>
                <w:webHidden/>
              </w:rPr>
              <w:tab/>
            </w:r>
            <w:r w:rsidRPr="00662906">
              <w:rPr>
                <w:noProof/>
                <w:webHidden/>
              </w:rPr>
              <w:fldChar w:fldCharType="begin"/>
            </w:r>
            <w:r w:rsidRPr="00662906">
              <w:rPr>
                <w:noProof/>
                <w:webHidden/>
              </w:rPr>
              <w:instrText xml:space="preserve"> PAGEREF _Toc197433868 \h </w:instrText>
            </w:r>
            <w:r w:rsidRPr="00662906">
              <w:rPr>
                <w:noProof/>
                <w:webHidden/>
              </w:rPr>
            </w:r>
            <w:r w:rsidRPr="00662906">
              <w:rPr>
                <w:noProof/>
                <w:webHidden/>
              </w:rPr>
              <w:fldChar w:fldCharType="separate"/>
            </w:r>
            <w:r w:rsidR="00610F61">
              <w:rPr>
                <w:noProof/>
                <w:webHidden/>
              </w:rPr>
              <w:t>119</w:t>
            </w:r>
            <w:r w:rsidRPr="00662906">
              <w:rPr>
                <w:noProof/>
                <w:webHidden/>
              </w:rPr>
              <w:fldChar w:fldCharType="end"/>
            </w:r>
          </w:hyperlink>
        </w:p>
        <w:p w14:paraId="05E409BC" w14:textId="5FF3733E"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69" w:history="1">
            <w:r w:rsidRPr="00662906">
              <w:rPr>
                <w:rStyle w:val="Hyperlink"/>
                <w:bCs/>
                <w:noProof/>
              </w:rPr>
              <w:t>5.2.</w:t>
            </w:r>
            <w:r w:rsidRPr="00662906">
              <w:rPr>
                <w:rStyle w:val="Hyperlink"/>
                <w:noProof/>
              </w:rPr>
              <w:t xml:space="preserve"> Institutional Roles</w:t>
            </w:r>
            <w:r w:rsidRPr="00662906">
              <w:rPr>
                <w:noProof/>
                <w:webHidden/>
              </w:rPr>
              <w:tab/>
            </w:r>
            <w:r w:rsidRPr="00662906">
              <w:rPr>
                <w:noProof/>
                <w:webHidden/>
              </w:rPr>
              <w:fldChar w:fldCharType="begin"/>
            </w:r>
            <w:r w:rsidRPr="00662906">
              <w:rPr>
                <w:noProof/>
                <w:webHidden/>
              </w:rPr>
              <w:instrText xml:space="preserve"> PAGEREF _Toc197433869 \h </w:instrText>
            </w:r>
            <w:r w:rsidRPr="00662906">
              <w:rPr>
                <w:noProof/>
                <w:webHidden/>
              </w:rPr>
            </w:r>
            <w:r w:rsidRPr="00662906">
              <w:rPr>
                <w:noProof/>
                <w:webHidden/>
              </w:rPr>
              <w:fldChar w:fldCharType="separate"/>
            </w:r>
            <w:r w:rsidR="00610F61">
              <w:rPr>
                <w:noProof/>
                <w:webHidden/>
              </w:rPr>
              <w:t>119</w:t>
            </w:r>
            <w:r w:rsidRPr="00662906">
              <w:rPr>
                <w:noProof/>
                <w:webHidden/>
              </w:rPr>
              <w:fldChar w:fldCharType="end"/>
            </w:r>
          </w:hyperlink>
        </w:p>
        <w:p w14:paraId="18562779" w14:textId="1B9B342C"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70" w:history="1">
            <w:r w:rsidRPr="00662906">
              <w:rPr>
                <w:rStyle w:val="Hyperlink"/>
                <w:bCs/>
                <w:noProof/>
              </w:rPr>
              <w:t>5.3.</w:t>
            </w:r>
            <w:r w:rsidRPr="00662906">
              <w:rPr>
                <w:rStyle w:val="Hyperlink"/>
                <w:noProof/>
              </w:rPr>
              <w:t xml:space="preserve"> Financing Options and Resource mobilization for the ETSAP</w:t>
            </w:r>
            <w:r w:rsidRPr="00662906">
              <w:rPr>
                <w:noProof/>
                <w:webHidden/>
              </w:rPr>
              <w:tab/>
            </w:r>
            <w:r w:rsidRPr="00662906">
              <w:rPr>
                <w:noProof/>
                <w:webHidden/>
              </w:rPr>
              <w:fldChar w:fldCharType="begin"/>
            </w:r>
            <w:r w:rsidRPr="00662906">
              <w:rPr>
                <w:noProof/>
                <w:webHidden/>
              </w:rPr>
              <w:instrText xml:space="preserve"> PAGEREF _Toc197433870 \h </w:instrText>
            </w:r>
            <w:r w:rsidRPr="00662906">
              <w:rPr>
                <w:noProof/>
                <w:webHidden/>
              </w:rPr>
            </w:r>
            <w:r w:rsidRPr="00662906">
              <w:rPr>
                <w:noProof/>
                <w:webHidden/>
              </w:rPr>
              <w:fldChar w:fldCharType="separate"/>
            </w:r>
            <w:r w:rsidR="00610F61">
              <w:rPr>
                <w:noProof/>
                <w:webHidden/>
              </w:rPr>
              <w:t>123</w:t>
            </w:r>
            <w:r w:rsidRPr="00662906">
              <w:rPr>
                <w:noProof/>
                <w:webHidden/>
              </w:rPr>
              <w:fldChar w:fldCharType="end"/>
            </w:r>
          </w:hyperlink>
        </w:p>
        <w:p w14:paraId="3C350CF2" w14:textId="61033FAD"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1" w:history="1">
            <w:r w:rsidRPr="00662906">
              <w:rPr>
                <w:rStyle w:val="Hyperlink"/>
                <w:noProof/>
              </w:rPr>
              <w:t>5.3.1. Financing the ETSAP</w:t>
            </w:r>
            <w:r w:rsidRPr="00662906">
              <w:rPr>
                <w:noProof/>
                <w:webHidden/>
              </w:rPr>
              <w:tab/>
            </w:r>
            <w:r w:rsidRPr="00662906">
              <w:rPr>
                <w:noProof/>
                <w:webHidden/>
              </w:rPr>
              <w:fldChar w:fldCharType="begin"/>
            </w:r>
            <w:r w:rsidRPr="00662906">
              <w:rPr>
                <w:noProof/>
                <w:webHidden/>
              </w:rPr>
              <w:instrText xml:space="preserve"> PAGEREF _Toc197433871 \h </w:instrText>
            </w:r>
            <w:r w:rsidRPr="00662906">
              <w:rPr>
                <w:noProof/>
                <w:webHidden/>
              </w:rPr>
            </w:r>
            <w:r w:rsidRPr="00662906">
              <w:rPr>
                <w:noProof/>
                <w:webHidden/>
              </w:rPr>
              <w:fldChar w:fldCharType="separate"/>
            </w:r>
            <w:r w:rsidR="00610F61">
              <w:rPr>
                <w:noProof/>
                <w:webHidden/>
              </w:rPr>
              <w:t>123</w:t>
            </w:r>
            <w:r w:rsidRPr="00662906">
              <w:rPr>
                <w:noProof/>
                <w:webHidden/>
              </w:rPr>
              <w:fldChar w:fldCharType="end"/>
            </w:r>
          </w:hyperlink>
        </w:p>
        <w:p w14:paraId="5A3E7E66" w14:textId="50EEFA37"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2" w:history="1">
            <w:r w:rsidRPr="00662906">
              <w:rPr>
                <w:rStyle w:val="Hyperlink"/>
                <w:noProof/>
              </w:rPr>
              <w:t>5.3.2. Budgeting Assumptions and Estimation</w:t>
            </w:r>
            <w:r w:rsidRPr="00662906">
              <w:rPr>
                <w:noProof/>
                <w:webHidden/>
              </w:rPr>
              <w:tab/>
            </w:r>
            <w:r w:rsidRPr="00662906">
              <w:rPr>
                <w:noProof/>
                <w:webHidden/>
              </w:rPr>
              <w:fldChar w:fldCharType="begin"/>
            </w:r>
            <w:r w:rsidRPr="00662906">
              <w:rPr>
                <w:noProof/>
                <w:webHidden/>
              </w:rPr>
              <w:instrText xml:space="preserve"> PAGEREF _Toc197433872 \h </w:instrText>
            </w:r>
            <w:r w:rsidRPr="00662906">
              <w:rPr>
                <w:noProof/>
                <w:webHidden/>
              </w:rPr>
            </w:r>
            <w:r w:rsidRPr="00662906">
              <w:rPr>
                <w:noProof/>
                <w:webHidden/>
              </w:rPr>
              <w:fldChar w:fldCharType="separate"/>
            </w:r>
            <w:r w:rsidR="00610F61">
              <w:rPr>
                <w:noProof/>
                <w:webHidden/>
              </w:rPr>
              <w:t>125</w:t>
            </w:r>
            <w:r w:rsidRPr="00662906">
              <w:rPr>
                <w:noProof/>
                <w:webHidden/>
              </w:rPr>
              <w:fldChar w:fldCharType="end"/>
            </w:r>
          </w:hyperlink>
        </w:p>
        <w:p w14:paraId="2A83EAC5" w14:textId="126E5ABC"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73" w:history="1">
            <w:r w:rsidRPr="00662906">
              <w:rPr>
                <w:rStyle w:val="Hyperlink"/>
                <w:bCs/>
                <w:noProof/>
              </w:rPr>
              <w:t>5.4.</w:t>
            </w:r>
            <w:r w:rsidRPr="00662906">
              <w:rPr>
                <w:rStyle w:val="Hyperlink"/>
                <w:noProof/>
              </w:rPr>
              <w:t xml:space="preserve"> Monitoring and Evaluation Framework</w:t>
            </w:r>
            <w:r w:rsidRPr="00662906">
              <w:rPr>
                <w:noProof/>
                <w:webHidden/>
              </w:rPr>
              <w:tab/>
            </w:r>
            <w:r w:rsidRPr="00662906">
              <w:rPr>
                <w:noProof/>
                <w:webHidden/>
              </w:rPr>
              <w:fldChar w:fldCharType="begin"/>
            </w:r>
            <w:r w:rsidRPr="00662906">
              <w:rPr>
                <w:noProof/>
                <w:webHidden/>
              </w:rPr>
              <w:instrText xml:space="preserve"> PAGEREF _Toc197433873 \h </w:instrText>
            </w:r>
            <w:r w:rsidRPr="00662906">
              <w:rPr>
                <w:noProof/>
                <w:webHidden/>
              </w:rPr>
            </w:r>
            <w:r w:rsidRPr="00662906">
              <w:rPr>
                <w:noProof/>
                <w:webHidden/>
              </w:rPr>
              <w:fldChar w:fldCharType="separate"/>
            </w:r>
            <w:r w:rsidR="00610F61">
              <w:rPr>
                <w:noProof/>
                <w:webHidden/>
              </w:rPr>
              <w:t>129</w:t>
            </w:r>
            <w:r w:rsidRPr="00662906">
              <w:rPr>
                <w:noProof/>
                <w:webHidden/>
              </w:rPr>
              <w:fldChar w:fldCharType="end"/>
            </w:r>
          </w:hyperlink>
        </w:p>
        <w:p w14:paraId="21D247A2" w14:textId="1FDB3A1F"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4" w:history="1">
            <w:r w:rsidRPr="00662906">
              <w:rPr>
                <w:rStyle w:val="Hyperlink"/>
                <w:noProof/>
              </w:rPr>
              <w:t>5.4.1. Formulation of the M&amp;E Framework</w:t>
            </w:r>
            <w:r w:rsidRPr="00662906">
              <w:rPr>
                <w:noProof/>
                <w:webHidden/>
              </w:rPr>
              <w:tab/>
            </w:r>
            <w:r w:rsidRPr="00662906">
              <w:rPr>
                <w:noProof/>
                <w:webHidden/>
              </w:rPr>
              <w:fldChar w:fldCharType="begin"/>
            </w:r>
            <w:r w:rsidRPr="00662906">
              <w:rPr>
                <w:noProof/>
                <w:webHidden/>
              </w:rPr>
              <w:instrText xml:space="preserve"> PAGEREF _Toc197433874 \h </w:instrText>
            </w:r>
            <w:r w:rsidRPr="00662906">
              <w:rPr>
                <w:noProof/>
                <w:webHidden/>
              </w:rPr>
            </w:r>
            <w:r w:rsidRPr="00662906">
              <w:rPr>
                <w:noProof/>
                <w:webHidden/>
              </w:rPr>
              <w:fldChar w:fldCharType="separate"/>
            </w:r>
            <w:r w:rsidR="00610F61">
              <w:rPr>
                <w:noProof/>
                <w:webHidden/>
              </w:rPr>
              <w:t>129</w:t>
            </w:r>
            <w:r w:rsidRPr="00662906">
              <w:rPr>
                <w:noProof/>
                <w:webHidden/>
              </w:rPr>
              <w:fldChar w:fldCharType="end"/>
            </w:r>
          </w:hyperlink>
        </w:p>
        <w:p w14:paraId="1B12D0F2" w14:textId="2B862C23"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5" w:history="1">
            <w:r w:rsidRPr="00662906">
              <w:rPr>
                <w:rStyle w:val="Hyperlink"/>
                <w:noProof/>
              </w:rPr>
              <w:t>5.4.2. Evaluation Framework</w:t>
            </w:r>
            <w:r w:rsidRPr="00662906">
              <w:rPr>
                <w:noProof/>
                <w:webHidden/>
              </w:rPr>
              <w:tab/>
            </w:r>
            <w:r w:rsidRPr="00662906">
              <w:rPr>
                <w:noProof/>
                <w:webHidden/>
              </w:rPr>
              <w:fldChar w:fldCharType="begin"/>
            </w:r>
            <w:r w:rsidRPr="00662906">
              <w:rPr>
                <w:noProof/>
                <w:webHidden/>
              </w:rPr>
              <w:instrText xml:space="preserve"> PAGEREF _Toc197433875 \h </w:instrText>
            </w:r>
            <w:r w:rsidRPr="00662906">
              <w:rPr>
                <w:noProof/>
                <w:webHidden/>
              </w:rPr>
            </w:r>
            <w:r w:rsidRPr="00662906">
              <w:rPr>
                <w:noProof/>
                <w:webHidden/>
              </w:rPr>
              <w:fldChar w:fldCharType="separate"/>
            </w:r>
            <w:r w:rsidR="00610F61">
              <w:rPr>
                <w:noProof/>
                <w:webHidden/>
              </w:rPr>
              <w:t>134</w:t>
            </w:r>
            <w:r w:rsidRPr="00662906">
              <w:rPr>
                <w:noProof/>
                <w:webHidden/>
              </w:rPr>
              <w:fldChar w:fldCharType="end"/>
            </w:r>
          </w:hyperlink>
        </w:p>
        <w:p w14:paraId="3BE68524" w14:textId="2D13F48A"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76" w:history="1">
            <w:r w:rsidRPr="00662906">
              <w:rPr>
                <w:rStyle w:val="Hyperlink"/>
                <w:bCs/>
                <w:noProof/>
              </w:rPr>
              <w:t>5.5.</w:t>
            </w:r>
            <w:r w:rsidRPr="00662906">
              <w:rPr>
                <w:rStyle w:val="Hyperlink"/>
                <w:noProof/>
              </w:rPr>
              <w:t xml:space="preserve"> Communication Plan</w:t>
            </w:r>
            <w:r w:rsidRPr="00662906">
              <w:rPr>
                <w:noProof/>
                <w:webHidden/>
              </w:rPr>
              <w:tab/>
            </w:r>
            <w:r w:rsidRPr="00662906">
              <w:rPr>
                <w:noProof/>
                <w:webHidden/>
              </w:rPr>
              <w:fldChar w:fldCharType="begin"/>
            </w:r>
            <w:r w:rsidRPr="00662906">
              <w:rPr>
                <w:noProof/>
                <w:webHidden/>
              </w:rPr>
              <w:instrText xml:space="preserve"> PAGEREF _Toc197433876 \h </w:instrText>
            </w:r>
            <w:r w:rsidRPr="00662906">
              <w:rPr>
                <w:noProof/>
                <w:webHidden/>
              </w:rPr>
            </w:r>
            <w:r w:rsidRPr="00662906">
              <w:rPr>
                <w:noProof/>
                <w:webHidden/>
              </w:rPr>
              <w:fldChar w:fldCharType="separate"/>
            </w:r>
            <w:r w:rsidR="00610F61">
              <w:rPr>
                <w:noProof/>
                <w:webHidden/>
              </w:rPr>
              <w:t>134</w:t>
            </w:r>
            <w:r w:rsidRPr="00662906">
              <w:rPr>
                <w:noProof/>
                <w:webHidden/>
              </w:rPr>
              <w:fldChar w:fldCharType="end"/>
            </w:r>
          </w:hyperlink>
        </w:p>
        <w:p w14:paraId="158E9CE2" w14:textId="18562DE1"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7" w:history="1">
            <w:r w:rsidRPr="00662906">
              <w:rPr>
                <w:rStyle w:val="Hyperlink"/>
                <w:noProof/>
              </w:rPr>
              <w:t>5.5.1. Specific Objectives of the Communication Plan</w:t>
            </w:r>
            <w:r w:rsidRPr="00662906">
              <w:rPr>
                <w:noProof/>
                <w:webHidden/>
              </w:rPr>
              <w:tab/>
            </w:r>
            <w:r w:rsidRPr="00662906">
              <w:rPr>
                <w:noProof/>
                <w:webHidden/>
              </w:rPr>
              <w:fldChar w:fldCharType="begin"/>
            </w:r>
            <w:r w:rsidRPr="00662906">
              <w:rPr>
                <w:noProof/>
                <w:webHidden/>
              </w:rPr>
              <w:instrText xml:space="preserve"> PAGEREF _Toc197433877 \h </w:instrText>
            </w:r>
            <w:r w:rsidRPr="00662906">
              <w:rPr>
                <w:noProof/>
                <w:webHidden/>
              </w:rPr>
            </w:r>
            <w:r w:rsidRPr="00662906">
              <w:rPr>
                <w:noProof/>
                <w:webHidden/>
              </w:rPr>
              <w:fldChar w:fldCharType="separate"/>
            </w:r>
            <w:r w:rsidR="00610F61">
              <w:rPr>
                <w:noProof/>
                <w:webHidden/>
              </w:rPr>
              <w:t>134</w:t>
            </w:r>
            <w:r w:rsidRPr="00662906">
              <w:rPr>
                <w:noProof/>
                <w:webHidden/>
              </w:rPr>
              <w:fldChar w:fldCharType="end"/>
            </w:r>
          </w:hyperlink>
        </w:p>
        <w:p w14:paraId="1B2545AC" w14:textId="2D9C394F"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8" w:history="1">
            <w:r w:rsidRPr="00662906">
              <w:rPr>
                <w:rStyle w:val="Hyperlink"/>
                <w:noProof/>
              </w:rPr>
              <w:t>5.5.2. Communication Principles and General Approach</w:t>
            </w:r>
            <w:r w:rsidRPr="00662906">
              <w:rPr>
                <w:noProof/>
                <w:webHidden/>
              </w:rPr>
              <w:tab/>
            </w:r>
            <w:r w:rsidRPr="00662906">
              <w:rPr>
                <w:noProof/>
                <w:webHidden/>
              </w:rPr>
              <w:fldChar w:fldCharType="begin"/>
            </w:r>
            <w:r w:rsidRPr="00662906">
              <w:rPr>
                <w:noProof/>
                <w:webHidden/>
              </w:rPr>
              <w:instrText xml:space="preserve"> PAGEREF _Toc197433878 \h </w:instrText>
            </w:r>
            <w:r w:rsidRPr="00662906">
              <w:rPr>
                <w:noProof/>
                <w:webHidden/>
              </w:rPr>
            </w:r>
            <w:r w:rsidRPr="00662906">
              <w:rPr>
                <w:noProof/>
                <w:webHidden/>
              </w:rPr>
              <w:fldChar w:fldCharType="separate"/>
            </w:r>
            <w:r w:rsidR="00610F61">
              <w:rPr>
                <w:noProof/>
                <w:webHidden/>
              </w:rPr>
              <w:t>136</w:t>
            </w:r>
            <w:r w:rsidRPr="00662906">
              <w:rPr>
                <w:noProof/>
                <w:webHidden/>
              </w:rPr>
              <w:fldChar w:fldCharType="end"/>
            </w:r>
          </w:hyperlink>
        </w:p>
        <w:p w14:paraId="7FEE9A77" w14:textId="467C18E5"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79" w:history="1">
            <w:r w:rsidRPr="00662906">
              <w:rPr>
                <w:rStyle w:val="Hyperlink"/>
                <w:noProof/>
              </w:rPr>
              <w:t>5.5.3. Target Audiences and Key Messages to be disseminated</w:t>
            </w:r>
            <w:r w:rsidRPr="00662906">
              <w:rPr>
                <w:noProof/>
                <w:webHidden/>
              </w:rPr>
              <w:tab/>
            </w:r>
            <w:r w:rsidRPr="00662906">
              <w:rPr>
                <w:noProof/>
                <w:webHidden/>
              </w:rPr>
              <w:fldChar w:fldCharType="begin"/>
            </w:r>
            <w:r w:rsidRPr="00662906">
              <w:rPr>
                <w:noProof/>
                <w:webHidden/>
              </w:rPr>
              <w:instrText xml:space="preserve"> PAGEREF _Toc197433879 \h </w:instrText>
            </w:r>
            <w:r w:rsidRPr="00662906">
              <w:rPr>
                <w:noProof/>
                <w:webHidden/>
              </w:rPr>
            </w:r>
            <w:r w:rsidRPr="00662906">
              <w:rPr>
                <w:noProof/>
                <w:webHidden/>
              </w:rPr>
              <w:fldChar w:fldCharType="separate"/>
            </w:r>
            <w:r w:rsidR="00610F61">
              <w:rPr>
                <w:noProof/>
                <w:webHidden/>
              </w:rPr>
              <w:t>137</w:t>
            </w:r>
            <w:r w:rsidRPr="00662906">
              <w:rPr>
                <w:noProof/>
                <w:webHidden/>
              </w:rPr>
              <w:fldChar w:fldCharType="end"/>
            </w:r>
          </w:hyperlink>
        </w:p>
        <w:p w14:paraId="7FA8D644" w14:textId="5A62E870" w:rsidR="00F7188C" w:rsidRPr="00662906" w:rsidRDefault="00F7188C">
          <w:pPr>
            <w:pStyle w:val="TOC3"/>
            <w:tabs>
              <w:tab w:val="right" w:leader="dot" w:pos="9016"/>
            </w:tabs>
            <w:rPr>
              <w:rFonts w:eastAsiaTheme="minorEastAsia" w:cstheme="minorBidi"/>
              <w:i w:val="0"/>
              <w:iCs w:val="0"/>
              <w:noProof/>
              <w:color w:val="auto"/>
              <w:kern w:val="2"/>
              <w:sz w:val="24"/>
              <w:szCs w:val="24"/>
              <w:lang w:eastAsia="en-GB"/>
              <w14:ligatures w14:val="standardContextual"/>
            </w:rPr>
          </w:pPr>
          <w:hyperlink w:anchor="_Toc197433880" w:history="1">
            <w:r w:rsidRPr="00662906">
              <w:rPr>
                <w:rStyle w:val="Hyperlink"/>
                <w:noProof/>
              </w:rPr>
              <w:t>5.5.4. Specific Communication Tools and Channels</w:t>
            </w:r>
            <w:r w:rsidRPr="00662906">
              <w:rPr>
                <w:noProof/>
                <w:webHidden/>
              </w:rPr>
              <w:tab/>
            </w:r>
            <w:r w:rsidRPr="00662906">
              <w:rPr>
                <w:noProof/>
                <w:webHidden/>
              </w:rPr>
              <w:fldChar w:fldCharType="begin"/>
            </w:r>
            <w:r w:rsidRPr="00662906">
              <w:rPr>
                <w:noProof/>
                <w:webHidden/>
              </w:rPr>
              <w:instrText xml:space="preserve"> PAGEREF _Toc197433880 \h </w:instrText>
            </w:r>
            <w:r w:rsidRPr="00662906">
              <w:rPr>
                <w:noProof/>
                <w:webHidden/>
              </w:rPr>
            </w:r>
            <w:r w:rsidRPr="00662906">
              <w:rPr>
                <w:noProof/>
                <w:webHidden/>
              </w:rPr>
              <w:fldChar w:fldCharType="separate"/>
            </w:r>
            <w:r w:rsidR="00610F61">
              <w:rPr>
                <w:noProof/>
                <w:webHidden/>
              </w:rPr>
              <w:t>138</w:t>
            </w:r>
            <w:r w:rsidRPr="00662906">
              <w:rPr>
                <w:noProof/>
                <w:webHidden/>
              </w:rPr>
              <w:fldChar w:fldCharType="end"/>
            </w:r>
          </w:hyperlink>
        </w:p>
        <w:p w14:paraId="0B30E578" w14:textId="706548C3" w:rsidR="00F7188C" w:rsidRPr="00662906" w:rsidRDefault="00F7188C">
          <w:pPr>
            <w:pStyle w:val="TOC1"/>
            <w:tabs>
              <w:tab w:val="left" w:pos="600"/>
              <w:tab w:val="right" w:leader="dot" w:pos="9016"/>
            </w:tabs>
            <w:rPr>
              <w:rFonts w:eastAsiaTheme="minorEastAsia" w:cstheme="minorBidi"/>
              <w:b w:val="0"/>
              <w:bCs w:val="0"/>
              <w:caps w:val="0"/>
              <w:noProof/>
              <w:color w:val="auto"/>
              <w:kern w:val="2"/>
              <w:sz w:val="24"/>
              <w:szCs w:val="24"/>
              <w:lang w:eastAsia="en-GB"/>
              <w14:ligatures w14:val="standardContextual"/>
            </w:rPr>
          </w:pPr>
          <w:hyperlink w:anchor="_Toc197433881" w:history="1">
            <w:r w:rsidRPr="00662906">
              <w:rPr>
                <w:rStyle w:val="Hyperlink"/>
                <w:noProof/>
              </w:rPr>
              <w:t>6.</w:t>
            </w:r>
            <w:r w:rsidRPr="00662906">
              <w:rPr>
                <w:rFonts w:eastAsiaTheme="minorEastAsia" w:cstheme="minorBidi"/>
                <w:b w:val="0"/>
                <w:bCs w:val="0"/>
                <w:caps w:val="0"/>
                <w:noProof/>
                <w:color w:val="auto"/>
                <w:kern w:val="2"/>
                <w:sz w:val="24"/>
                <w:szCs w:val="24"/>
                <w:lang w:eastAsia="en-GB"/>
                <w14:ligatures w14:val="standardContextual"/>
              </w:rPr>
              <w:tab/>
            </w:r>
            <w:r w:rsidRPr="00662906">
              <w:rPr>
                <w:rStyle w:val="Hyperlink"/>
                <w:noProof/>
              </w:rPr>
              <w:t>ANNEXES</w:t>
            </w:r>
            <w:r w:rsidRPr="00662906">
              <w:rPr>
                <w:noProof/>
                <w:webHidden/>
              </w:rPr>
              <w:tab/>
            </w:r>
            <w:r w:rsidRPr="00662906">
              <w:rPr>
                <w:noProof/>
                <w:webHidden/>
              </w:rPr>
              <w:fldChar w:fldCharType="begin"/>
            </w:r>
            <w:r w:rsidRPr="00662906">
              <w:rPr>
                <w:noProof/>
                <w:webHidden/>
              </w:rPr>
              <w:instrText xml:space="preserve"> PAGEREF _Toc197433881 \h </w:instrText>
            </w:r>
            <w:r w:rsidRPr="00662906">
              <w:rPr>
                <w:noProof/>
                <w:webHidden/>
              </w:rPr>
            </w:r>
            <w:r w:rsidRPr="00662906">
              <w:rPr>
                <w:noProof/>
                <w:webHidden/>
              </w:rPr>
              <w:fldChar w:fldCharType="separate"/>
            </w:r>
            <w:r w:rsidR="00610F61">
              <w:rPr>
                <w:noProof/>
                <w:webHidden/>
              </w:rPr>
              <w:t>140</w:t>
            </w:r>
            <w:r w:rsidRPr="00662906">
              <w:rPr>
                <w:noProof/>
                <w:webHidden/>
              </w:rPr>
              <w:fldChar w:fldCharType="end"/>
            </w:r>
          </w:hyperlink>
        </w:p>
        <w:p w14:paraId="6DDFDC52" w14:textId="7BCDB1A3"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82" w:history="1">
            <w:r w:rsidRPr="00662906">
              <w:rPr>
                <w:rStyle w:val="Hyperlink"/>
                <w:bCs/>
                <w:noProof/>
              </w:rPr>
              <w:t>6.1.</w:t>
            </w:r>
            <w:r w:rsidRPr="00662906">
              <w:rPr>
                <w:rStyle w:val="Hyperlink"/>
                <w:noProof/>
              </w:rPr>
              <w:t xml:space="preserve"> NDCs targets analysis</w:t>
            </w:r>
            <w:r w:rsidRPr="00662906">
              <w:rPr>
                <w:noProof/>
                <w:webHidden/>
              </w:rPr>
              <w:tab/>
            </w:r>
            <w:r w:rsidRPr="00662906">
              <w:rPr>
                <w:noProof/>
                <w:webHidden/>
              </w:rPr>
              <w:fldChar w:fldCharType="begin"/>
            </w:r>
            <w:r w:rsidRPr="00662906">
              <w:rPr>
                <w:noProof/>
                <w:webHidden/>
              </w:rPr>
              <w:instrText xml:space="preserve"> PAGEREF _Toc197433882 \h </w:instrText>
            </w:r>
            <w:r w:rsidRPr="00662906">
              <w:rPr>
                <w:noProof/>
                <w:webHidden/>
              </w:rPr>
            </w:r>
            <w:r w:rsidRPr="00662906">
              <w:rPr>
                <w:noProof/>
                <w:webHidden/>
              </w:rPr>
              <w:fldChar w:fldCharType="separate"/>
            </w:r>
            <w:r w:rsidR="00610F61">
              <w:rPr>
                <w:noProof/>
                <w:webHidden/>
              </w:rPr>
              <w:t>140</w:t>
            </w:r>
            <w:r w:rsidRPr="00662906">
              <w:rPr>
                <w:noProof/>
                <w:webHidden/>
              </w:rPr>
              <w:fldChar w:fldCharType="end"/>
            </w:r>
          </w:hyperlink>
        </w:p>
        <w:p w14:paraId="40142AAD" w14:textId="22BA8785"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83" w:history="1">
            <w:r w:rsidRPr="00662906">
              <w:rPr>
                <w:rStyle w:val="Hyperlink"/>
                <w:bCs/>
                <w:noProof/>
              </w:rPr>
              <w:t>6.2.</w:t>
            </w:r>
            <w:r w:rsidRPr="00662906">
              <w:rPr>
                <w:rStyle w:val="Hyperlink"/>
                <w:noProof/>
              </w:rPr>
              <w:t xml:space="preserve"> Stocktaking Report and Guidelines for Development of Deep Decarbonization Pathways and “Low Hanging Fruit and High Impact Activities”</w:t>
            </w:r>
            <w:r w:rsidRPr="00662906">
              <w:rPr>
                <w:noProof/>
                <w:webHidden/>
              </w:rPr>
              <w:tab/>
            </w:r>
            <w:r w:rsidRPr="00662906">
              <w:rPr>
                <w:noProof/>
                <w:webHidden/>
              </w:rPr>
              <w:fldChar w:fldCharType="begin"/>
            </w:r>
            <w:r w:rsidRPr="00662906">
              <w:rPr>
                <w:noProof/>
                <w:webHidden/>
              </w:rPr>
              <w:instrText xml:space="preserve"> PAGEREF _Toc197433883 \h </w:instrText>
            </w:r>
            <w:r w:rsidRPr="00662906">
              <w:rPr>
                <w:noProof/>
                <w:webHidden/>
              </w:rPr>
            </w:r>
            <w:r w:rsidRPr="00662906">
              <w:rPr>
                <w:noProof/>
                <w:webHidden/>
              </w:rPr>
              <w:fldChar w:fldCharType="separate"/>
            </w:r>
            <w:r w:rsidR="00610F61">
              <w:rPr>
                <w:noProof/>
                <w:webHidden/>
              </w:rPr>
              <w:t>141</w:t>
            </w:r>
            <w:r w:rsidRPr="00662906">
              <w:rPr>
                <w:noProof/>
                <w:webHidden/>
              </w:rPr>
              <w:fldChar w:fldCharType="end"/>
            </w:r>
          </w:hyperlink>
        </w:p>
        <w:p w14:paraId="60B61679" w14:textId="03FEB769" w:rsidR="00F7188C" w:rsidRPr="00662906" w:rsidRDefault="00F7188C">
          <w:pPr>
            <w:pStyle w:val="TOC2"/>
            <w:tabs>
              <w:tab w:val="right" w:leader="dot" w:pos="9016"/>
            </w:tabs>
            <w:rPr>
              <w:rFonts w:eastAsiaTheme="minorEastAsia" w:cstheme="minorBidi"/>
              <w:smallCaps w:val="0"/>
              <w:noProof/>
              <w:color w:val="auto"/>
              <w:kern w:val="2"/>
              <w:sz w:val="24"/>
              <w:szCs w:val="24"/>
              <w:lang w:eastAsia="en-GB"/>
              <w14:ligatures w14:val="standardContextual"/>
            </w:rPr>
          </w:pPr>
          <w:hyperlink w:anchor="_Toc197433884" w:history="1">
            <w:r w:rsidRPr="00662906">
              <w:rPr>
                <w:rStyle w:val="Hyperlink"/>
                <w:bCs/>
                <w:noProof/>
              </w:rPr>
              <w:t>6.3.</w:t>
            </w:r>
            <w:r w:rsidRPr="00662906">
              <w:rPr>
                <w:rStyle w:val="Hyperlink"/>
                <w:noProof/>
              </w:rPr>
              <w:t xml:space="preserve"> Referenced Past AU Adopted Strategies and Frameworks</w:t>
            </w:r>
            <w:r w:rsidRPr="00662906">
              <w:rPr>
                <w:noProof/>
                <w:webHidden/>
              </w:rPr>
              <w:tab/>
            </w:r>
            <w:r w:rsidRPr="00662906">
              <w:rPr>
                <w:noProof/>
                <w:webHidden/>
              </w:rPr>
              <w:fldChar w:fldCharType="begin"/>
            </w:r>
            <w:r w:rsidRPr="00662906">
              <w:rPr>
                <w:noProof/>
                <w:webHidden/>
              </w:rPr>
              <w:instrText xml:space="preserve"> PAGEREF _Toc197433884 \h </w:instrText>
            </w:r>
            <w:r w:rsidRPr="00662906">
              <w:rPr>
                <w:noProof/>
                <w:webHidden/>
              </w:rPr>
            </w:r>
            <w:r w:rsidRPr="00662906">
              <w:rPr>
                <w:noProof/>
                <w:webHidden/>
              </w:rPr>
              <w:fldChar w:fldCharType="separate"/>
            </w:r>
            <w:r w:rsidR="00610F61">
              <w:rPr>
                <w:noProof/>
                <w:webHidden/>
              </w:rPr>
              <w:t>142</w:t>
            </w:r>
            <w:r w:rsidRPr="00662906">
              <w:rPr>
                <w:noProof/>
                <w:webHidden/>
              </w:rPr>
              <w:fldChar w:fldCharType="end"/>
            </w:r>
          </w:hyperlink>
        </w:p>
        <w:p w14:paraId="69A03B51" w14:textId="448901D0" w:rsidR="007613C5" w:rsidRPr="00662906" w:rsidRDefault="007613C5" w:rsidP="003C2A99">
          <w:pPr>
            <w:spacing w:before="40" w:after="40"/>
          </w:pPr>
          <w:r w:rsidRPr="00662906">
            <w:rPr>
              <w:rFonts w:cs="Arial"/>
              <w:b/>
              <w:bCs/>
            </w:rPr>
            <w:fldChar w:fldCharType="end"/>
          </w:r>
        </w:p>
      </w:sdtContent>
    </w:sdt>
    <w:p w14:paraId="46AE0D5D" w14:textId="7BFF8EB4" w:rsidR="00381F97" w:rsidRPr="00662906" w:rsidRDefault="005459C7" w:rsidP="00813F48">
      <w:pPr>
        <w:pStyle w:val="TableofFigures"/>
        <w:tabs>
          <w:tab w:val="right" w:leader="dot" w:pos="9016"/>
        </w:tabs>
        <w:spacing w:before="80" w:after="80"/>
        <w:rPr>
          <w:rFonts w:cs="Arial"/>
          <w:b/>
          <w:bCs/>
          <w:color w:val="348F41" w:themeColor="text1"/>
          <w:sz w:val="26"/>
        </w:rPr>
      </w:pPr>
      <w:bookmarkStart w:id="9" w:name="_Toc176442052"/>
      <w:bookmarkStart w:id="10" w:name="_Toc178937413"/>
      <w:r w:rsidRPr="00662906">
        <w:rPr>
          <w:rFonts w:cs="Arial"/>
          <w:b/>
          <w:bCs/>
          <w:color w:val="348F41" w:themeColor="text1"/>
          <w:sz w:val="26"/>
        </w:rPr>
        <w:t>List</w:t>
      </w:r>
      <w:r w:rsidR="00381F97" w:rsidRPr="00662906">
        <w:rPr>
          <w:rFonts w:cs="Arial"/>
          <w:b/>
          <w:bCs/>
          <w:color w:val="348F41" w:themeColor="text1"/>
          <w:sz w:val="26"/>
        </w:rPr>
        <w:t xml:space="preserve"> of </w:t>
      </w:r>
      <w:r w:rsidRPr="00662906">
        <w:rPr>
          <w:rFonts w:cs="Arial"/>
          <w:b/>
          <w:bCs/>
          <w:color w:val="348F41" w:themeColor="text1"/>
          <w:sz w:val="26"/>
        </w:rPr>
        <w:t>Tables</w:t>
      </w:r>
      <w:bookmarkEnd w:id="7"/>
      <w:bookmarkEnd w:id="6"/>
      <w:bookmarkEnd w:id="5"/>
      <w:bookmarkEnd w:id="4"/>
      <w:bookmarkEnd w:id="3"/>
      <w:bookmarkEnd w:id="2"/>
      <w:bookmarkEnd w:id="1"/>
      <w:bookmarkEnd w:id="9"/>
      <w:bookmarkEnd w:id="10"/>
    </w:p>
    <w:p w14:paraId="513A754E" w14:textId="178C63D6" w:rsidR="00F7188C" w:rsidRPr="00662906" w:rsidRDefault="001246D0">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rsidRPr="00662906">
        <w:fldChar w:fldCharType="begin"/>
      </w:r>
      <w:r w:rsidRPr="00662906">
        <w:instrText xml:space="preserve"> TOC \h \z \c "Table" </w:instrText>
      </w:r>
      <w:r w:rsidRPr="00662906">
        <w:fldChar w:fldCharType="separate"/>
      </w:r>
      <w:hyperlink w:anchor="_Toc197433885" w:history="1">
        <w:r w:rsidR="00F7188C" w:rsidRPr="00662906">
          <w:rPr>
            <w:rStyle w:val="Hyperlink"/>
            <w:noProof/>
          </w:rPr>
          <w:t>Table ES 1: Summary of ETSAP Strategic objectives, strategic interventions and Proposed Actions for each subsector</w:t>
        </w:r>
        <w:r w:rsidR="00F7188C" w:rsidRPr="00662906">
          <w:rPr>
            <w:noProof/>
            <w:webHidden/>
          </w:rPr>
          <w:tab/>
        </w:r>
        <w:r w:rsidR="00F7188C" w:rsidRPr="00662906">
          <w:rPr>
            <w:noProof/>
            <w:webHidden/>
          </w:rPr>
          <w:fldChar w:fldCharType="begin"/>
        </w:r>
        <w:r w:rsidR="00F7188C" w:rsidRPr="00662906">
          <w:rPr>
            <w:noProof/>
            <w:webHidden/>
          </w:rPr>
          <w:instrText xml:space="preserve"> PAGEREF _Toc197433885 \h </w:instrText>
        </w:r>
        <w:r w:rsidR="00F7188C" w:rsidRPr="00662906">
          <w:rPr>
            <w:noProof/>
            <w:webHidden/>
          </w:rPr>
        </w:r>
        <w:r w:rsidR="00F7188C" w:rsidRPr="00662906">
          <w:rPr>
            <w:noProof/>
            <w:webHidden/>
          </w:rPr>
          <w:fldChar w:fldCharType="separate"/>
        </w:r>
        <w:r w:rsidR="00610F61">
          <w:rPr>
            <w:noProof/>
            <w:webHidden/>
          </w:rPr>
          <w:t>xiii</w:t>
        </w:r>
        <w:r w:rsidR="00F7188C" w:rsidRPr="00662906">
          <w:rPr>
            <w:noProof/>
            <w:webHidden/>
          </w:rPr>
          <w:fldChar w:fldCharType="end"/>
        </w:r>
      </w:hyperlink>
    </w:p>
    <w:p w14:paraId="4AB30D46" w14:textId="20127491"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86" w:history="1">
        <w:r w:rsidRPr="00662906">
          <w:rPr>
            <w:rStyle w:val="Hyperlink"/>
            <w:noProof/>
          </w:rPr>
          <w:t>Table ES 2: Summary of Horizontal Planning, Cross Cutting and Cross sectoral Actions.</w:t>
        </w:r>
        <w:r w:rsidRPr="00662906">
          <w:rPr>
            <w:noProof/>
            <w:webHidden/>
          </w:rPr>
          <w:tab/>
        </w:r>
        <w:r w:rsidRPr="00662906">
          <w:rPr>
            <w:noProof/>
            <w:webHidden/>
          </w:rPr>
          <w:fldChar w:fldCharType="begin"/>
        </w:r>
        <w:r w:rsidRPr="00662906">
          <w:rPr>
            <w:noProof/>
            <w:webHidden/>
          </w:rPr>
          <w:instrText xml:space="preserve"> PAGEREF _Toc197433886 \h </w:instrText>
        </w:r>
        <w:r w:rsidRPr="00662906">
          <w:rPr>
            <w:noProof/>
            <w:webHidden/>
          </w:rPr>
        </w:r>
        <w:r w:rsidRPr="00662906">
          <w:rPr>
            <w:noProof/>
            <w:webHidden/>
          </w:rPr>
          <w:fldChar w:fldCharType="separate"/>
        </w:r>
        <w:r w:rsidR="00610F61">
          <w:rPr>
            <w:noProof/>
            <w:webHidden/>
          </w:rPr>
          <w:t>xvii</w:t>
        </w:r>
        <w:r w:rsidRPr="00662906">
          <w:rPr>
            <w:noProof/>
            <w:webHidden/>
          </w:rPr>
          <w:fldChar w:fldCharType="end"/>
        </w:r>
      </w:hyperlink>
    </w:p>
    <w:p w14:paraId="52110B66" w14:textId="71C0FD85"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87" w:history="1">
        <w:r w:rsidRPr="00662906">
          <w:rPr>
            <w:rStyle w:val="Hyperlink"/>
            <w:noProof/>
          </w:rPr>
          <w:t>Table ES 3: Summarized budget for all short term ETSAP actions by category</w:t>
        </w:r>
        <w:r w:rsidRPr="00662906">
          <w:rPr>
            <w:noProof/>
            <w:webHidden/>
          </w:rPr>
          <w:tab/>
        </w:r>
        <w:r w:rsidRPr="00662906">
          <w:rPr>
            <w:noProof/>
            <w:webHidden/>
          </w:rPr>
          <w:fldChar w:fldCharType="begin"/>
        </w:r>
        <w:r w:rsidRPr="00662906">
          <w:rPr>
            <w:noProof/>
            <w:webHidden/>
          </w:rPr>
          <w:instrText xml:space="preserve"> PAGEREF _Toc197433887 \h </w:instrText>
        </w:r>
        <w:r w:rsidRPr="00662906">
          <w:rPr>
            <w:noProof/>
            <w:webHidden/>
          </w:rPr>
        </w:r>
        <w:r w:rsidRPr="00662906">
          <w:rPr>
            <w:noProof/>
            <w:webHidden/>
          </w:rPr>
          <w:fldChar w:fldCharType="separate"/>
        </w:r>
        <w:r w:rsidR="00610F61">
          <w:rPr>
            <w:noProof/>
            <w:webHidden/>
          </w:rPr>
          <w:t>xviii</w:t>
        </w:r>
        <w:r w:rsidRPr="00662906">
          <w:rPr>
            <w:noProof/>
            <w:webHidden/>
          </w:rPr>
          <w:fldChar w:fldCharType="end"/>
        </w:r>
      </w:hyperlink>
    </w:p>
    <w:p w14:paraId="72EF2124" w14:textId="6702E357"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88" w:history="1">
        <w:r w:rsidRPr="00662906">
          <w:rPr>
            <w:rStyle w:val="Hyperlink"/>
            <w:noProof/>
          </w:rPr>
          <w:t>Table ES 4: M&amp;E Framework for the ETSAP</w:t>
        </w:r>
        <w:r w:rsidRPr="00662906">
          <w:rPr>
            <w:noProof/>
            <w:webHidden/>
          </w:rPr>
          <w:tab/>
        </w:r>
        <w:r w:rsidRPr="00662906">
          <w:rPr>
            <w:noProof/>
            <w:webHidden/>
          </w:rPr>
          <w:fldChar w:fldCharType="begin"/>
        </w:r>
        <w:r w:rsidRPr="00662906">
          <w:rPr>
            <w:noProof/>
            <w:webHidden/>
          </w:rPr>
          <w:instrText xml:space="preserve"> PAGEREF _Toc197433888 \h </w:instrText>
        </w:r>
        <w:r w:rsidRPr="00662906">
          <w:rPr>
            <w:noProof/>
            <w:webHidden/>
          </w:rPr>
        </w:r>
        <w:r w:rsidRPr="00662906">
          <w:rPr>
            <w:noProof/>
            <w:webHidden/>
          </w:rPr>
          <w:fldChar w:fldCharType="separate"/>
        </w:r>
        <w:r w:rsidR="00610F61">
          <w:rPr>
            <w:noProof/>
            <w:webHidden/>
          </w:rPr>
          <w:t>xix</w:t>
        </w:r>
        <w:r w:rsidRPr="00662906">
          <w:rPr>
            <w:noProof/>
            <w:webHidden/>
          </w:rPr>
          <w:fldChar w:fldCharType="end"/>
        </w:r>
      </w:hyperlink>
    </w:p>
    <w:p w14:paraId="5AD76128" w14:textId="2B54B61D"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89" w:history="1">
        <w:r w:rsidRPr="00662906">
          <w:rPr>
            <w:rStyle w:val="Hyperlink"/>
            <w:noProof/>
          </w:rPr>
          <w:t>Table 1: Summary of Africa’s electricity sector</w:t>
        </w:r>
        <w:r w:rsidRPr="00662906">
          <w:rPr>
            <w:noProof/>
            <w:webHidden/>
          </w:rPr>
          <w:tab/>
        </w:r>
        <w:r w:rsidRPr="00662906">
          <w:rPr>
            <w:noProof/>
            <w:webHidden/>
          </w:rPr>
          <w:fldChar w:fldCharType="begin"/>
        </w:r>
        <w:r w:rsidRPr="00662906">
          <w:rPr>
            <w:noProof/>
            <w:webHidden/>
          </w:rPr>
          <w:instrText xml:space="preserve"> PAGEREF _Toc197433889 \h </w:instrText>
        </w:r>
        <w:r w:rsidRPr="00662906">
          <w:rPr>
            <w:noProof/>
            <w:webHidden/>
          </w:rPr>
        </w:r>
        <w:r w:rsidRPr="00662906">
          <w:rPr>
            <w:noProof/>
            <w:webHidden/>
          </w:rPr>
          <w:fldChar w:fldCharType="separate"/>
        </w:r>
        <w:r w:rsidR="00610F61">
          <w:rPr>
            <w:noProof/>
            <w:webHidden/>
          </w:rPr>
          <w:t>27</w:t>
        </w:r>
        <w:r w:rsidRPr="00662906">
          <w:rPr>
            <w:noProof/>
            <w:webHidden/>
          </w:rPr>
          <w:fldChar w:fldCharType="end"/>
        </w:r>
      </w:hyperlink>
    </w:p>
    <w:p w14:paraId="13B717C5" w14:textId="54E4245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0" w:history="1">
        <w:r w:rsidRPr="00662906">
          <w:rPr>
            <w:rStyle w:val="Hyperlink"/>
            <w:noProof/>
          </w:rPr>
          <w:t>Table 2: Summarized assessment of the transportation sector in the context of ET in Africa.</w:t>
        </w:r>
        <w:r w:rsidRPr="00662906">
          <w:rPr>
            <w:noProof/>
            <w:webHidden/>
          </w:rPr>
          <w:tab/>
        </w:r>
        <w:r w:rsidRPr="00662906">
          <w:rPr>
            <w:noProof/>
            <w:webHidden/>
          </w:rPr>
          <w:fldChar w:fldCharType="begin"/>
        </w:r>
        <w:r w:rsidRPr="00662906">
          <w:rPr>
            <w:noProof/>
            <w:webHidden/>
          </w:rPr>
          <w:instrText xml:space="preserve"> PAGEREF _Toc197433890 \h </w:instrText>
        </w:r>
        <w:r w:rsidRPr="00662906">
          <w:rPr>
            <w:noProof/>
            <w:webHidden/>
          </w:rPr>
        </w:r>
        <w:r w:rsidRPr="00662906">
          <w:rPr>
            <w:noProof/>
            <w:webHidden/>
          </w:rPr>
          <w:fldChar w:fldCharType="separate"/>
        </w:r>
        <w:r w:rsidR="00610F61">
          <w:rPr>
            <w:noProof/>
            <w:webHidden/>
          </w:rPr>
          <w:t>29</w:t>
        </w:r>
        <w:r w:rsidRPr="00662906">
          <w:rPr>
            <w:noProof/>
            <w:webHidden/>
          </w:rPr>
          <w:fldChar w:fldCharType="end"/>
        </w:r>
      </w:hyperlink>
    </w:p>
    <w:p w14:paraId="7217AB0B" w14:textId="5C0BBB98"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1" w:history="1">
        <w:r w:rsidRPr="00662906">
          <w:rPr>
            <w:rStyle w:val="Hyperlink"/>
            <w:noProof/>
          </w:rPr>
          <w:t>Table 3: Summarized assessment of the buildings sector in the context of ET in Africa.</w:t>
        </w:r>
        <w:r w:rsidRPr="00662906">
          <w:rPr>
            <w:noProof/>
            <w:webHidden/>
          </w:rPr>
          <w:tab/>
        </w:r>
        <w:r w:rsidRPr="00662906">
          <w:rPr>
            <w:noProof/>
            <w:webHidden/>
          </w:rPr>
          <w:fldChar w:fldCharType="begin"/>
        </w:r>
        <w:r w:rsidRPr="00662906">
          <w:rPr>
            <w:noProof/>
            <w:webHidden/>
          </w:rPr>
          <w:instrText xml:space="preserve"> PAGEREF _Toc197433891 \h </w:instrText>
        </w:r>
        <w:r w:rsidRPr="00662906">
          <w:rPr>
            <w:noProof/>
            <w:webHidden/>
          </w:rPr>
        </w:r>
        <w:r w:rsidRPr="00662906">
          <w:rPr>
            <w:noProof/>
            <w:webHidden/>
          </w:rPr>
          <w:fldChar w:fldCharType="separate"/>
        </w:r>
        <w:r w:rsidR="00610F61">
          <w:rPr>
            <w:noProof/>
            <w:webHidden/>
          </w:rPr>
          <w:t>30</w:t>
        </w:r>
        <w:r w:rsidRPr="00662906">
          <w:rPr>
            <w:noProof/>
            <w:webHidden/>
          </w:rPr>
          <w:fldChar w:fldCharType="end"/>
        </w:r>
      </w:hyperlink>
    </w:p>
    <w:p w14:paraId="1109B3F8" w14:textId="356792E5"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2" w:history="1">
        <w:r w:rsidRPr="00662906">
          <w:rPr>
            <w:rStyle w:val="Hyperlink"/>
            <w:noProof/>
          </w:rPr>
          <w:t>Table 4: Summarized assessment of the electricity sector in the context of ET in Africa.</w:t>
        </w:r>
        <w:r w:rsidRPr="00662906">
          <w:rPr>
            <w:noProof/>
            <w:webHidden/>
          </w:rPr>
          <w:tab/>
        </w:r>
        <w:r w:rsidRPr="00662906">
          <w:rPr>
            <w:noProof/>
            <w:webHidden/>
          </w:rPr>
          <w:fldChar w:fldCharType="begin"/>
        </w:r>
        <w:r w:rsidRPr="00662906">
          <w:rPr>
            <w:noProof/>
            <w:webHidden/>
          </w:rPr>
          <w:instrText xml:space="preserve"> PAGEREF _Toc197433892 \h </w:instrText>
        </w:r>
        <w:r w:rsidRPr="00662906">
          <w:rPr>
            <w:noProof/>
            <w:webHidden/>
          </w:rPr>
        </w:r>
        <w:r w:rsidRPr="00662906">
          <w:rPr>
            <w:noProof/>
            <w:webHidden/>
          </w:rPr>
          <w:fldChar w:fldCharType="separate"/>
        </w:r>
        <w:r w:rsidR="00610F61">
          <w:rPr>
            <w:noProof/>
            <w:webHidden/>
          </w:rPr>
          <w:t>31</w:t>
        </w:r>
        <w:r w:rsidRPr="00662906">
          <w:rPr>
            <w:noProof/>
            <w:webHidden/>
          </w:rPr>
          <w:fldChar w:fldCharType="end"/>
        </w:r>
      </w:hyperlink>
    </w:p>
    <w:p w14:paraId="3C49E505" w14:textId="4FAB3A32"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3" w:history="1">
        <w:r w:rsidRPr="00662906">
          <w:rPr>
            <w:rStyle w:val="Hyperlink"/>
            <w:noProof/>
          </w:rPr>
          <w:t>Table 5: Summarized assessment of the oil and gas sector in the context of ET in Africa.</w:t>
        </w:r>
        <w:r w:rsidRPr="00662906">
          <w:rPr>
            <w:noProof/>
            <w:webHidden/>
          </w:rPr>
          <w:tab/>
        </w:r>
        <w:r w:rsidRPr="00662906">
          <w:rPr>
            <w:noProof/>
            <w:webHidden/>
          </w:rPr>
          <w:fldChar w:fldCharType="begin"/>
        </w:r>
        <w:r w:rsidRPr="00662906">
          <w:rPr>
            <w:noProof/>
            <w:webHidden/>
          </w:rPr>
          <w:instrText xml:space="preserve"> PAGEREF _Toc197433893 \h </w:instrText>
        </w:r>
        <w:r w:rsidRPr="00662906">
          <w:rPr>
            <w:noProof/>
            <w:webHidden/>
          </w:rPr>
        </w:r>
        <w:r w:rsidRPr="00662906">
          <w:rPr>
            <w:noProof/>
            <w:webHidden/>
          </w:rPr>
          <w:fldChar w:fldCharType="separate"/>
        </w:r>
        <w:r w:rsidR="00610F61">
          <w:rPr>
            <w:noProof/>
            <w:webHidden/>
          </w:rPr>
          <w:t>33</w:t>
        </w:r>
        <w:r w:rsidRPr="00662906">
          <w:rPr>
            <w:noProof/>
            <w:webHidden/>
          </w:rPr>
          <w:fldChar w:fldCharType="end"/>
        </w:r>
      </w:hyperlink>
    </w:p>
    <w:p w14:paraId="79E3C5EF" w14:textId="36D7169A"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4" w:history="1">
        <w:r w:rsidRPr="00662906">
          <w:rPr>
            <w:rStyle w:val="Hyperlink"/>
            <w:noProof/>
          </w:rPr>
          <w:t>Table 6: Summarized assessment of the agriculture sector in the context of ET in Africa.</w:t>
        </w:r>
        <w:r w:rsidRPr="00662906">
          <w:rPr>
            <w:noProof/>
            <w:webHidden/>
          </w:rPr>
          <w:tab/>
        </w:r>
        <w:r w:rsidRPr="00662906">
          <w:rPr>
            <w:noProof/>
            <w:webHidden/>
          </w:rPr>
          <w:fldChar w:fldCharType="begin"/>
        </w:r>
        <w:r w:rsidRPr="00662906">
          <w:rPr>
            <w:noProof/>
            <w:webHidden/>
          </w:rPr>
          <w:instrText xml:space="preserve"> PAGEREF _Toc197433894 \h </w:instrText>
        </w:r>
        <w:r w:rsidRPr="00662906">
          <w:rPr>
            <w:noProof/>
            <w:webHidden/>
          </w:rPr>
        </w:r>
        <w:r w:rsidRPr="00662906">
          <w:rPr>
            <w:noProof/>
            <w:webHidden/>
          </w:rPr>
          <w:fldChar w:fldCharType="separate"/>
        </w:r>
        <w:r w:rsidR="00610F61">
          <w:rPr>
            <w:noProof/>
            <w:webHidden/>
          </w:rPr>
          <w:t>34</w:t>
        </w:r>
        <w:r w:rsidRPr="00662906">
          <w:rPr>
            <w:noProof/>
            <w:webHidden/>
          </w:rPr>
          <w:fldChar w:fldCharType="end"/>
        </w:r>
      </w:hyperlink>
    </w:p>
    <w:p w14:paraId="322D48DA" w14:textId="0DF4ED2E"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5" w:history="1">
        <w:r w:rsidRPr="00662906">
          <w:rPr>
            <w:rStyle w:val="Hyperlink"/>
            <w:noProof/>
          </w:rPr>
          <w:t>Table 7: Summary of clean cooking sector.</w:t>
        </w:r>
        <w:r w:rsidRPr="00662906">
          <w:rPr>
            <w:noProof/>
            <w:webHidden/>
          </w:rPr>
          <w:tab/>
        </w:r>
        <w:r w:rsidRPr="00662906">
          <w:rPr>
            <w:noProof/>
            <w:webHidden/>
          </w:rPr>
          <w:fldChar w:fldCharType="begin"/>
        </w:r>
        <w:r w:rsidRPr="00662906">
          <w:rPr>
            <w:noProof/>
            <w:webHidden/>
          </w:rPr>
          <w:instrText xml:space="preserve"> PAGEREF _Toc197433895 \h </w:instrText>
        </w:r>
        <w:r w:rsidRPr="00662906">
          <w:rPr>
            <w:noProof/>
            <w:webHidden/>
          </w:rPr>
        </w:r>
        <w:r w:rsidRPr="00662906">
          <w:rPr>
            <w:noProof/>
            <w:webHidden/>
          </w:rPr>
          <w:fldChar w:fldCharType="separate"/>
        </w:r>
        <w:r w:rsidR="00610F61">
          <w:rPr>
            <w:noProof/>
            <w:webHidden/>
          </w:rPr>
          <w:t>34</w:t>
        </w:r>
        <w:r w:rsidRPr="00662906">
          <w:rPr>
            <w:noProof/>
            <w:webHidden/>
          </w:rPr>
          <w:fldChar w:fldCharType="end"/>
        </w:r>
      </w:hyperlink>
    </w:p>
    <w:p w14:paraId="0E50A3BF" w14:textId="77D23009"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6" w:history="1">
        <w:r w:rsidRPr="00662906">
          <w:rPr>
            <w:rStyle w:val="Hyperlink"/>
            <w:i/>
            <w:iCs/>
            <w:noProof/>
          </w:rPr>
          <w:t>Table 8: Noted ET strategies across the Continent by AU region and the timeframe of the ET strategies</w:t>
        </w:r>
        <w:r w:rsidRPr="00662906">
          <w:rPr>
            <w:noProof/>
            <w:webHidden/>
          </w:rPr>
          <w:tab/>
        </w:r>
        <w:r w:rsidRPr="00662906">
          <w:rPr>
            <w:noProof/>
            <w:webHidden/>
          </w:rPr>
          <w:fldChar w:fldCharType="begin"/>
        </w:r>
        <w:r w:rsidRPr="00662906">
          <w:rPr>
            <w:noProof/>
            <w:webHidden/>
          </w:rPr>
          <w:instrText xml:space="preserve"> PAGEREF _Toc197433896 \h </w:instrText>
        </w:r>
        <w:r w:rsidRPr="00662906">
          <w:rPr>
            <w:noProof/>
            <w:webHidden/>
          </w:rPr>
        </w:r>
        <w:r w:rsidRPr="00662906">
          <w:rPr>
            <w:noProof/>
            <w:webHidden/>
          </w:rPr>
          <w:fldChar w:fldCharType="separate"/>
        </w:r>
        <w:r w:rsidR="00610F61">
          <w:rPr>
            <w:noProof/>
            <w:webHidden/>
          </w:rPr>
          <w:t>35</w:t>
        </w:r>
        <w:r w:rsidRPr="00662906">
          <w:rPr>
            <w:noProof/>
            <w:webHidden/>
          </w:rPr>
          <w:fldChar w:fldCharType="end"/>
        </w:r>
      </w:hyperlink>
    </w:p>
    <w:p w14:paraId="46A693FA" w14:textId="1E42E3E7"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7" w:history="1">
        <w:r w:rsidRPr="00662906">
          <w:rPr>
            <w:rStyle w:val="Hyperlink"/>
            <w:noProof/>
          </w:rPr>
          <w:t>Table 9: Initiatives identified in country ET strategies</w:t>
        </w:r>
        <w:r w:rsidRPr="00662906">
          <w:rPr>
            <w:noProof/>
            <w:webHidden/>
          </w:rPr>
          <w:tab/>
        </w:r>
        <w:r w:rsidRPr="00662906">
          <w:rPr>
            <w:noProof/>
            <w:webHidden/>
          </w:rPr>
          <w:fldChar w:fldCharType="begin"/>
        </w:r>
        <w:r w:rsidRPr="00662906">
          <w:rPr>
            <w:noProof/>
            <w:webHidden/>
          </w:rPr>
          <w:instrText xml:space="preserve"> PAGEREF _Toc197433897 \h </w:instrText>
        </w:r>
        <w:r w:rsidRPr="00662906">
          <w:rPr>
            <w:noProof/>
            <w:webHidden/>
          </w:rPr>
        </w:r>
        <w:r w:rsidRPr="00662906">
          <w:rPr>
            <w:noProof/>
            <w:webHidden/>
          </w:rPr>
          <w:fldChar w:fldCharType="separate"/>
        </w:r>
        <w:r w:rsidR="00610F61">
          <w:rPr>
            <w:noProof/>
            <w:webHidden/>
          </w:rPr>
          <w:t>36</w:t>
        </w:r>
        <w:r w:rsidRPr="00662906">
          <w:rPr>
            <w:noProof/>
            <w:webHidden/>
          </w:rPr>
          <w:fldChar w:fldCharType="end"/>
        </w:r>
      </w:hyperlink>
    </w:p>
    <w:p w14:paraId="7F87C37F" w14:textId="02B57922"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8" w:history="1">
        <w:r w:rsidRPr="00662906">
          <w:rPr>
            <w:rStyle w:val="Hyperlink"/>
            <w:i/>
            <w:iCs/>
            <w:noProof/>
          </w:rPr>
          <w:t>Table 10: Summary of the common approaches for Carbon Reducing Measures</w:t>
        </w:r>
        <w:r w:rsidRPr="00662906">
          <w:rPr>
            <w:noProof/>
            <w:webHidden/>
          </w:rPr>
          <w:tab/>
        </w:r>
        <w:r w:rsidRPr="00662906">
          <w:rPr>
            <w:noProof/>
            <w:webHidden/>
          </w:rPr>
          <w:fldChar w:fldCharType="begin"/>
        </w:r>
        <w:r w:rsidRPr="00662906">
          <w:rPr>
            <w:noProof/>
            <w:webHidden/>
          </w:rPr>
          <w:instrText xml:space="preserve"> PAGEREF _Toc197433898 \h </w:instrText>
        </w:r>
        <w:r w:rsidRPr="00662906">
          <w:rPr>
            <w:noProof/>
            <w:webHidden/>
          </w:rPr>
        </w:r>
        <w:r w:rsidRPr="00662906">
          <w:rPr>
            <w:noProof/>
            <w:webHidden/>
          </w:rPr>
          <w:fldChar w:fldCharType="separate"/>
        </w:r>
        <w:r w:rsidR="00610F61">
          <w:rPr>
            <w:noProof/>
            <w:webHidden/>
          </w:rPr>
          <w:t>37</w:t>
        </w:r>
        <w:r w:rsidRPr="00662906">
          <w:rPr>
            <w:noProof/>
            <w:webHidden/>
          </w:rPr>
          <w:fldChar w:fldCharType="end"/>
        </w:r>
      </w:hyperlink>
    </w:p>
    <w:p w14:paraId="1663CBA3" w14:textId="7853E2A4"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899" w:history="1">
        <w:r w:rsidRPr="00662906">
          <w:rPr>
            <w:rStyle w:val="Hyperlink"/>
            <w:i/>
            <w:iCs/>
            <w:noProof/>
          </w:rPr>
          <w:t>Table 11: IEA projections for the STEPS and APS scenarios 2010 to 2050</w:t>
        </w:r>
        <w:r w:rsidRPr="00662906">
          <w:rPr>
            <w:noProof/>
            <w:webHidden/>
          </w:rPr>
          <w:tab/>
        </w:r>
        <w:r w:rsidRPr="00662906">
          <w:rPr>
            <w:noProof/>
            <w:webHidden/>
          </w:rPr>
          <w:fldChar w:fldCharType="begin"/>
        </w:r>
        <w:r w:rsidRPr="00662906">
          <w:rPr>
            <w:noProof/>
            <w:webHidden/>
          </w:rPr>
          <w:instrText xml:space="preserve"> PAGEREF _Toc197433899 \h </w:instrText>
        </w:r>
        <w:r w:rsidRPr="00662906">
          <w:rPr>
            <w:noProof/>
            <w:webHidden/>
          </w:rPr>
        </w:r>
        <w:r w:rsidRPr="00662906">
          <w:rPr>
            <w:noProof/>
            <w:webHidden/>
          </w:rPr>
          <w:fldChar w:fldCharType="separate"/>
        </w:r>
        <w:r w:rsidR="00610F61">
          <w:rPr>
            <w:noProof/>
            <w:webHidden/>
          </w:rPr>
          <w:t>44</w:t>
        </w:r>
        <w:r w:rsidRPr="00662906">
          <w:rPr>
            <w:noProof/>
            <w:webHidden/>
          </w:rPr>
          <w:fldChar w:fldCharType="end"/>
        </w:r>
      </w:hyperlink>
    </w:p>
    <w:p w14:paraId="0D87E04B" w14:textId="10FD4B88"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0" w:history="1">
        <w:r w:rsidRPr="00662906">
          <w:rPr>
            <w:rStyle w:val="Hyperlink"/>
            <w:noProof/>
          </w:rPr>
          <w:t xml:space="preserve">Table 12: </w:t>
        </w:r>
        <w:r w:rsidRPr="00662906">
          <w:rPr>
            <w:rStyle w:val="Hyperlink"/>
            <w:rFonts w:eastAsia="Arial" w:cs="Arial"/>
            <w:noProof/>
          </w:rPr>
          <w:t>SWOT Analysis</w:t>
        </w:r>
        <w:r w:rsidRPr="00662906">
          <w:rPr>
            <w:noProof/>
            <w:webHidden/>
          </w:rPr>
          <w:tab/>
        </w:r>
        <w:r w:rsidRPr="00662906">
          <w:rPr>
            <w:noProof/>
            <w:webHidden/>
          </w:rPr>
          <w:fldChar w:fldCharType="begin"/>
        </w:r>
        <w:r w:rsidRPr="00662906">
          <w:rPr>
            <w:noProof/>
            <w:webHidden/>
          </w:rPr>
          <w:instrText xml:space="preserve"> PAGEREF _Toc197433900 \h </w:instrText>
        </w:r>
        <w:r w:rsidRPr="00662906">
          <w:rPr>
            <w:noProof/>
            <w:webHidden/>
          </w:rPr>
        </w:r>
        <w:r w:rsidRPr="00662906">
          <w:rPr>
            <w:noProof/>
            <w:webHidden/>
          </w:rPr>
          <w:fldChar w:fldCharType="separate"/>
        </w:r>
        <w:r w:rsidR="00610F61">
          <w:rPr>
            <w:noProof/>
            <w:webHidden/>
          </w:rPr>
          <w:t>47</w:t>
        </w:r>
        <w:r w:rsidRPr="00662906">
          <w:rPr>
            <w:noProof/>
            <w:webHidden/>
          </w:rPr>
          <w:fldChar w:fldCharType="end"/>
        </w:r>
      </w:hyperlink>
    </w:p>
    <w:p w14:paraId="30B459F0" w14:textId="2E97522D"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1" w:history="1">
        <w:r w:rsidRPr="00662906">
          <w:rPr>
            <w:rStyle w:val="Hyperlink"/>
            <w:noProof/>
          </w:rPr>
          <w:t xml:space="preserve">Table 13: </w:t>
        </w:r>
        <w:r w:rsidRPr="00662906">
          <w:rPr>
            <w:rStyle w:val="Hyperlink"/>
            <w:rFonts w:eastAsia="Arial" w:cs="Arial"/>
            <w:noProof/>
          </w:rPr>
          <w:t>Overview of PESTEL Analysis</w:t>
        </w:r>
        <w:r w:rsidRPr="00662906">
          <w:rPr>
            <w:noProof/>
            <w:webHidden/>
          </w:rPr>
          <w:tab/>
        </w:r>
        <w:r w:rsidRPr="00662906">
          <w:rPr>
            <w:noProof/>
            <w:webHidden/>
          </w:rPr>
          <w:fldChar w:fldCharType="begin"/>
        </w:r>
        <w:r w:rsidRPr="00662906">
          <w:rPr>
            <w:noProof/>
            <w:webHidden/>
          </w:rPr>
          <w:instrText xml:space="preserve"> PAGEREF _Toc197433901 \h </w:instrText>
        </w:r>
        <w:r w:rsidRPr="00662906">
          <w:rPr>
            <w:noProof/>
            <w:webHidden/>
          </w:rPr>
        </w:r>
        <w:r w:rsidRPr="00662906">
          <w:rPr>
            <w:noProof/>
            <w:webHidden/>
          </w:rPr>
          <w:fldChar w:fldCharType="separate"/>
        </w:r>
        <w:r w:rsidR="00610F61">
          <w:rPr>
            <w:noProof/>
            <w:webHidden/>
          </w:rPr>
          <w:t>48</w:t>
        </w:r>
        <w:r w:rsidRPr="00662906">
          <w:rPr>
            <w:noProof/>
            <w:webHidden/>
          </w:rPr>
          <w:fldChar w:fldCharType="end"/>
        </w:r>
      </w:hyperlink>
    </w:p>
    <w:p w14:paraId="11EB2AFA" w14:textId="51BD1865"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2" w:history="1">
        <w:r w:rsidRPr="00662906">
          <w:rPr>
            <w:rStyle w:val="Hyperlink"/>
            <w:noProof/>
          </w:rPr>
          <w:t>Table 14: Subsector Strategic Objectives for the ETSAP</w:t>
        </w:r>
        <w:r w:rsidRPr="00662906">
          <w:rPr>
            <w:noProof/>
            <w:webHidden/>
          </w:rPr>
          <w:tab/>
        </w:r>
        <w:r w:rsidRPr="00662906">
          <w:rPr>
            <w:noProof/>
            <w:webHidden/>
          </w:rPr>
          <w:fldChar w:fldCharType="begin"/>
        </w:r>
        <w:r w:rsidRPr="00662906">
          <w:rPr>
            <w:noProof/>
            <w:webHidden/>
          </w:rPr>
          <w:instrText xml:space="preserve"> PAGEREF _Toc197433902 \h </w:instrText>
        </w:r>
        <w:r w:rsidRPr="00662906">
          <w:rPr>
            <w:noProof/>
            <w:webHidden/>
          </w:rPr>
        </w:r>
        <w:r w:rsidRPr="00662906">
          <w:rPr>
            <w:noProof/>
            <w:webHidden/>
          </w:rPr>
          <w:fldChar w:fldCharType="separate"/>
        </w:r>
        <w:r w:rsidR="00610F61">
          <w:rPr>
            <w:noProof/>
            <w:webHidden/>
          </w:rPr>
          <w:t>52</w:t>
        </w:r>
        <w:r w:rsidRPr="00662906">
          <w:rPr>
            <w:noProof/>
            <w:webHidden/>
          </w:rPr>
          <w:fldChar w:fldCharType="end"/>
        </w:r>
      </w:hyperlink>
    </w:p>
    <w:p w14:paraId="05DC63AF" w14:textId="4FA96BA0"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3" w:history="1">
        <w:r w:rsidRPr="00662906">
          <w:rPr>
            <w:rStyle w:val="Hyperlink"/>
            <w:noProof/>
          </w:rPr>
          <w:t>Table 15: Synergies with Past-adopted AU Strategies</w:t>
        </w:r>
        <w:r w:rsidRPr="00662906">
          <w:rPr>
            <w:noProof/>
            <w:webHidden/>
          </w:rPr>
          <w:tab/>
        </w:r>
        <w:r w:rsidRPr="00662906">
          <w:rPr>
            <w:noProof/>
            <w:webHidden/>
          </w:rPr>
          <w:fldChar w:fldCharType="begin"/>
        </w:r>
        <w:r w:rsidRPr="00662906">
          <w:rPr>
            <w:noProof/>
            <w:webHidden/>
          </w:rPr>
          <w:instrText xml:space="preserve"> PAGEREF _Toc197433903 \h </w:instrText>
        </w:r>
        <w:r w:rsidRPr="00662906">
          <w:rPr>
            <w:noProof/>
            <w:webHidden/>
          </w:rPr>
        </w:r>
        <w:r w:rsidRPr="00662906">
          <w:rPr>
            <w:noProof/>
            <w:webHidden/>
          </w:rPr>
          <w:fldChar w:fldCharType="separate"/>
        </w:r>
        <w:r w:rsidR="00610F61">
          <w:rPr>
            <w:noProof/>
            <w:webHidden/>
          </w:rPr>
          <w:t>53</w:t>
        </w:r>
        <w:r w:rsidRPr="00662906">
          <w:rPr>
            <w:noProof/>
            <w:webHidden/>
          </w:rPr>
          <w:fldChar w:fldCharType="end"/>
        </w:r>
      </w:hyperlink>
    </w:p>
    <w:p w14:paraId="72E8E027" w14:textId="634D4662"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4" w:history="1">
        <w:r w:rsidRPr="00662906">
          <w:rPr>
            <w:rStyle w:val="Hyperlink"/>
            <w:noProof/>
          </w:rPr>
          <w:t>Table 16: Risks and Risk Mitigation Strategies</w:t>
        </w:r>
        <w:r w:rsidRPr="00662906">
          <w:rPr>
            <w:noProof/>
            <w:webHidden/>
          </w:rPr>
          <w:tab/>
        </w:r>
        <w:r w:rsidRPr="00662906">
          <w:rPr>
            <w:noProof/>
            <w:webHidden/>
          </w:rPr>
          <w:fldChar w:fldCharType="begin"/>
        </w:r>
        <w:r w:rsidRPr="00662906">
          <w:rPr>
            <w:noProof/>
            <w:webHidden/>
          </w:rPr>
          <w:instrText xml:space="preserve"> PAGEREF _Toc197433904 \h </w:instrText>
        </w:r>
        <w:r w:rsidRPr="00662906">
          <w:rPr>
            <w:noProof/>
            <w:webHidden/>
          </w:rPr>
        </w:r>
        <w:r w:rsidRPr="00662906">
          <w:rPr>
            <w:noProof/>
            <w:webHidden/>
          </w:rPr>
          <w:fldChar w:fldCharType="separate"/>
        </w:r>
        <w:r w:rsidR="00610F61">
          <w:rPr>
            <w:noProof/>
            <w:webHidden/>
          </w:rPr>
          <w:t>56</w:t>
        </w:r>
        <w:r w:rsidRPr="00662906">
          <w:rPr>
            <w:noProof/>
            <w:webHidden/>
          </w:rPr>
          <w:fldChar w:fldCharType="end"/>
        </w:r>
      </w:hyperlink>
    </w:p>
    <w:p w14:paraId="6AEC1F1E" w14:textId="4D57C779"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5" w:history="1">
        <w:r w:rsidRPr="00662906">
          <w:rPr>
            <w:rStyle w:val="Hyperlink"/>
            <w:noProof/>
          </w:rPr>
          <w:t>Table 17: Action Plan for Strategic Intervention 1: Accelerate the deployment of RE</w:t>
        </w:r>
        <w:r w:rsidRPr="00662906">
          <w:rPr>
            <w:noProof/>
            <w:webHidden/>
          </w:rPr>
          <w:tab/>
        </w:r>
        <w:r w:rsidRPr="00662906">
          <w:rPr>
            <w:noProof/>
            <w:webHidden/>
          </w:rPr>
          <w:fldChar w:fldCharType="begin"/>
        </w:r>
        <w:r w:rsidRPr="00662906">
          <w:rPr>
            <w:noProof/>
            <w:webHidden/>
          </w:rPr>
          <w:instrText xml:space="preserve"> PAGEREF _Toc197433905 \h </w:instrText>
        </w:r>
        <w:r w:rsidRPr="00662906">
          <w:rPr>
            <w:noProof/>
            <w:webHidden/>
          </w:rPr>
        </w:r>
        <w:r w:rsidRPr="00662906">
          <w:rPr>
            <w:noProof/>
            <w:webHidden/>
          </w:rPr>
          <w:fldChar w:fldCharType="separate"/>
        </w:r>
        <w:r w:rsidR="00610F61">
          <w:rPr>
            <w:noProof/>
            <w:webHidden/>
          </w:rPr>
          <w:t>62</w:t>
        </w:r>
        <w:r w:rsidRPr="00662906">
          <w:rPr>
            <w:noProof/>
            <w:webHidden/>
          </w:rPr>
          <w:fldChar w:fldCharType="end"/>
        </w:r>
      </w:hyperlink>
    </w:p>
    <w:p w14:paraId="7F72B1EA" w14:textId="12E8EABA"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6" w:history="1">
        <w:r w:rsidRPr="00662906">
          <w:rPr>
            <w:rStyle w:val="Hyperlink"/>
            <w:rFonts w:eastAsia="Arial" w:cs="Arial"/>
            <w:i/>
            <w:iCs/>
            <w:noProof/>
          </w:rPr>
          <w:t>Table 18: Action Plan for Strategic Intervention 2: Foster and Accelerate development of resilient Transmission and Distribution networks to support deployment and trade of clean and RE power</w:t>
        </w:r>
        <w:r w:rsidRPr="00662906">
          <w:rPr>
            <w:noProof/>
            <w:webHidden/>
          </w:rPr>
          <w:tab/>
        </w:r>
        <w:r w:rsidRPr="00662906">
          <w:rPr>
            <w:noProof/>
            <w:webHidden/>
          </w:rPr>
          <w:fldChar w:fldCharType="begin"/>
        </w:r>
        <w:r w:rsidRPr="00662906">
          <w:rPr>
            <w:noProof/>
            <w:webHidden/>
          </w:rPr>
          <w:instrText xml:space="preserve"> PAGEREF _Toc197433906 \h </w:instrText>
        </w:r>
        <w:r w:rsidRPr="00662906">
          <w:rPr>
            <w:noProof/>
            <w:webHidden/>
          </w:rPr>
        </w:r>
        <w:r w:rsidRPr="00662906">
          <w:rPr>
            <w:noProof/>
            <w:webHidden/>
          </w:rPr>
          <w:fldChar w:fldCharType="separate"/>
        </w:r>
        <w:r w:rsidR="00610F61">
          <w:rPr>
            <w:noProof/>
            <w:webHidden/>
          </w:rPr>
          <w:t>64</w:t>
        </w:r>
        <w:r w:rsidRPr="00662906">
          <w:rPr>
            <w:noProof/>
            <w:webHidden/>
          </w:rPr>
          <w:fldChar w:fldCharType="end"/>
        </w:r>
      </w:hyperlink>
    </w:p>
    <w:p w14:paraId="6E204D20" w14:textId="65649AD1"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7" w:history="1">
        <w:r w:rsidRPr="00662906">
          <w:rPr>
            <w:rStyle w:val="Hyperlink"/>
            <w:noProof/>
          </w:rPr>
          <w:t>Table 19: Action Plan for Strategic Intervention 1. Promoting introduction of various NEVs and clean fuels in various sub sectors of the transport sector.</w:t>
        </w:r>
        <w:r w:rsidRPr="00662906">
          <w:rPr>
            <w:noProof/>
            <w:webHidden/>
          </w:rPr>
          <w:tab/>
        </w:r>
        <w:r w:rsidRPr="00662906">
          <w:rPr>
            <w:noProof/>
            <w:webHidden/>
          </w:rPr>
          <w:fldChar w:fldCharType="begin"/>
        </w:r>
        <w:r w:rsidRPr="00662906">
          <w:rPr>
            <w:noProof/>
            <w:webHidden/>
          </w:rPr>
          <w:instrText xml:space="preserve"> PAGEREF _Toc197433907 \h </w:instrText>
        </w:r>
        <w:r w:rsidRPr="00662906">
          <w:rPr>
            <w:noProof/>
            <w:webHidden/>
          </w:rPr>
        </w:r>
        <w:r w:rsidRPr="00662906">
          <w:rPr>
            <w:noProof/>
            <w:webHidden/>
          </w:rPr>
          <w:fldChar w:fldCharType="separate"/>
        </w:r>
        <w:r w:rsidR="00610F61">
          <w:rPr>
            <w:noProof/>
            <w:webHidden/>
          </w:rPr>
          <w:t>68</w:t>
        </w:r>
        <w:r w:rsidRPr="00662906">
          <w:rPr>
            <w:noProof/>
            <w:webHidden/>
          </w:rPr>
          <w:fldChar w:fldCharType="end"/>
        </w:r>
      </w:hyperlink>
    </w:p>
    <w:p w14:paraId="683BACD9" w14:textId="55823D9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8" w:history="1">
        <w:r w:rsidRPr="00662906">
          <w:rPr>
            <w:rStyle w:val="Hyperlink"/>
            <w:noProof/>
          </w:rPr>
          <w:t>Table 20: Action Plan for Strategic Intervention 2: Transitioning the conventional transport systems to multi-modal transport systems for efficient use and energy demand reduction.</w:t>
        </w:r>
        <w:r w:rsidRPr="00662906">
          <w:rPr>
            <w:noProof/>
            <w:webHidden/>
          </w:rPr>
          <w:tab/>
        </w:r>
        <w:r w:rsidRPr="00662906">
          <w:rPr>
            <w:noProof/>
            <w:webHidden/>
          </w:rPr>
          <w:fldChar w:fldCharType="begin"/>
        </w:r>
        <w:r w:rsidRPr="00662906">
          <w:rPr>
            <w:noProof/>
            <w:webHidden/>
          </w:rPr>
          <w:instrText xml:space="preserve"> PAGEREF _Toc197433908 \h </w:instrText>
        </w:r>
        <w:r w:rsidRPr="00662906">
          <w:rPr>
            <w:noProof/>
            <w:webHidden/>
          </w:rPr>
        </w:r>
        <w:r w:rsidRPr="00662906">
          <w:rPr>
            <w:noProof/>
            <w:webHidden/>
          </w:rPr>
          <w:fldChar w:fldCharType="separate"/>
        </w:r>
        <w:r w:rsidR="00610F61">
          <w:rPr>
            <w:noProof/>
            <w:webHidden/>
          </w:rPr>
          <w:t>70</w:t>
        </w:r>
        <w:r w:rsidRPr="00662906">
          <w:rPr>
            <w:noProof/>
            <w:webHidden/>
          </w:rPr>
          <w:fldChar w:fldCharType="end"/>
        </w:r>
      </w:hyperlink>
    </w:p>
    <w:p w14:paraId="5462F425" w14:textId="24C8EEEB"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09" w:history="1">
        <w:r w:rsidRPr="00662906">
          <w:rPr>
            <w:rStyle w:val="Hyperlink"/>
            <w:noProof/>
          </w:rPr>
          <w:t>Table 21: Action Plan for Strategic intervention 1: Strengthen and adopt compliance with mandatory building energy codes.</w:t>
        </w:r>
        <w:r w:rsidRPr="00662906">
          <w:rPr>
            <w:noProof/>
            <w:webHidden/>
          </w:rPr>
          <w:tab/>
        </w:r>
        <w:r w:rsidRPr="00662906">
          <w:rPr>
            <w:noProof/>
            <w:webHidden/>
          </w:rPr>
          <w:fldChar w:fldCharType="begin"/>
        </w:r>
        <w:r w:rsidRPr="00662906">
          <w:rPr>
            <w:noProof/>
            <w:webHidden/>
          </w:rPr>
          <w:instrText xml:space="preserve"> PAGEREF _Toc197433909 \h </w:instrText>
        </w:r>
        <w:r w:rsidRPr="00662906">
          <w:rPr>
            <w:noProof/>
            <w:webHidden/>
          </w:rPr>
        </w:r>
        <w:r w:rsidRPr="00662906">
          <w:rPr>
            <w:noProof/>
            <w:webHidden/>
          </w:rPr>
          <w:fldChar w:fldCharType="separate"/>
        </w:r>
        <w:r w:rsidR="00610F61">
          <w:rPr>
            <w:noProof/>
            <w:webHidden/>
          </w:rPr>
          <w:t>75</w:t>
        </w:r>
        <w:r w:rsidRPr="00662906">
          <w:rPr>
            <w:noProof/>
            <w:webHidden/>
          </w:rPr>
          <w:fldChar w:fldCharType="end"/>
        </w:r>
      </w:hyperlink>
    </w:p>
    <w:p w14:paraId="733D1E2F" w14:textId="68B5495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0" w:history="1">
        <w:r w:rsidRPr="00662906">
          <w:rPr>
            <w:rStyle w:val="Hyperlink"/>
            <w:noProof/>
          </w:rPr>
          <w:t>Table 22: Action Plan for Strategic Intervention 2: Boost market demand for energy-efficient buildings.</w:t>
        </w:r>
        <w:r w:rsidRPr="00662906">
          <w:rPr>
            <w:noProof/>
            <w:webHidden/>
          </w:rPr>
          <w:tab/>
        </w:r>
        <w:r w:rsidRPr="00662906">
          <w:rPr>
            <w:noProof/>
            <w:webHidden/>
          </w:rPr>
          <w:fldChar w:fldCharType="begin"/>
        </w:r>
        <w:r w:rsidRPr="00662906">
          <w:rPr>
            <w:noProof/>
            <w:webHidden/>
          </w:rPr>
          <w:instrText xml:space="preserve"> PAGEREF _Toc197433910 \h </w:instrText>
        </w:r>
        <w:r w:rsidRPr="00662906">
          <w:rPr>
            <w:noProof/>
            <w:webHidden/>
          </w:rPr>
        </w:r>
        <w:r w:rsidRPr="00662906">
          <w:rPr>
            <w:noProof/>
            <w:webHidden/>
          </w:rPr>
          <w:fldChar w:fldCharType="separate"/>
        </w:r>
        <w:r w:rsidR="00610F61">
          <w:rPr>
            <w:noProof/>
            <w:webHidden/>
          </w:rPr>
          <w:t>77</w:t>
        </w:r>
        <w:r w:rsidRPr="00662906">
          <w:rPr>
            <w:noProof/>
            <w:webHidden/>
          </w:rPr>
          <w:fldChar w:fldCharType="end"/>
        </w:r>
      </w:hyperlink>
    </w:p>
    <w:p w14:paraId="0ABBDCC0" w14:textId="6E05EEEE"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1" w:history="1">
        <w:r w:rsidRPr="00662906">
          <w:rPr>
            <w:rStyle w:val="Hyperlink"/>
            <w:noProof/>
          </w:rPr>
          <w:t>Table 23: Action Plan for Strategic Intervention 3: Boost capacity for delivery of energy-efficient building</w:t>
        </w:r>
        <w:r w:rsidRPr="00662906">
          <w:rPr>
            <w:noProof/>
            <w:webHidden/>
          </w:rPr>
          <w:tab/>
        </w:r>
        <w:r w:rsidRPr="00662906">
          <w:rPr>
            <w:noProof/>
            <w:webHidden/>
          </w:rPr>
          <w:fldChar w:fldCharType="begin"/>
        </w:r>
        <w:r w:rsidRPr="00662906">
          <w:rPr>
            <w:noProof/>
            <w:webHidden/>
          </w:rPr>
          <w:instrText xml:space="preserve"> PAGEREF _Toc197433911 \h </w:instrText>
        </w:r>
        <w:r w:rsidRPr="00662906">
          <w:rPr>
            <w:noProof/>
            <w:webHidden/>
          </w:rPr>
        </w:r>
        <w:r w:rsidRPr="00662906">
          <w:rPr>
            <w:noProof/>
            <w:webHidden/>
          </w:rPr>
          <w:fldChar w:fldCharType="separate"/>
        </w:r>
        <w:r w:rsidR="00610F61">
          <w:rPr>
            <w:noProof/>
            <w:webHidden/>
          </w:rPr>
          <w:t>79</w:t>
        </w:r>
        <w:r w:rsidRPr="00662906">
          <w:rPr>
            <w:noProof/>
            <w:webHidden/>
          </w:rPr>
          <w:fldChar w:fldCharType="end"/>
        </w:r>
      </w:hyperlink>
    </w:p>
    <w:p w14:paraId="641065F9" w14:textId="076E6DF7"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2" w:history="1">
        <w:r w:rsidRPr="00662906">
          <w:rPr>
            <w:rStyle w:val="Hyperlink"/>
            <w:noProof/>
          </w:rPr>
          <w:t>Table 24: Action Plan for Strategic Intervention 1:</w:t>
        </w:r>
        <w:r w:rsidRPr="00662906">
          <w:rPr>
            <w:rStyle w:val="Hyperlink"/>
            <w:rFonts w:eastAsia="Arial" w:cs="Arial"/>
            <w:noProof/>
          </w:rPr>
          <w:t xml:space="preserve"> Target reduction of fossil fuel demand in industry through fuel substitution, RE supply and EE Practices.</w:t>
        </w:r>
        <w:r w:rsidRPr="00662906">
          <w:rPr>
            <w:noProof/>
            <w:webHidden/>
          </w:rPr>
          <w:tab/>
        </w:r>
        <w:r w:rsidRPr="00662906">
          <w:rPr>
            <w:noProof/>
            <w:webHidden/>
          </w:rPr>
          <w:fldChar w:fldCharType="begin"/>
        </w:r>
        <w:r w:rsidRPr="00662906">
          <w:rPr>
            <w:noProof/>
            <w:webHidden/>
          </w:rPr>
          <w:instrText xml:space="preserve"> PAGEREF _Toc197433912 \h </w:instrText>
        </w:r>
        <w:r w:rsidRPr="00662906">
          <w:rPr>
            <w:noProof/>
            <w:webHidden/>
          </w:rPr>
        </w:r>
        <w:r w:rsidRPr="00662906">
          <w:rPr>
            <w:noProof/>
            <w:webHidden/>
          </w:rPr>
          <w:fldChar w:fldCharType="separate"/>
        </w:r>
        <w:r w:rsidR="00610F61">
          <w:rPr>
            <w:noProof/>
            <w:webHidden/>
          </w:rPr>
          <w:t>82</w:t>
        </w:r>
        <w:r w:rsidRPr="00662906">
          <w:rPr>
            <w:noProof/>
            <w:webHidden/>
          </w:rPr>
          <w:fldChar w:fldCharType="end"/>
        </w:r>
      </w:hyperlink>
    </w:p>
    <w:p w14:paraId="6424F272" w14:textId="0A97E8A8"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3" w:history="1">
        <w:r w:rsidRPr="00662906">
          <w:rPr>
            <w:rStyle w:val="Hyperlink"/>
            <w:noProof/>
          </w:rPr>
          <w:t>Table 25: Action Plan for Strategic Intervention 2.</w:t>
        </w:r>
        <w:r w:rsidRPr="00662906">
          <w:rPr>
            <w:rStyle w:val="Hyperlink"/>
            <w:rFonts w:eastAsia="Arial" w:cs="Arial"/>
            <w:b/>
            <w:bCs/>
            <w:noProof/>
          </w:rPr>
          <w:t xml:space="preserve"> </w:t>
        </w:r>
        <w:r w:rsidRPr="00662906">
          <w:rPr>
            <w:rStyle w:val="Hyperlink"/>
            <w:noProof/>
          </w:rPr>
          <w:t>Transformative industrialization to leverage Africa’s comparative advantage.</w:t>
        </w:r>
        <w:r w:rsidRPr="00662906">
          <w:rPr>
            <w:noProof/>
            <w:webHidden/>
          </w:rPr>
          <w:tab/>
        </w:r>
        <w:r w:rsidRPr="00662906">
          <w:rPr>
            <w:noProof/>
            <w:webHidden/>
          </w:rPr>
          <w:fldChar w:fldCharType="begin"/>
        </w:r>
        <w:r w:rsidRPr="00662906">
          <w:rPr>
            <w:noProof/>
            <w:webHidden/>
          </w:rPr>
          <w:instrText xml:space="preserve"> PAGEREF _Toc197433913 \h </w:instrText>
        </w:r>
        <w:r w:rsidRPr="00662906">
          <w:rPr>
            <w:noProof/>
            <w:webHidden/>
          </w:rPr>
        </w:r>
        <w:r w:rsidRPr="00662906">
          <w:rPr>
            <w:noProof/>
            <w:webHidden/>
          </w:rPr>
          <w:fldChar w:fldCharType="separate"/>
        </w:r>
        <w:r w:rsidR="00610F61">
          <w:rPr>
            <w:noProof/>
            <w:webHidden/>
          </w:rPr>
          <w:t>84</w:t>
        </w:r>
        <w:r w:rsidRPr="00662906">
          <w:rPr>
            <w:noProof/>
            <w:webHidden/>
          </w:rPr>
          <w:fldChar w:fldCharType="end"/>
        </w:r>
      </w:hyperlink>
    </w:p>
    <w:p w14:paraId="7875FC51" w14:textId="26E39293"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4" w:history="1">
        <w:r w:rsidRPr="00662906">
          <w:rPr>
            <w:rStyle w:val="Hyperlink"/>
            <w:noProof/>
          </w:rPr>
          <w:t>Table 26: Strategic Intervention 1: Sustainable supply of natural gas on the continent</w:t>
        </w:r>
        <w:r w:rsidRPr="00662906">
          <w:rPr>
            <w:noProof/>
            <w:webHidden/>
          </w:rPr>
          <w:tab/>
        </w:r>
        <w:r w:rsidRPr="00662906">
          <w:rPr>
            <w:noProof/>
            <w:webHidden/>
          </w:rPr>
          <w:fldChar w:fldCharType="begin"/>
        </w:r>
        <w:r w:rsidRPr="00662906">
          <w:rPr>
            <w:noProof/>
            <w:webHidden/>
          </w:rPr>
          <w:instrText xml:space="preserve"> PAGEREF _Toc197433914 \h </w:instrText>
        </w:r>
        <w:r w:rsidRPr="00662906">
          <w:rPr>
            <w:noProof/>
            <w:webHidden/>
          </w:rPr>
        </w:r>
        <w:r w:rsidRPr="00662906">
          <w:rPr>
            <w:noProof/>
            <w:webHidden/>
          </w:rPr>
          <w:fldChar w:fldCharType="separate"/>
        </w:r>
        <w:r w:rsidR="00610F61">
          <w:rPr>
            <w:noProof/>
            <w:webHidden/>
          </w:rPr>
          <w:t>88</w:t>
        </w:r>
        <w:r w:rsidRPr="00662906">
          <w:rPr>
            <w:noProof/>
            <w:webHidden/>
          </w:rPr>
          <w:fldChar w:fldCharType="end"/>
        </w:r>
      </w:hyperlink>
    </w:p>
    <w:p w14:paraId="615DA7C2" w14:textId="1830454B"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5" w:history="1">
        <w:r w:rsidRPr="00662906">
          <w:rPr>
            <w:rStyle w:val="Hyperlink"/>
            <w:noProof/>
          </w:rPr>
          <w:t>Table 27: Strategic Intervention 2: Promote economic and technical efficiency in the production, transport, and use of oil and gas</w:t>
        </w:r>
        <w:r w:rsidRPr="00662906">
          <w:rPr>
            <w:noProof/>
            <w:webHidden/>
          </w:rPr>
          <w:tab/>
        </w:r>
        <w:r w:rsidRPr="00662906">
          <w:rPr>
            <w:noProof/>
            <w:webHidden/>
          </w:rPr>
          <w:fldChar w:fldCharType="begin"/>
        </w:r>
        <w:r w:rsidRPr="00662906">
          <w:rPr>
            <w:noProof/>
            <w:webHidden/>
          </w:rPr>
          <w:instrText xml:space="preserve"> PAGEREF _Toc197433915 \h </w:instrText>
        </w:r>
        <w:r w:rsidRPr="00662906">
          <w:rPr>
            <w:noProof/>
            <w:webHidden/>
          </w:rPr>
        </w:r>
        <w:r w:rsidRPr="00662906">
          <w:rPr>
            <w:noProof/>
            <w:webHidden/>
          </w:rPr>
          <w:fldChar w:fldCharType="separate"/>
        </w:r>
        <w:r w:rsidR="00610F61">
          <w:rPr>
            <w:noProof/>
            <w:webHidden/>
          </w:rPr>
          <w:t>89</w:t>
        </w:r>
        <w:r w:rsidRPr="00662906">
          <w:rPr>
            <w:noProof/>
            <w:webHidden/>
          </w:rPr>
          <w:fldChar w:fldCharType="end"/>
        </w:r>
      </w:hyperlink>
    </w:p>
    <w:p w14:paraId="60F9B2E3" w14:textId="1E671FE4"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6" w:history="1">
        <w:r w:rsidRPr="00662906">
          <w:rPr>
            <w:rStyle w:val="Hyperlink"/>
            <w:noProof/>
          </w:rPr>
          <w:t>Table 28: Strategic Intervention 3: Environmental, Social and Governance Sustainability enhanced</w:t>
        </w:r>
        <w:r w:rsidRPr="00662906">
          <w:rPr>
            <w:noProof/>
            <w:webHidden/>
          </w:rPr>
          <w:tab/>
        </w:r>
        <w:r w:rsidRPr="00662906">
          <w:rPr>
            <w:noProof/>
            <w:webHidden/>
          </w:rPr>
          <w:fldChar w:fldCharType="begin"/>
        </w:r>
        <w:r w:rsidRPr="00662906">
          <w:rPr>
            <w:noProof/>
            <w:webHidden/>
          </w:rPr>
          <w:instrText xml:space="preserve"> PAGEREF _Toc197433916 \h </w:instrText>
        </w:r>
        <w:r w:rsidRPr="00662906">
          <w:rPr>
            <w:noProof/>
            <w:webHidden/>
          </w:rPr>
        </w:r>
        <w:r w:rsidRPr="00662906">
          <w:rPr>
            <w:noProof/>
            <w:webHidden/>
          </w:rPr>
          <w:fldChar w:fldCharType="separate"/>
        </w:r>
        <w:r w:rsidR="00610F61">
          <w:rPr>
            <w:noProof/>
            <w:webHidden/>
          </w:rPr>
          <w:t>91</w:t>
        </w:r>
        <w:r w:rsidRPr="00662906">
          <w:rPr>
            <w:noProof/>
            <w:webHidden/>
          </w:rPr>
          <w:fldChar w:fldCharType="end"/>
        </w:r>
      </w:hyperlink>
    </w:p>
    <w:p w14:paraId="6650A081" w14:textId="1527E9D4"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7" w:history="1">
        <w:r w:rsidRPr="00662906">
          <w:rPr>
            <w:rStyle w:val="Hyperlink"/>
            <w:noProof/>
          </w:rPr>
          <w:t>Table 29: Strategic Intervention 1. Modernization of Agricultural Equipment</w:t>
        </w:r>
        <w:r w:rsidRPr="00662906">
          <w:rPr>
            <w:noProof/>
            <w:webHidden/>
          </w:rPr>
          <w:tab/>
        </w:r>
        <w:r w:rsidRPr="00662906">
          <w:rPr>
            <w:noProof/>
            <w:webHidden/>
          </w:rPr>
          <w:fldChar w:fldCharType="begin"/>
        </w:r>
        <w:r w:rsidRPr="00662906">
          <w:rPr>
            <w:noProof/>
            <w:webHidden/>
          </w:rPr>
          <w:instrText xml:space="preserve"> PAGEREF _Toc197433917 \h </w:instrText>
        </w:r>
        <w:r w:rsidRPr="00662906">
          <w:rPr>
            <w:noProof/>
            <w:webHidden/>
          </w:rPr>
        </w:r>
        <w:r w:rsidRPr="00662906">
          <w:rPr>
            <w:noProof/>
            <w:webHidden/>
          </w:rPr>
          <w:fldChar w:fldCharType="separate"/>
        </w:r>
        <w:r w:rsidR="00610F61">
          <w:rPr>
            <w:noProof/>
            <w:webHidden/>
          </w:rPr>
          <w:t>94</w:t>
        </w:r>
        <w:r w:rsidRPr="00662906">
          <w:rPr>
            <w:noProof/>
            <w:webHidden/>
          </w:rPr>
          <w:fldChar w:fldCharType="end"/>
        </w:r>
      </w:hyperlink>
    </w:p>
    <w:p w14:paraId="3E2A603C" w14:textId="01ED545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8" w:history="1">
        <w:r w:rsidRPr="00662906">
          <w:rPr>
            <w:rStyle w:val="Hyperlink"/>
            <w:noProof/>
          </w:rPr>
          <w:t>Table 30: Strategic Intervention 2. Promotion of Renewable Energy in Agriculture</w:t>
        </w:r>
        <w:r w:rsidRPr="00662906">
          <w:rPr>
            <w:noProof/>
            <w:webHidden/>
          </w:rPr>
          <w:tab/>
        </w:r>
        <w:r w:rsidRPr="00662906">
          <w:rPr>
            <w:noProof/>
            <w:webHidden/>
          </w:rPr>
          <w:fldChar w:fldCharType="begin"/>
        </w:r>
        <w:r w:rsidRPr="00662906">
          <w:rPr>
            <w:noProof/>
            <w:webHidden/>
          </w:rPr>
          <w:instrText xml:space="preserve"> PAGEREF _Toc197433918 \h </w:instrText>
        </w:r>
        <w:r w:rsidRPr="00662906">
          <w:rPr>
            <w:noProof/>
            <w:webHidden/>
          </w:rPr>
        </w:r>
        <w:r w:rsidRPr="00662906">
          <w:rPr>
            <w:noProof/>
            <w:webHidden/>
          </w:rPr>
          <w:fldChar w:fldCharType="separate"/>
        </w:r>
        <w:r w:rsidR="00610F61">
          <w:rPr>
            <w:noProof/>
            <w:webHidden/>
          </w:rPr>
          <w:t>96</w:t>
        </w:r>
        <w:r w:rsidRPr="00662906">
          <w:rPr>
            <w:noProof/>
            <w:webHidden/>
          </w:rPr>
          <w:fldChar w:fldCharType="end"/>
        </w:r>
      </w:hyperlink>
    </w:p>
    <w:p w14:paraId="7ABAC2CC" w14:textId="46C55DE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19" w:history="1">
        <w:r w:rsidRPr="00662906">
          <w:rPr>
            <w:rStyle w:val="Hyperlink"/>
            <w:noProof/>
          </w:rPr>
          <w:t>Table 31: Strategic Intervention 3. Enhancement of Agricultural Extension Services</w:t>
        </w:r>
        <w:r w:rsidRPr="00662906">
          <w:rPr>
            <w:noProof/>
            <w:webHidden/>
          </w:rPr>
          <w:tab/>
        </w:r>
        <w:r w:rsidRPr="00662906">
          <w:rPr>
            <w:noProof/>
            <w:webHidden/>
          </w:rPr>
          <w:fldChar w:fldCharType="begin"/>
        </w:r>
        <w:r w:rsidRPr="00662906">
          <w:rPr>
            <w:noProof/>
            <w:webHidden/>
          </w:rPr>
          <w:instrText xml:space="preserve"> PAGEREF _Toc197433919 \h </w:instrText>
        </w:r>
        <w:r w:rsidRPr="00662906">
          <w:rPr>
            <w:noProof/>
            <w:webHidden/>
          </w:rPr>
        </w:r>
        <w:r w:rsidRPr="00662906">
          <w:rPr>
            <w:noProof/>
            <w:webHidden/>
          </w:rPr>
          <w:fldChar w:fldCharType="separate"/>
        </w:r>
        <w:r w:rsidR="00610F61">
          <w:rPr>
            <w:noProof/>
            <w:webHidden/>
          </w:rPr>
          <w:t>99</w:t>
        </w:r>
        <w:r w:rsidRPr="00662906">
          <w:rPr>
            <w:noProof/>
            <w:webHidden/>
          </w:rPr>
          <w:fldChar w:fldCharType="end"/>
        </w:r>
      </w:hyperlink>
    </w:p>
    <w:p w14:paraId="69D0069D" w14:textId="4C24EBEF"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0" w:history="1">
        <w:r w:rsidRPr="00662906">
          <w:rPr>
            <w:rStyle w:val="Hyperlink"/>
            <w:noProof/>
          </w:rPr>
          <w:t>Table 32: Strategic Intervention: 1 Development and Deployment of Advanced Cooking Technologies</w:t>
        </w:r>
        <w:r w:rsidRPr="00662906">
          <w:rPr>
            <w:noProof/>
            <w:webHidden/>
          </w:rPr>
          <w:tab/>
        </w:r>
        <w:r w:rsidRPr="00662906">
          <w:rPr>
            <w:noProof/>
            <w:webHidden/>
          </w:rPr>
          <w:fldChar w:fldCharType="begin"/>
        </w:r>
        <w:r w:rsidRPr="00662906">
          <w:rPr>
            <w:noProof/>
            <w:webHidden/>
          </w:rPr>
          <w:instrText xml:space="preserve"> PAGEREF _Toc197433920 \h </w:instrText>
        </w:r>
        <w:r w:rsidRPr="00662906">
          <w:rPr>
            <w:noProof/>
            <w:webHidden/>
          </w:rPr>
        </w:r>
        <w:r w:rsidRPr="00662906">
          <w:rPr>
            <w:noProof/>
            <w:webHidden/>
          </w:rPr>
          <w:fldChar w:fldCharType="separate"/>
        </w:r>
        <w:r w:rsidR="00610F61">
          <w:rPr>
            <w:noProof/>
            <w:webHidden/>
          </w:rPr>
          <w:t>102</w:t>
        </w:r>
        <w:r w:rsidRPr="00662906">
          <w:rPr>
            <w:noProof/>
            <w:webHidden/>
          </w:rPr>
          <w:fldChar w:fldCharType="end"/>
        </w:r>
      </w:hyperlink>
    </w:p>
    <w:p w14:paraId="6C9AB4A3" w14:textId="16321D6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1" w:history="1">
        <w:r w:rsidRPr="00662906">
          <w:rPr>
            <w:rStyle w:val="Hyperlink"/>
            <w:noProof/>
          </w:rPr>
          <w:t>Table 33: Strategic Intervention 2 Enhancing Market Structures and Supply Chains</w:t>
        </w:r>
        <w:r w:rsidRPr="00662906">
          <w:rPr>
            <w:noProof/>
            <w:webHidden/>
          </w:rPr>
          <w:tab/>
        </w:r>
        <w:r w:rsidRPr="00662906">
          <w:rPr>
            <w:noProof/>
            <w:webHidden/>
          </w:rPr>
          <w:fldChar w:fldCharType="begin"/>
        </w:r>
        <w:r w:rsidRPr="00662906">
          <w:rPr>
            <w:noProof/>
            <w:webHidden/>
          </w:rPr>
          <w:instrText xml:space="preserve"> PAGEREF _Toc197433921 \h </w:instrText>
        </w:r>
        <w:r w:rsidRPr="00662906">
          <w:rPr>
            <w:noProof/>
            <w:webHidden/>
          </w:rPr>
        </w:r>
        <w:r w:rsidRPr="00662906">
          <w:rPr>
            <w:noProof/>
            <w:webHidden/>
          </w:rPr>
          <w:fldChar w:fldCharType="separate"/>
        </w:r>
        <w:r w:rsidR="00610F61">
          <w:rPr>
            <w:noProof/>
            <w:webHidden/>
          </w:rPr>
          <w:t>104</w:t>
        </w:r>
        <w:r w:rsidRPr="00662906">
          <w:rPr>
            <w:noProof/>
            <w:webHidden/>
          </w:rPr>
          <w:fldChar w:fldCharType="end"/>
        </w:r>
      </w:hyperlink>
    </w:p>
    <w:p w14:paraId="0610B7DF" w14:textId="4F1649BA"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2" w:history="1">
        <w:r w:rsidRPr="00662906">
          <w:rPr>
            <w:rStyle w:val="Hyperlink"/>
            <w:noProof/>
          </w:rPr>
          <w:t>Table 34: Strategic Intervention 3 Policy Development and Regulatory Support</w:t>
        </w:r>
        <w:r w:rsidRPr="00662906">
          <w:rPr>
            <w:noProof/>
            <w:webHidden/>
          </w:rPr>
          <w:tab/>
        </w:r>
        <w:r w:rsidRPr="00662906">
          <w:rPr>
            <w:noProof/>
            <w:webHidden/>
          </w:rPr>
          <w:fldChar w:fldCharType="begin"/>
        </w:r>
        <w:r w:rsidRPr="00662906">
          <w:rPr>
            <w:noProof/>
            <w:webHidden/>
          </w:rPr>
          <w:instrText xml:space="preserve"> PAGEREF _Toc197433922 \h </w:instrText>
        </w:r>
        <w:r w:rsidRPr="00662906">
          <w:rPr>
            <w:noProof/>
            <w:webHidden/>
          </w:rPr>
        </w:r>
        <w:r w:rsidRPr="00662906">
          <w:rPr>
            <w:noProof/>
            <w:webHidden/>
          </w:rPr>
          <w:fldChar w:fldCharType="separate"/>
        </w:r>
        <w:r w:rsidR="00610F61">
          <w:rPr>
            <w:noProof/>
            <w:webHidden/>
          </w:rPr>
          <w:t>107</w:t>
        </w:r>
        <w:r w:rsidRPr="00662906">
          <w:rPr>
            <w:noProof/>
            <w:webHidden/>
          </w:rPr>
          <w:fldChar w:fldCharType="end"/>
        </w:r>
      </w:hyperlink>
    </w:p>
    <w:p w14:paraId="4A6A93CB" w14:textId="088E2AA3"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3" w:history="1">
        <w:r w:rsidRPr="00662906">
          <w:rPr>
            <w:rStyle w:val="Hyperlink"/>
            <w:noProof/>
          </w:rPr>
          <w:t>Table 35: Strategic Intervention: 4. Public Awareness Campaigns and Education</w:t>
        </w:r>
        <w:r w:rsidRPr="00662906">
          <w:rPr>
            <w:noProof/>
            <w:webHidden/>
          </w:rPr>
          <w:tab/>
        </w:r>
        <w:r w:rsidRPr="00662906">
          <w:rPr>
            <w:noProof/>
            <w:webHidden/>
          </w:rPr>
          <w:fldChar w:fldCharType="begin"/>
        </w:r>
        <w:r w:rsidRPr="00662906">
          <w:rPr>
            <w:noProof/>
            <w:webHidden/>
          </w:rPr>
          <w:instrText xml:space="preserve"> PAGEREF _Toc197433923 \h </w:instrText>
        </w:r>
        <w:r w:rsidRPr="00662906">
          <w:rPr>
            <w:noProof/>
            <w:webHidden/>
          </w:rPr>
        </w:r>
        <w:r w:rsidRPr="00662906">
          <w:rPr>
            <w:noProof/>
            <w:webHidden/>
          </w:rPr>
          <w:fldChar w:fldCharType="separate"/>
        </w:r>
        <w:r w:rsidR="00610F61">
          <w:rPr>
            <w:noProof/>
            <w:webHidden/>
          </w:rPr>
          <w:t>110</w:t>
        </w:r>
        <w:r w:rsidRPr="00662906">
          <w:rPr>
            <w:noProof/>
            <w:webHidden/>
          </w:rPr>
          <w:fldChar w:fldCharType="end"/>
        </w:r>
      </w:hyperlink>
    </w:p>
    <w:p w14:paraId="75B4ABE8" w14:textId="7F18BA0B"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4" w:history="1">
        <w:r w:rsidRPr="00662906">
          <w:rPr>
            <w:rStyle w:val="Hyperlink"/>
            <w:noProof/>
          </w:rPr>
          <w:t>Table 36: Summary of ETSAP Strategic objectives, strategic interventions, cross cutting, and cross sectoral issues</w:t>
        </w:r>
        <w:r w:rsidRPr="00662906">
          <w:rPr>
            <w:noProof/>
            <w:webHidden/>
          </w:rPr>
          <w:tab/>
        </w:r>
        <w:r w:rsidRPr="00662906">
          <w:rPr>
            <w:noProof/>
            <w:webHidden/>
          </w:rPr>
          <w:fldChar w:fldCharType="begin"/>
        </w:r>
        <w:r w:rsidRPr="00662906">
          <w:rPr>
            <w:noProof/>
            <w:webHidden/>
          </w:rPr>
          <w:instrText xml:space="preserve"> PAGEREF _Toc197433924 \h </w:instrText>
        </w:r>
        <w:r w:rsidRPr="00662906">
          <w:rPr>
            <w:noProof/>
            <w:webHidden/>
          </w:rPr>
        </w:r>
        <w:r w:rsidRPr="00662906">
          <w:rPr>
            <w:noProof/>
            <w:webHidden/>
          </w:rPr>
          <w:fldChar w:fldCharType="separate"/>
        </w:r>
        <w:r w:rsidR="00610F61">
          <w:rPr>
            <w:noProof/>
            <w:webHidden/>
          </w:rPr>
          <w:t>113</w:t>
        </w:r>
        <w:r w:rsidRPr="00662906">
          <w:rPr>
            <w:noProof/>
            <w:webHidden/>
          </w:rPr>
          <w:fldChar w:fldCharType="end"/>
        </w:r>
      </w:hyperlink>
    </w:p>
    <w:p w14:paraId="2F33E954" w14:textId="6E7066B7"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5" w:history="1">
        <w:r w:rsidRPr="00662906">
          <w:rPr>
            <w:rStyle w:val="Hyperlink"/>
            <w:noProof/>
          </w:rPr>
          <w:t>Table 37: Action Plan for the Horizontal Strategic Interventions</w:t>
        </w:r>
        <w:r w:rsidRPr="00662906">
          <w:rPr>
            <w:noProof/>
            <w:webHidden/>
          </w:rPr>
          <w:tab/>
        </w:r>
        <w:r w:rsidRPr="00662906">
          <w:rPr>
            <w:noProof/>
            <w:webHidden/>
          </w:rPr>
          <w:fldChar w:fldCharType="begin"/>
        </w:r>
        <w:r w:rsidRPr="00662906">
          <w:rPr>
            <w:noProof/>
            <w:webHidden/>
          </w:rPr>
          <w:instrText xml:space="preserve"> PAGEREF _Toc197433925 \h </w:instrText>
        </w:r>
        <w:r w:rsidRPr="00662906">
          <w:rPr>
            <w:noProof/>
            <w:webHidden/>
          </w:rPr>
        </w:r>
        <w:r w:rsidRPr="00662906">
          <w:rPr>
            <w:noProof/>
            <w:webHidden/>
          </w:rPr>
          <w:fldChar w:fldCharType="separate"/>
        </w:r>
        <w:r w:rsidR="00610F61">
          <w:rPr>
            <w:noProof/>
            <w:webHidden/>
          </w:rPr>
          <w:t>114</w:t>
        </w:r>
        <w:r w:rsidRPr="00662906">
          <w:rPr>
            <w:noProof/>
            <w:webHidden/>
          </w:rPr>
          <w:fldChar w:fldCharType="end"/>
        </w:r>
      </w:hyperlink>
    </w:p>
    <w:p w14:paraId="758B13B4" w14:textId="44835C49"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6" w:history="1">
        <w:r w:rsidRPr="00662906">
          <w:rPr>
            <w:rStyle w:val="Hyperlink"/>
            <w:noProof/>
          </w:rPr>
          <w:t>Table 38: Key Cross cutting issues to be observed for the ETSAP Implementation</w:t>
        </w:r>
        <w:r w:rsidRPr="00662906">
          <w:rPr>
            <w:noProof/>
            <w:webHidden/>
          </w:rPr>
          <w:tab/>
        </w:r>
        <w:r w:rsidRPr="00662906">
          <w:rPr>
            <w:noProof/>
            <w:webHidden/>
          </w:rPr>
          <w:fldChar w:fldCharType="begin"/>
        </w:r>
        <w:r w:rsidRPr="00662906">
          <w:rPr>
            <w:noProof/>
            <w:webHidden/>
          </w:rPr>
          <w:instrText xml:space="preserve"> PAGEREF _Toc197433926 \h </w:instrText>
        </w:r>
        <w:r w:rsidRPr="00662906">
          <w:rPr>
            <w:noProof/>
            <w:webHidden/>
          </w:rPr>
        </w:r>
        <w:r w:rsidRPr="00662906">
          <w:rPr>
            <w:noProof/>
            <w:webHidden/>
          </w:rPr>
          <w:fldChar w:fldCharType="separate"/>
        </w:r>
        <w:r w:rsidR="00610F61">
          <w:rPr>
            <w:noProof/>
            <w:webHidden/>
          </w:rPr>
          <w:t>116</w:t>
        </w:r>
        <w:r w:rsidRPr="00662906">
          <w:rPr>
            <w:noProof/>
            <w:webHidden/>
          </w:rPr>
          <w:fldChar w:fldCharType="end"/>
        </w:r>
      </w:hyperlink>
    </w:p>
    <w:p w14:paraId="737FD893" w14:textId="66934487"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7" w:history="1">
        <w:r w:rsidRPr="00662906">
          <w:rPr>
            <w:rStyle w:val="Hyperlink"/>
            <w:noProof/>
          </w:rPr>
          <w:t>Table 39: Sub sectoral Intersections on the proposed measures and actions. Cause/Effect whereby how the Column sectors effect on Row sectors in terms of what we have already presented in the Strategy and Action Plans- Not all we know about their intersections.</w:t>
        </w:r>
        <w:r w:rsidRPr="00662906">
          <w:rPr>
            <w:noProof/>
            <w:webHidden/>
          </w:rPr>
          <w:tab/>
        </w:r>
        <w:r w:rsidRPr="00662906">
          <w:rPr>
            <w:noProof/>
            <w:webHidden/>
          </w:rPr>
          <w:fldChar w:fldCharType="begin"/>
        </w:r>
        <w:r w:rsidRPr="00662906">
          <w:rPr>
            <w:noProof/>
            <w:webHidden/>
          </w:rPr>
          <w:instrText xml:space="preserve"> PAGEREF _Toc197433927 \h </w:instrText>
        </w:r>
        <w:r w:rsidRPr="00662906">
          <w:rPr>
            <w:noProof/>
            <w:webHidden/>
          </w:rPr>
        </w:r>
        <w:r w:rsidRPr="00662906">
          <w:rPr>
            <w:noProof/>
            <w:webHidden/>
          </w:rPr>
          <w:fldChar w:fldCharType="separate"/>
        </w:r>
        <w:r w:rsidR="00610F61">
          <w:rPr>
            <w:noProof/>
            <w:webHidden/>
          </w:rPr>
          <w:t>118</w:t>
        </w:r>
        <w:r w:rsidRPr="00662906">
          <w:rPr>
            <w:noProof/>
            <w:webHidden/>
          </w:rPr>
          <w:fldChar w:fldCharType="end"/>
        </w:r>
      </w:hyperlink>
    </w:p>
    <w:p w14:paraId="0AA466BB" w14:textId="633ADB81"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8" w:history="1">
        <w:r w:rsidRPr="00662906">
          <w:rPr>
            <w:rStyle w:val="Hyperlink"/>
            <w:noProof/>
          </w:rPr>
          <w:t>Table 40: Principles for implementation of the ETSAP</w:t>
        </w:r>
        <w:r w:rsidRPr="00662906">
          <w:rPr>
            <w:noProof/>
            <w:webHidden/>
          </w:rPr>
          <w:tab/>
        </w:r>
        <w:r w:rsidRPr="00662906">
          <w:rPr>
            <w:noProof/>
            <w:webHidden/>
          </w:rPr>
          <w:fldChar w:fldCharType="begin"/>
        </w:r>
        <w:r w:rsidRPr="00662906">
          <w:rPr>
            <w:noProof/>
            <w:webHidden/>
          </w:rPr>
          <w:instrText xml:space="preserve"> PAGEREF _Toc197433928 \h </w:instrText>
        </w:r>
        <w:r w:rsidRPr="00662906">
          <w:rPr>
            <w:noProof/>
            <w:webHidden/>
          </w:rPr>
        </w:r>
        <w:r w:rsidRPr="00662906">
          <w:rPr>
            <w:noProof/>
            <w:webHidden/>
          </w:rPr>
          <w:fldChar w:fldCharType="separate"/>
        </w:r>
        <w:r w:rsidR="00610F61">
          <w:rPr>
            <w:noProof/>
            <w:webHidden/>
          </w:rPr>
          <w:t>119</w:t>
        </w:r>
        <w:r w:rsidRPr="00662906">
          <w:rPr>
            <w:noProof/>
            <w:webHidden/>
          </w:rPr>
          <w:fldChar w:fldCharType="end"/>
        </w:r>
      </w:hyperlink>
    </w:p>
    <w:p w14:paraId="6005D9FD" w14:textId="03E9B682"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29" w:history="1">
        <w:r w:rsidRPr="00662906">
          <w:rPr>
            <w:rStyle w:val="Hyperlink"/>
            <w:noProof/>
          </w:rPr>
          <w:t>Table 41: Continental and Regional Organizations for ETSAP implementation</w:t>
        </w:r>
        <w:r w:rsidRPr="00662906">
          <w:rPr>
            <w:noProof/>
            <w:webHidden/>
          </w:rPr>
          <w:tab/>
        </w:r>
        <w:r w:rsidRPr="00662906">
          <w:rPr>
            <w:noProof/>
            <w:webHidden/>
          </w:rPr>
          <w:fldChar w:fldCharType="begin"/>
        </w:r>
        <w:r w:rsidRPr="00662906">
          <w:rPr>
            <w:noProof/>
            <w:webHidden/>
          </w:rPr>
          <w:instrText xml:space="preserve"> PAGEREF _Toc197433929 \h </w:instrText>
        </w:r>
        <w:r w:rsidRPr="00662906">
          <w:rPr>
            <w:noProof/>
            <w:webHidden/>
          </w:rPr>
        </w:r>
        <w:r w:rsidRPr="00662906">
          <w:rPr>
            <w:noProof/>
            <w:webHidden/>
          </w:rPr>
          <w:fldChar w:fldCharType="separate"/>
        </w:r>
        <w:r w:rsidR="00610F61">
          <w:rPr>
            <w:noProof/>
            <w:webHidden/>
          </w:rPr>
          <w:t>120</w:t>
        </w:r>
        <w:r w:rsidRPr="00662906">
          <w:rPr>
            <w:noProof/>
            <w:webHidden/>
          </w:rPr>
          <w:fldChar w:fldCharType="end"/>
        </w:r>
      </w:hyperlink>
    </w:p>
    <w:p w14:paraId="5B88B8BE" w14:textId="23B5B0A2"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0" w:history="1">
        <w:r w:rsidRPr="00662906">
          <w:rPr>
            <w:rStyle w:val="Hyperlink"/>
            <w:noProof/>
          </w:rPr>
          <w:t>Table 42: Key Regional Stakeholder Organizations for Implementation of the ETSAP</w:t>
        </w:r>
        <w:r w:rsidRPr="00662906">
          <w:rPr>
            <w:noProof/>
            <w:webHidden/>
          </w:rPr>
          <w:tab/>
        </w:r>
        <w:r w:rsidRPr="00662906">
          <w:rPr>
            <w:noProof/>
            <w:webHidden/>
          </w:rPr>
          <w:fldChar w:fldCharType="begin"/>
        </w:r>
        <w:r w:rsidRPr="00662906">
          <w:rPr>
            <w:noProof/>
            <w:webHidden/>
          </w:rPr>
          <w:instrText xml:space="preserve"> PAGEREF _Toc197433930 \h </w:instrText>
        </w:r>
        <w:r w:rsidRPr="00662906">
          <w:rPr>
            <w:noProof/>
            <w:webHidden/>
          </w:rPr>
        </w:r>
        <w:r w:rsidRPr="00662906">
          <w:rPr>
            <w:noProof/>
            <w:webHidden/>
          </w:rPr>
          <w:fldChar w:fldCharType="separate"/>
        </w:r>
        <w:r w:rsidR="00610F61">
          <w:rPr>
            <w:noProof/>
            <w:webHidden/>
          </w:rPr>
          <w:t>121</w:t>
        </w:r>
        <w:r w:rsidRPr="00662906">
          <w:rPr>
            <w:noProof/>
            <w:webHidden/>
          </w:rPr>
          <w:fldChar w:fldCharType="end"/>
        </w:r>
      </w:hyperlink>
    </w:p>
    <w:p w14:paraId="27243834" w14:textId="769F2C1C"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1" w:history="1">
        <w:r w:rsidRPr="00662906">
          <w:rPr>
            <w:rStyle w:val="Hyperlink"/>
            <w:noProof/>
          </w:rPr>
          <w:t>Table 43: Institutional entitles and their role in the Member States</w:t>
        </w:r>
        <w:r w:rsidRPr="00662906">
          <w:rPr>
            <w:noProof/>
            <w:webHidden/>
          </w:rPr>
          <w:tab/>
        </w:r>
        <w:r w:rsidRPr="00662906">
          <w:rPr>
            <w:noProof/>
            <w:webHidden/>
          </w:rPr>
          <w:fldChar w:fldCharType="begin"/>
        </w:r>
        <w:r w:rsidRPr="00662906">
          <w:rPr>
            <w:noProof/>
            <w:webHidden/>
          </w:rPr>
          <w:instrText xml:space="preserve"> PAGEREF _Toc197433931 \h </w:instrText>
        </w:r>
        <w:r w:rsidRPr="00662906">
          <w:rPr>
            <w:noProof/>
            <w:webHidden/>
          </w:rPr>
        </w:r>
        <w:r w:rsidRPr="00662906">
          <w:rPr>
            <w:noProof/>
            <w:webHidden/>
          </w:rPr>
          <w:fldChar w:fldCharType="separate"/>
        </w:r>
        <w:r w:rsidR="00610F61">
          <w:rPr>
            <w:noProof/>
            <w:webHidden/>
          </w:rPr>
          <w:t>122</w:t>
        </w:r>
        <w:r w:rsidRPr="00662906">
          <w:rPr>
            <w:noProof/>
            <w:webHidden/>
          </w:rPr>
          <w:fldChar w:fldCharType="end"/>
        </w:r>
      </w:hyperlink>
    </w:p>
    <w:p w14:paraId="338CDAF0" w14:textId="74EED0A4"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2" w:history="1">
        <w:r w:rsidRPr="00662906">
          <w:rPr>
            <w:rStyle w:val="Hyperlink"/>
            <w:noProof/>
          </w:rPr>
          <w:t>Table 44: ETSAP Stakeholder Power-Interest Matrix</w:t>
        </w:r>
        <w:r w:rsidRPr="00662906">
          <w:rPr>
            <w:noProof/>
            <w:webHidden/>
          </w:rPr>
          <w:tab/>
        </w:r>
        <w:r w:rsidRPr="00662906">
          <w:rPr>
            <w:noProof/>
            <w:webHidden/>
          </w:rPr>
          <w:fldChar w:fldCharType="begin"/>
        </w:r>
        <w:r w:rsidRPr="00662906">
          <w:rPr>
            <w:noProof/>
            <w:webHidden/>
          </w:rPr>
          <w:instrText xml:space="preserve"> PAGEREF _Toc197433932 \h </w:instrText>
        </w:r>
        <w:r w:rsidRPr="00662906">
          <w:rPr>
            <w:noProof/>
            <w:webHidden/>
          </w:rPr>
        </w:r>
        <w:r w:rsidRPr="00662906">
          <w:rPr>
            <w:noProof/>
            <w:webHidden/>
          </w:rPr>
          <w:fldChar w:fldCharType="separate"/>
        </w:r>
        <w:r w:rsidR="00610F61">
          <w:rPr>
            <w:noProof/>
            <w:webHidden/>
          </w:rPr>
          <w:t>123</w:t>
        </w:r>
        <w:r w:rsidRPr="00662906">
          <w:rPr>
            <w:noProof/>
            <w:webHidden/>
          </w:rPr>
          <w:fldChar w:fldCharType="end"/>
        </w:r>
      </w:hyperlink>
    </w:p>
    <w:p w14:paraId="3DB7FDEF" w14:textId="594771C0"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3" w:history="1">
        <w:r w:rsidRPr="00662906">
          <w:rPr>
            <w:rStyle w:val="Hyperlink"/>
            <w:noProof/>
          </w:rPr>
          <w:t>Table 45: Budget estimates for implementing short term (up to 2030) continental Actions of the ETSAP subsectors</w:t>
        </w:r>
        <w:r w:rsidRPr="00662906">
          <w:rPr>
            <w:noProof/>
            <w:webHidden/>
          </w:rPr>
          <w:tab/>
        </w:r>
        <w:r w:rsidRPr="00662906">
          <w:rPr>
            <w:noProof/>
            <w:webHidden/>
          </w:rPr>
          <w:fldChar w:fldCharType="begin"/>
        </w:r>
        <w:r w:rsidRPr="00662906">
          <w:rPr>
            <w:noProof/>
            <w:webHidden/>
          </w:rPr>
          <w:instrText xml:space="preserve"> PAGEREF _Toc197433933 \h </w:instrText>
        </w:r>
        <w:r w:rsidRPr="00662906">
          <w:rPr>
            <w:noProof/>
            <w:webHidden/>
          </w:rPr>
        </w:r>
        <w:r w:rsidRPr="00662906">
          <w:rPr>
            <w:noProof/>
            <w:webHidden/>
          </w:rPr>
          <w:fldChar w:fldCharType="separate"/>
        </w:r>
        <w:r w:rsidR="00610F61">
          <w:rPr>
            <w:noProof/>
            <w:webHidden/>
          </w:rPr>
          <w:t>125</w:t>
        </w:r>
        <w:r w:rsidRPr="00662906">
          <w:rPr>
            <w:noProof/>
            <w:webHidden/>
          </w:rPr>
          <w:fldChar w:fldCharType="end"/>
        </w:r>
      </w:hyperlink>
    </w:p>
    <w:p w14:paraId="56957E02" w14:textId="510164C1"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4" w:history="1">
        <w:r w:rsidRPr="00662906">
          <w:rPr>
            <w:rStyle w:val="Hyperlink"/>
            <w:noProof/>
          </w:rPr>
          <w:t>Table 46: Estimated Short Term budget for implementing Horizontal Planning ETSAP Actions</w:t>
        </w:r>
        <w:r w:rsidRPr="00662906">
          <w:rPr>
            <w:noProof/>
            <w:webHidden/>
          </w:rPr>
          <w:tab/>
        </w:r>
        <w:r w:rsidRPr="00662906">
          <w:rPr>
            <w:noProof/>
            <w:webHidden/>
          </w:rPr>
          <w:fldChar w:fldCharType="begin"/>
        </w:r>
        <w:r w:rsidRPr="00662906">
          <w:rPr>
            <w:noProof/>
            <w:webHidden/>
          </w:rPr>
          <w:instrText xml:space="preserve"> PAGEREF _Toc197433934 \h </w:instrText>
        </w:r>
        <w:r w:rsidRPr="00662906">
          <w:rPr>
            <w:noProof/>
            <w:webHidden/>
          </w:rPr>
        </w:r>
        <w:r w:rsidRPr="00662906">
          <w:rPr>
            <w:noProof/>
            <w:webHidden/>
          </w:rPr>
          <w:fldChar w:fldCharType="separate"/>
        </w:r>
        <w:r w:rsidR="00610F61">
          <w:rPr>
            <w:noProof/>
            <w:webHidden/>
          </w:rPr>
          <w:t>127</w:t>
        </w:r>
        <w:r w:rsidRPr="00662906">
          <w:rPr>
            <w:noProof/>
            <w:webHidden/>
          </w:rPr>
          <w:fldChar w:fldCharType="end"/>
        </w:r>
      </w:hyperlink>
    </w:p>
    <w:p w14:paraId="400FF7CE" w14:textId="6B33C40A"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5" w:history="1">
        <w:r w:rsidRPr="00662906">
          <w:rPr>
            <w:rStyle w:val="Hyperlink"/>
            <w:noProof/>
          </w:rPr>
          <w:t>Table 47: Cross cutting and Cross sectoral budgets for short continental actions (2025-2030)</w:t>
        </w:r>
        <w:r w:rsidRPr="00662906">
          <w:rPr>
            <w:noProof/>
            <w:webHidden/>
          </w:rPr>
          <w:tab/>
        </w:r>
        <w:r w:rsidRPr="00662906">
          <w:rPr>
            <w:noProof/>
            <w:webHidden/>
          </w:rPr>
          <w:fldChar w:fldCharType="begin"/>
        </w:r>
        <w:r w:rsidRPr="00662906">
          <w:rPr>
            <w:noProof/>
            <w:webHidden/>
          </w:rPr>
          <w:instrText xml:space="preserve"> PAGEREF _Toc197433935 \h </w:instrText>
        </w:r>
        <w:r w:rsidRPr="00662906">
          <w:rPr>
            <w:noProof/>
            <w:webHidden/>
          </w:rPr>
        </w:r>
        <w:r w:rsidRPr="00662906">
          <w:rPr>
            <w:noProof/>
            <w:webHidden/>
          </w:rPr>
          <w:fldChar w:fldCharType="separate"/>
        </w:r>
        <w:r w:rsidR="00610F61">
          <w:rPr>
            <w:noProof/>
            <w:webHidden/>
          </w:rPr>
          <w:t>128</w:t>
        </w:r>
        <w:r w:rsidRPr="00662906">
          <w:rPr>
            <w:noProof/>
            <w:webHidden/>
          </w:rPr>
          <w:fldChar w:fldCharType="end"/>
        </w:r>
      </w:hyperlink>
    </w:p>
    <w:p w14:paraId="3FA274F3" w14:textId="358A0BBB"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6" w:history="1">
        <w:r w:rsidRPr="00662906">
          <w:rPr>
            <w:rStyle w:val="Hyperlink"/>
            <w:noProof/>
          </w:rPr>
          <w:t>Table 48: Summarized budget for all short term ETSAP actions by category</w:t>
        </w:r>
        <w:r w:rsidRPr="00662906">
          <w:rPr>
            <w:noProof/>
            <w:webHidden/>
          </w:rPr>
          <w:tab/>
        </w:r>
        <w:r w:rsidRPr="00662906">
          <w:rPr>
            <w:noProof/>
            <w:webHidden/>
          </w:rPr>
          <w:fldChar w:fldCharType="begin"/>
        </w:r>
        <w:r w:rsidRPr="00662906">
          <w:rPr>
            <w:noProof/>
            <w:webHidden/>
          </w:rPr>
          <w:instrText xml:space="preserve"> PAGEREF _Toc197433936 \h </w:instrText>
        </w:r>
        <w:r w:rsidRPr="00662906">
          <w:rPr>
            <w:noProof/>
            <w:webHidden/>
          </w:rPr>
        </w:r>
        <w:r w:rsidRPr="00662906">
          <w:rPr>
            <w:noProof/>
            <w:webHidden/>
          </w:rPr>
          <w:fldChar w:fldCharType="separate"/>
        </w:r>
        <w:r w:rsidR="00610F61">
          <w:rPr>
            <w:noProof/>
            <w:webHidden/>
          </w:rPr>
          <w:t>129</w:t>
        </w:r>
        <w:r w:rsidRPr="00662906">
          <w:rPr>
            <w:noProof/>
            <w:webHidden/>
          </w:rPr>
          <w:fldChar w:fldCharType="end"/>
        </w:r>
      </w:hyperlink>
    </w:p>
    <w:p w14:paraId="566D6352" w14:textId="2EB3F0BD"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7" w:history="1">
        <w:r w:rsidRPr="00662906">
          <w:rPr>
            <w:rStyle w:val="Hyperlink"/>
            <w:noProof/>
          </w:rPr>
          <w:t xml:space="preserve">Table 49: </w:t>
        </w:r>
        <w:r w:rsidRPr="00662906">
          <w:rPr>
            <w:rStyle w:val="Hyperlink"/>
            <w:rFonts w:eastAsia="Arial" w:cs="Arial"/>
            <w:noProof/>
          </w:rPr>
          <w:t>M&amp;E Framework for the ETSAP</w:t>
        </w:r>
        <w:r w:rsidRPr="00662906">
          <w:rPr>
            <w:noProof/>
            <w:webHidden/>
          </w:rPr>
          <w:tab/>
        </w:r>
        <w:r w:rsidRPr="00662906">
          <w:rPr>
            <w:noProof/>
            <w:webHidden/>
          </w:rPr>
          <w:fldChar w:fldCharType="begin"/>
        </w:r>
        <w:r w:rsidRPr="00662906">
          <w:rPr>
            <w:noProof/>
            <w:webHidden/>
          </w:rPr>
          <w:instrText xml:space="preserve"> PAGEREF _Toc197433937 \h </w:instrText>
        </w:r>
        <w:r w:rsidRPr="00662906">
          <w:rPr>
            <w:noProof/>
            <w:webHidden/>
          </w:rPr>
        </w:r>
        <w:r w:rsidRPr="00662906">
          <w:rPr>
            <w:noProof/>
            <w:webHidden/>
          </w:rPr>
          <w:fldChar w:fldCharType="separate"/>
        </w:r>
        <w:r w:rsidR="00610F61">
          <w:rPr>
            <w:noProof/>
            <w:webHidden/>
          </w:rPr>
          <w:t>131</w:t>
        </w:r>
        <w:r w:rsidRPr="00662906">
          <w:rPr>
            <w:noProof/>
            <w:webHidden/>
          </w:rPr>
          <w:fldChar w:fldCharType="end"/>
        </w:r>
      </w:hyperlink>
    </w:p>
    <w:p w14:paraId="3D8820D9" w14:textId="2614EEB4"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8" w:history="1">
        <w:r w:rsidRPr="00662906">
          <w:rPr>
            <w:rStyle w:val="Hyperlink"/>
            <w:noProof/>
          </w:rPr>
          <w:t>Table 50: Key Communication Messages and Stakeholders</w:t>
        </w:r>
        <w:r w:rsidRPr="00662906">
          <w:rPr>
            <w:noProof/>
            <w:webHidden/>
          </w:rPr>
          <w:tab/>
        </w:r>
        <w:r w:rsidRPr="00662906">
          <w:rPr>
            <w:noProof/>
            <w:webHidden/>
          </w:rPr>
          <w:fldChar w:fldCharType="begin"/>
        </w:r>
        <w:r w:rsidRPr="00662906">
          <w:rPr>
            <w:noProof/>
            <w:webHidden/>
          </w:rPr>
          <w:instrText xml:space="preserve"> PAGEREF _Toc197433938 \h </w:instrText>
        </w:r>
        <w:r w:rsidRPr="00662906">
          <w:rPr>
            <w:noProof/>
            <w:webHidden/>
          </w:rPr>
        </w:r>
        <w:r w:rsidRPr="00662906">
          <w:rPr>
            <w:noProof/>
            <w:webHidden/>
          </w:rPr>
          <w:fldChar w:fldCharType="separate"/>
        </w:r>
        <w:r w:rsidR="00610F61">
          <w:rPr>
            <w:noProof/>
            <w:webHidden/>
          </w:rPr>
          <w:t>137</w:t>
        </w:r>
        <w:r w:rsidRPr="00662906">
          <w:rPr>
            <w:noProof/>
            <w:webHidden/>
          </w:rPr>
          <w:fldChar w:fldCharType="end"/>
        </w:r>
      </w:hyperlink>
    </w:p>
    <w:p w14:paraId="2A60F96D" w14:textId="4C1E63F6" w:rsidR="00F7188C" w:rsidRPr="00662906" w:rsidRDefault="00F7188C">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3939" w:history="1">
        <w:r w:rsidRPr="00662906">
          <w:rPr>
            <w:rStyle w:val="Hyperlink"/>
            <w:noProof/>
          </w:rPr>
          <w:t>Table 51: Overview of Nationally determined contributions of AU MS</w:t>
        </w:r>
        <w:r w:rsidRPr="00662906">
          <w:rPr>
            <w:noProof/>
            <w:webHidden/>
          </w:rPr>
          <w:tab/>
        </w:r>
        <w:r w:rsidRPr="00662906">
          <w:rPr>
            <w:noProof/>
            <w:webHidden/>
          </w:rPr>
          <w:fldChar w:fldCharType="begin"/>
        </w:r>
        <w:r w:rsidRPr="00662906">
          <w:rPr>
            <w:noProof/>
            <w:webHidden/>
          </w:rPr>
          <w:instrText xml:space="preserve"> PAGEREF _Toc197433939 \h </w:instrText>
        </w:r>
        <w:r w:rsidRPr="00662906">
          <w:rPr>
            <w:noProof/>
            <w:webHidden/>
          </w:rPr>
        </w:r>
        <w:r w:rsidRPr="00662906">
          <w:rPr>
            <w:noProof/>
            <w:webHidden/>
          </w:rPr>
          <w:fldChar w:fldCharType="separate"/>
        </w:r>
        <w:r w:rsidR="00610F61">
          <w:rPr>
            <w:noProof/>
            <w:webHidden/>
          </w:rPr>
          <w:t>140</w:t>
        </w:r>
        <w:r w:rsidRPr="00662906">
          <w:rPr>
            <w:noProof/>
            <w:webHidden/>
          </w:rPr>
          <w:fldChar w:fldCharType="end"/>
        </w:r>
      </w:hyperlink>
    </w:p>
    <w:p w14:paraId="51A895F4" w14:textId="654DA735" w:rsidR="00F712EC" w:rsidRPr="00662906" w:rsidRDefault="001246D0" w:rsidP="00B62378">
      <w:pPr>
        <w:pStyle w:val="TableofFigures"/>
        <w:tabs>
          <w:tab w:val="right" w:leader="dot" w:pos="9016"/>
        </w:tabs>
        <w:spacing w:before="0" w:after="0" w:line="240" w:lineRule="auto"/>
      </w:pPr>
      <w:r w:rsidRPr="00662906">
        <w:fldChar w:fldCharType="end"/>
      </w:r>
      <w:bookmarkStart w:id="11" w:name="_Toc176430208"/>
      <w:bookmarkStart w:id="12" w:name="_Toc176430265"/>
      <w:bookmarkStart w:id="13" w:name="_Toc176441398"/>
      <w:bookmarkStart w:id="14" w:name="_Toc176442053"/>
    </w:p>
    <w:p w14:paraId="20192935" w14:textId="5726778B" w:rsidR="00F712EC" w:rsidRPr="00662906" w:rsidRDefault="00674329" w:rsidP="00F712EC">
      <w:pPr>
        <w:pStyle w:val="TableofFigures"/>
        <w:tabs>
          <w:tab w:val="right" w:leader="dot" w:pos="9016"/>
        </w:tabs>
        <w:spacing w:before="80" w:after="80"/>
        <w:rPr>
          <w:rFonts w:cs="Arial"/>
          <w:b/>
          <w:bCs/>
          <w:color w:val="348F41" w:themeColor="text1"/>
          <w:sz w:val="26"/>
        </w:rPr>
      </w:pPr>
      <w:r w:rsidRPr="00662906">
        <w:rPr>
          <w:rFonts w:cs="Arial"/>
          <w:b/>
          <w:bCs/>
          <w:color w:val="348F41" w:themeColor="text1"/>
          <w:sz w:val="26"/>
        </w:rPr>
        <w:t xml:space="preserve">List </w:t>
      </w:r>
      <w:r w:rsidR="00E71237" w:rsidRPr="00662906">
        <w:rPr>
          <w:rFonts w:cs="Arial"/>
          <w:b/>
          <w:bCs/>
          <w:color w:val="348F41" w:themeColor="text1"/>
          <w:sz w:val="26"/>
        </w:rPr>
        <w:t>of Figures</w:t>
      </w:r>
      <w:bookmarkEnd w:id="11"/>
      <w:bookmarkEnd w:id="12"/>
      <w:bookmarkEnd w:id="13"/>
      <w:bookmarkEnd w:id="14"/>
    </w:p>
    <w:p w14:paraId="6930F5E8" w14:textId="666BD0E0" w:rsidR="000561DD" w:rsidRDefault="001246D0">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rsidRPr="00662906">
        <w:fldChar w:fldCharType="begin"/>
      </w:r>
      <w:r w:rsidRPr="00662906">
        <w:instrText xml:space="preserve"> TOC \h \z \c "Figure" </w:instrText>
      </w:r>
      <w:r w:rsidRPr="00662906">
        <w:fldChar w:fldCharType="separate"/>
      </w:r>
      <w:hyperlink w:anchor="_Toc197438653" w:history="1">
        <w:r w:rsidR="000561DD" w:rsidRPr="00AB0202">
          <w:rPr>
            <w:rStyle w:val="Hyperlink"/>
            <w:noProof/>
          </w:rPr>
          <w:t>Figure 1: Depicts the design Framework that was adopted in framing the ETSAP</w:t>
        </w:r>
        <w:r w:rsidR="000561DD">
          <w:rPr>
            <w:noProof/>
            <w:webHidden/>
          </w:rPr>
          <w:tab/>
        </w:r>
        <w:r w:rsidR="000561DD">
          <w:rPr>
            <w:noProof/>
            <w:webHidden/>
          </w:rPr>
          <w:fldChar w:fldCharType="begin"/>
        </w:r>
        <w:r w:rsidR="000561DD">
          <w:rPr>
            <w:noProof/>
            <w:webHidden/>
          </w:rPr>
          <w:instrText xml:space="preserve"> PAGEREF _Toc197438653 \h </w:instrText>
        </w:r>
        <w:r w:rsidR="000561DD">
          <w:rPr>
            <w:noProof/>
            <w:webHidden/>
          </w:rPr>
        </w:r>
        <w:r w:rsidR="000561DD">
          <w:rPr>
            <w:noProof/>
            <w:webHidden/>
          </w:rPr>
          <w:fldChar w:fldCharType="separate"/>
        </w:r>
        <w:r w:rsidR="00610F61">
          <w:rPr>
            <w:noProof/>
            <w:webHidden/>
          </w:rPr>
          <w:t>26</w:t>
        </w:r>
        <w:r w:rsidR="000561DD">
          <w:rPr>
            <w:noProof/>
            <w:webHidden/>
          </w:rPr>
          <w:fldChar w:fldCharType="end"/>
        </w:r>
      </w:hyperlink>
    </w:p>
    <w:p w14:paraId="1656C530" w14:textId="1679AB92"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4" w:history="1">
        <w:r w:rsidRPr="00AB0202">
          <w:rPr>
            <w:rStyle w:val="Hyperlink"/>
            <w:i/>
            <w:iCs/>
            <w:noProof/>
          </w:rPr>
          <w:t>Figure 2: Continental Total Installed Generation Capacity</w:t>
        </w:r>
        <w:r>
          <w:rPr>
            <w:noProof/>
            <w:webHidden/>
          </w:rPr>
          <w:tab/>
        </w:r>
        <w:r>
          <w:rPr>
            <w:noProof/>
            <w:webHidden/>
          </w:rPr>
          <w:fldChar w:fldCharType="begin"/>
        </w:r>
        <w:r>
          <w:rPr>
            <w:noProof/>
            <w:webHidden/>
          </w:rPr>
          <w:instrText xml:space="preserve"> PAGEREF _Toc197438654 \h </w:instrText>
        </w:r>
        <w:r>
          <w:rPr>
            <w:noProof/>
            <w:webHidden/>
          </w:rPr>
        </w:r>
        <w:r>
          <w:rPr>
            <w:noProof/>
            <w:webHidden/>
          </w:rPr>
          <w:fldChar w:fldCharType="separate"/>
        </w:r>
        <w:r w:rsidR="00610F61">
          <w:rPr>
            <w:noProof/>
            <w:webHidden/>
          </w:rPr>
          <w:t>39</w:t>
        </w:r>
        <w:r>
          <w:rPr>
            <w:noProof/>
            <w:webHidden/>
          </w:rPr>
          <w:fldChar w:fldCharType="end"/>
        </w:r>
      </w:hyperlink>
    </w:p>
    <w:p w14:paraId="19D7783D" w14:textId="29A1DBC5"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5" w:history="1">
        <w:r w:rsidRPr="00AB0202">
          <w:rPr>
            <w:rStyle w:val="Hyperlink"/>
            <w:i/>
            <w:iCs/>
            <w:noProof/>
          </w:rPr>
          <w:t>Figure 3: Continental evolution of technology shares in the Installed Capacity mix</w:t>
        </w:r>
        <w:r>
          <w:rPr>
            <w:noProof/>
            <w:webHidden/>
          </w:rPr>
          <w:tab/>
        </w:r>
        <w:r>
          <w:rPr>
            <w:noProof/>
            <w:webHidden/>
          </w:rPr>
          <w:fldChar w:fldCharType="begin"/>
        </w:r>
        <w:r>
          <w:rPr>
            <w:noProof/>
            <w:webHidden/>
          </w:rPr>
          <w:instrText xml:space="preserve"> PAGEREF _Toc197438655 \h </w:instrText>
        </w:r>
        <w:r>
          <w:rPr>
            <w:noProof/>
            <w:webHidden/>
          </w:rPr>
        </w:r>
        <w:r>
          <w:rPr>
            <w:noProof/>
            <w:webHidden/>
          </w:rPr>
          <w:fldChar w:fldCharType="separate"/>
        </w:r>
        <w:r w:rsidR="00610F61">
          <w:rPr>
            <w:noProof/>
            <w:webHidden/>
          </w:rPr>
          <w:t>40</w:t>
        </w:r>
        <w:r>
          <w:rPr>
            <w:noProof/>
            <w:webHidden/>
          </w:rPr>
          <w:fldChar w:fldCharType="end"/>
        </w:r>
      </w:hyperlink>
    </w:p>
    <w:p w14:paraId="7A2C7FAB" w14:textId="53C426F7"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6" w:history="1">
        <w:r w:rsidRPr="00AB0202">
          <w:rPr>
            <w:rStyle w:val="Hyperlink"/>
            <w:i/>
            <w:iCs/>
            <w:noProof/>
          </w:rPr>
          <w:t>Figure 4: Continental Electricity Production for Baseline, Regional and Continental CMP Scenarios</w:t>
        </w:r>
        <w:r>
          <w:rPr>
            <w:noProof/>
            <w:webHidden/>
          </w:rPr>
          <w:tab/>
        </w:r>
        <w:r>
          <w:rPr>
            <w:noProof/>
            <w:webHidden/>
          </w:rPr>
          <w:fldChar w:fldCharType="begin"/>
        </w:r>
        <w:r>
          <w:rPr>
            <w:noProof/>
            <w:webHidden/>
          </w:rPr>
          <w:instrText xml:space="preserve"> PAGEREF _Toc197438656 \h </w:instrText>
        </w:r>
        <w:r>
          <w:rPr>
            <w:noProof/>
            <w:webHidden/>
          </w:rPr>
        </w:r>
        <w:r>
          <w:rPr>
            <w:noProof/>
            <w:webHidden/>
          </w:rPr>
          <w:fldChar w:fldCharType="separate"/>
        </w:r>
        <w:r w:rsidR="00610F61">
          <w:rPr>
            <w:noProof/>
            <w:webHidden/>
          </w:rPr>
          <w:t>40</w:t>
        </w:r>
        <w:r>
          <w:rPr>
            <w:noProof/>
            <w:webHidden/>
          </w:rPr>
          <w:fldChar w:fldCharType="end"/>
        </w:r>
      </w:hyperlink>
    </w:p>
    <w:p w14:paraId="182AB637" w14:textId="54D2928B"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7" w:history="1">
        <w:r w:rsidRPr="00AB0202">
          <w:rPr>
            <w:rStyle w:val="Hyperlink"/>
            <w:i/>
            <w:iCs/>
            <w:noProof/>
          </w:rPr>
          <w:t>Figure 5: Continental Evolution of technology shares in electricity production mix</w:t>
        </w:r>
        <w:r>
          <w:rPr>
            <w:noProof/>
            <w:webHidden/>
          </w:rPr>
          <w:tab/>
        </w:r>
        <w:r>
          <w:rPr>
            <w:noProof/>
            <w:webHidden/>
          </w:rPr>
          <w:fldChar w:fldCharType="begin"/>
        </w:r>
        <w:r>
          <w:rPr>
            <w:noProof/>
            <w:webHidden/>
          </w:rPr>
          <w:instrText xml:space="preserve"> PAGEREF _Toc197438657 \h </w:instrText>
        </w:r>
        <w:r>
          <w:rPr>
            <w:noProof/>
            <w:webHidden/>
          </w:rPr>
        </w:r>
        <w:r>
          <w:rPr>
            <w:noProof/>
            <w:webHidden/>
          </w:rPr>
          <w:fldChar w:fldCharType="separate"/>
        </w:r>
        <w:r w:rsidR="00610F61">
          <w:rPr>
            <w:noProof/>
            <w:webHidden/>
          </w:rPr>
          <w:t>41</w:t>
        </w:r>
        <w:r>
          <w:rPr>
            <w:noProof/>
            <w:webHidden/>
          </w:rPr>
          <w:fldChar w:fldCharType="end"/>
        </w:r>
      </w:hyperlink>
    </w:p>
    <w:p w14:paraId="399D0F75" w14:textId="73DB2651"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8" w:history="1">
        <w:r w:rsidRPr="00AB0202">
          <w:rPr>
            <w:rStyle w:val="Hyperlink"/>
            <w:i/>
            <w:iCs/>
            <w:noProof/>
          </w:rPr>
          <w:t>Figure 6: Continental CO2 Emissions by CMP Scenarios- Baseline, Regional and Continental Scenarios Source: Continental Master Plan 2024</w:t>
        </w:r>
        <w:r>
          <w:rPr>
            <w:noProof/>
            <w:webHidden/>
          </w:rPr>
          <w:tab/>
        </w:r>
        <w:r>
          <w:rPr>
            <w:noProof/>
            <w:webHidden/>
          </w:rPr>
          <w:fldChar w:fldCharType="begin"/>
        </w:r>
        <w:r>
          <w:rPr>
            <w:noProof/>
            <w:webHidden/>
          </w:rPr>
          <w:instrText xml:space="preserve"> PAGEREF _Toc197438658 \h </w:instrText>
        </w:r>
        <w:r>
          <w:rPr>
            <w:noProof/>
            <w:webHidden/>
          </w:rPr>
        </w:r>
        <w:r>
          <w:rPr>
            <w:noProof/>
            <w:webHidden/>
          </w:rPr>
          <w:fldChar w:fldCharType="separate"/>
        </w:r>
        <w:r w:rsidR="00610F61">
          <w:rPr>
            <w:noProof/>
            <w:webHidden/>
          </w:rPr>
          <w:t>42</w:t>
        </w:r>
        <w:r>
          <w:rPr>
            <w:noProof/>
            <w:webHidden/>
          </w:rPr>
          <w:fldChar w:fldCharType="end"/>
        </w:r>
      </w:hyperlink>
    </w:p>
    <w:p w14:paraId="5966CD2D" w14:textId="47C5FF9F"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59" w:history="1">
        <w:r w:rsidRPr="00AB0202">
          <w:rPr>
            <w:rStyle w:val="Hyperlink"/>
            <w:i/>
            <w:iCs/>
            <w:noProof/>
          </w:rPr>
          <w:t>Figure 7: High Level Energy Productivity target over the horizon of Agenda 2063</w:t>
        </w:r>
        <w:r>
          <w:rPr>
            <w:noProof/>
            <w:webHidden/>
          </w:rPr>
          <w:tab/>
        </w:r>
        <w:r>
          <w:rPr>
            <w:noProof/>
            <w:webHidden/>
          </w:rPr>
          <w:fldChar w:fldCharType="begin"/>
        </w:r>
        <w:r>
          <w:rPr>
            <w:noProof/>
            <w:webHidden/>
          </w:rPr>
          <w:instrText xml:space="preserve"> PAGEREF _Toc197438659 \h </w:instrText>
        </w:r>
        <w:r>
          <w:rPr>
            <w:noProof/>
            <w:webHidden/>
          </w:rPr>
        </w:r>
        <w:r>
          <w:rPr>
            <w:noProof/>
            <w:webHidden/>
          </w:rPr>
          <w:fldChar w:fldCharType="separate"/>
        </w:r>
        <w:r w:rsidR="00610F61">
          <w:rPr>
            <w:noProof/>
            <w:webHidden/>
          </w:rPr>
          <w:t>42</w:t>
        </w:r>
        <w:r>
          <w:rPr>
            <w:noProof/>
            <w:webHidden/>
          </w:rPr>
          <w:fldChar w:fldCharType="end"/>
        </w:r>
      </w:hyperlink>
    </w:p>
    <w:p w14:paraId="57DA10BC" w14:textId="319518DA" w:rsidR="000561DD" w:rsidRDefault="000561DD">
      <w:pPr>
        <w:pStyle w:val="TableofFigures"/>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7438660" w:history="1">
        <w:r w:rsidRPr="00AB0202">
          <w:rPr>
            <w:rStyle w:val="Hyperlink"/>
            <w:noProof/>
          </w:rPr>
          <w:t>Figure 8: Comprehensive Institutional involvement in ETSAP Implementation</w:t>
        </w:r>
        <w:r>
          <w:rPr>
            <w:noProof/>
            <w:webHidden/>
          </w:rPr>
          <w:tab/>
        </w:r>
        <w:r>
          <w:rPr>
            <w:noProof/>
            <w:webHidden/>
          </w:rPr>
          <w:fldChar w:fldCharType="begin"/>
        </w:r>
        <w:r>
          <w:rPr>
            <w:noProof/>
            <w:webHidden/>
          </w:rPr>
          <w:instrText xml:space="preserve"> PAGEREF _Toc197438660 \h </w:instrText>
        </w:r>
        <w:r>
          <w:rPr>
            <w:noProof/>
            <w:webHidden/>
          </w:rPr>
        </w:r>
        <w:r>
          <w:rPr>
            <w:noProof/>
            <w:webHidden/>
          </w:rPr>
          <w:fldChar w:fldCharType="separate"/>
        </w:r>
        <w:r w:rsidR="00610F61">
          <w:rPr>
            <w:noProof/>
            <w:webHidden/>
          </w:rPr>
          <w:t>120</w:t>
        </w:r>
        <w:r>
          <w:rPr>
            <w:noProof/>
            <w:webHidden/>
          </w:rPr>
          <w:fldChar w:fldCharType="end"/>
        </w:r>
      </w:hyperlink>
    </w:p>
    <w:p w14:paraId="10A10F02" w14:textId="63C0F0E2" w:rsidR="001246D0" w:rsidRPr="00662906" w:rsidRDefault="001246D0" w:rsidP="00B62378">
      <w:pPr>
        <w:spacing w:line="240" w:lineRule="auto"/>
      </w:pPr>
      <w:r w:rsidRPr="00662906">
        <w:fldChar w:fldCharType="end"/>
      </w:r>
    </w:p>
    <w:p w14:paraId="21DCA46F" w14:textId="0C4E10A2" w:rsidR="00381F97" w:rsidRPr="00662906" w:rsidRDefault="00381F97" w:rsidP="001246D0">
      <w:pPr>
        <w:pStyle w:val="TableofFigures"/>
        <w:tabs>
          <w:tab w:val="right" w:leader="dot" w:pos="9016"/>
        </w:tabs>
        <w:spacing w:after="0"/>
        <w:rPr>
          <w:rFonts w:asciiTheme="minorHAnsi" w:eastAsiaTheme="minorEastAsia" w:hAnsiTheme="minorHAnsi" w:cstheme="minorBidi"/>
          <w:color w:val="auto"/>
          <w:kern w:val="2"/>
          <w:sz w:val="24"/>
          <w:szCs w:val="24"/>
          <w:lang w:eastAsia="en-GB"/>
          <w14:ligatures w14:val="standardContextual"/>
        </w:rPr>
      </w:pPr>
    </w:p>
    <w:p w14:paraId="6C8D9AFC" w14:textId="1BE5BB81" w:rsidR="005459C7" w:rsidRPr="00662906" w:rsidRDefault="005459C7" w:rsidP="00381F97">
      <w:pPr>
        <w:sectPr w:rsidR="005459C7" w:rsidRPr="00662906" w:rsidSect="00A37F01">
          <w:footerReference w:type="first" r:id="rId20"/>
          <w:pgSz w:w="11906" w:h="16838"/>
          <w:pgMar w:top="1440" w:right="1440" w:bottom="1440" w:left="1440" w:header="720" w:footer="720" w:gutter="0"/>
          <w:pgNumType w:fmt="lowerRoman" w:start="1"/>
          <w:cols w:space="720"/>
          <w:titlePg/>
          <w:docGrid w:linePitch="360"/>
        </w:sectPr>
      </w:pPr>
    </w:p>
    <w:p w14:paraId="01637CB4" w14:textId="4A09F0E3" w:rsidR="0081485A" w:rsidRPr="00662906" w:rsidRDefault="007269CA" w:rsidP="00297B79">
      <w:pPr>
        <w:pStyle w:val="Heading1"/>
        <w:numPr>
          <w:ilvl w:val="0"/>
          <w:numId w:val="0"/>
        </w:numPr>
        <w:ind w:left="284"/>
      </w:pPr>
      <w:bookmarkStart w:id="15" w:name="_Toc171955499"/>
      <w:bookmarkStart w:id="16" w:name="_Toc176190923"/>
      <w:bookmarkStart w:id="17" w:name="_Toc176191095"/>
      <w:bookmarkStart w:id="18" w:name="_Toc176341816"/>
      <w:bookmarkStart w:id="19" w:name="_Toc176430209"/>
      <w:bookmarkStart w:id="20" w:name="_Toc176430266"/>
      <w:bookmarkStart w:id="21" w:name="_Toc176441399"/>
      <w:bookmarkStart w:id="22" w:name="_Toc176442054"/>
      <w:bookmarkStart w:id="23" w:name="_Toc178937414"/>
      <w:bookmarkStart w:id="24" w:name="_Toc197433800"/>
      <w:r w:rsidRPr="00662906">
        <w:lastRenderedPageBreak/>
        <w:t>List of Acronyms</w:t>
      </w:r>
      <w:bookmarkEnd w:id="8"/>
      <w:bookmarkEnd w:id="15"/>
      <w:bookmarkEnd w:id="16"/>
      <w:bookmarkEnd w:id="17"/>
      <w:bookmarkEnd w:id="18"/>
      <w:bookmarkEnd w:id="19"/>
      <w:bookmarkEnd w:id="20"/>
      <w:bookmarkEnd w:id="21"/>
      <w:bookmarkEnd w:id="22"/>
      <w:bookmarkEnd w:id="23"/>
      <w:bookmarkEnd w:id="24"/>
    </w:p>
    <w:tbl>
      <w:tblPr>
        <w:tblW w:w="9035" w:type="dxa"/>
        <w:tblBorders>
          <w:top w:val="single" w:sz="4" w:space="0" w:color="871D37"/>
          <w:left w:val="single" w:sz="4" w:space="0" w:color="871D37"/>
          <w:bottom w:val="single" w:sz="4" w:space="0" w:color="871D37"/>
          <w:right w:val="single" w:sz="4" w:space="0" w:color="871D37"/>
          <w:insideH w:val="single" w:sz="4" w:space="0" w:color="871D37"/>
          <w:insideV w:val="single" w:sz="4" w:space="0" w:color="871D37"/>
        </w:tblBorders>
        <w:tblLayout w:type="fixed"/>
        <w:tblLook w:val="0400" w:firstRow="0" w:lastRow="0" w:firstColumn="0" w:lastColumn="0" w:noHBand="0" w:noVBand="1"/>
      </w:tblPr>
      <w:tblGrid>
        <w:gridCol w:w="1620"/>
        <w:gridCol w:w="7415"/>
      </w:tblGrid>
      <w:tr w:rsidR="000467F2" w:rsidRPr="00662906" w14:paraId="43B0E0D9" w14:textId="77777777" w:rsidTr="2D9E25B5">
        <w:trPr>
          <w:trHeight w:val="318"/>
        </w:trPr>
        <w:tc>
          <w:tcPr>
            <w:tcW w:w="1620" w:type="dxa"/>
            <w:vAlign w:val="center"/>
          </w:tcPr>
          <w:p w14:paraId="6373D849" w14:textId="64A68145" w:rsidR="000467F2" w:rsidRPr="00662906" w:rsidRDefault="000467F2" w:rsidP="00705585">
            <w:pPr>
              <w:spacing w:after="0"/>
              <w:jc w:val="left"/>
              <w:rPr>
                <w:rFonts w:cs="Arial"/>
              </w:rPr>
            </w:pPr>
            <w:r w:rsidRPr="00662906">
              <w:rPr>
                <w:rFonts w:cs="Arial"/>
              </w:rPr>
              <w:t>AFAP</w:t>
            </w:r>
          </w:p>
        </w:tc>
        <w:tc>
          <w:tcPr>
            <w:tcW w:w="7415" w:type="dxa"/>
            <w:vAlign w:val="center"/>
          </w:tcPr>
          <w:p w14:paraId="6E3D60A1" w14:textId="05BF77C5" w:rsidR="000467F2" w:rsidRPr="00662906" w:rsidRDefault="000467F2" w:rsidP="00674329">
            <w:pPr>
              <w:spacing w:after="0"/>
              <w:rPr>
                <w:rFonts w:cs="Arial"/>
              </w:rPr>
            </w:pPr>
            <w:r w:rsidRPr="00662906">
              <w:rPr>
                <w:rFonts w:cs="Arial"/>
              </w:rPr>
              <w:t>African Fertilizer and Agribusiness Partnership</w:t>
            </w:r>
          </w:p>
        </w:tc>
      </w:tr>
      <w:tr w:rsidR="0081485A" w:rsidRPr="00662906" w14:paraId="5758C5A2" w14:textId="77777777" w:rsidTr="2D9E25B5">
        <w:trPr>
          <w:trHeight w:val="318"/>
        </w:trPr>
        <w:tc>
          <w:tcPr>
            <w:tcW w:w="1620" w:type="dxa"/>
            <w:vAlign w:val="center"/>
          </w:tcPr>
          <w:p w14:paraId="486849A4" w14:textId="77777777" w:rsidR="0081485A" w:rsidRPr="00662906" w:rsidRDefault="0081485A" w:rsidP="00705585">
            <w:pPr>
              <w:spacing w:after="0"/>
              <w:jc w:val="left"/>
              <w:rPr>
                <w:rFonts w:cs="Arial"/>
              </w:rPr>
            </w:pPr>
            <w:r w:rsidRPr="00662906">
              <w:rPr>
                <w:rFonts w:cs="Arial"/>
              </w:rPr>
              <w:t>AFC</w:t>
            </w:r>
          </w:p>
        </w:tc>
        <w:tc>
          <w:tcPr>
            <w:tcW w:w="7415" w:type="dxa"/>
            <w:vAlign w:val="center"/>
          </w:tcPr>
          <w:p w14:paraId="63DE0453" w14:textId="1099E068" w:rsidR="0081485A" w:rsidRPr="00662906" w:rsidRDefault="00C06F68" w:rsidP="00674329">
            <w:pPr>
              <w:spacing w:after="0"/>
              <w:rPr>
                <w:rFonts w:cs="Arial"/>
              </w:rPr>
            </w:pPr>
            <w:r w:rsidRPr="00662906">
              <w:rPr>
                <w:rFonts w:cs="Arial"/>
              </w:rPr>
              <w:t>African Railway Confederation</w:t>
            </w:r>
          </w:p>
        </w:tc>
      </w:tr>
      <w:tr w:rsidR="00F504D0" w:rsidRPr="00662906" w14:paraId="231C965C" w14:textId="77777777" w:rsidTr="2D9E25B5">
        <w:trPr>
          <w:trHeight w:val="318"/>
        </w:trPr>
        <w:tc>
          <w:tcPr>
            <w:tcW w:w="1620" w:type="dxa"/>
            <w:vAlign w:val="center"/>
          </w:tcPr>
          <w:p w14:paraId="5B8DE17C" w14:textId="144C460C" w:rsidR="00F504D0" w:rsidRPr="00662906" w:rsidRDefault="00F504D0" w:rsidP="00705585">
            <w:pPr>
              <w:spacing w:after="0"/>
              <w:jc w:val="left"/>
              <w:rPr>
                <w:rFonts w:cs="Arial"/>
              </w:rPr>
            </w:pPr>
            <w:r w:rsidRPr="00662906">
              <w:rPr>
                <w:rFonts w:cs="Arial"/>
              </w:rPr>
              <w:t>AfCCF</w:t>
            </w:r>
          </w:p>
        </w:tc>
        <w:tc>
          <w:tcPr>
            <w:tcW w:w="7415" w:type="dxa"/>
            <w:vAlign w:val="center"/>
          </w:tcPr>
          <w:p w14:paraId="6D103DB7" w14:textId="2769A7B2" w:rsidR="00F504D0" w:rsidRPr="00662906" w:rsidRDefault="00F504D0" w:rsidP="00674329">
            <w:pPr>
              <w:spacing w:after="0"/>
              <w:rPr>
                <w:rFonts w:cs="Arial"/>
              </w:rPr>
            </w:pPr>
            <w:r w:rsidRPr="00662906">
              <w:rPr>
                <w:rFonts w:cs="Arial"/>
              </w:rPr>
              <w:t>Africa Clean Cooking Facility</w:t>
            </w:r>
          </w:p>
        </w:tc>
      </w:tr>
      <w:tr w:rsidR="0081485A" w:rsidRPr="00662906" w14:paraId="3019563F" w14:textId="77777777" w:rsidTr="2D9E25B5">
        <w:trPr>
          <w:trHeight w:val="318"/>
        </w:trPr>
        <w:tc>
          <w:tcPr>
            <w:tcW w:w="1620" w:type="dxa"/>
            <w:vAlign w:val="center"/>
          </w:tcPr>
          <w:p w14:paraId="03A2BDC2" w14:textId="77777777" w:rsidR="0081485A" w:rsidRPr="00662906" w:rsidRDefault="0081485A" w:rsidP="00705585">
            <w:pPr>
              <w:spacing w:after="0"/>
              <w:jc w:val="left"/>
              <w:rPr>
                <w:rFonts w:cs="Arial"/>
              </w:rPr>
            </w:pPr>
            <w:r w:rsidRPr="00662906">
              <w:rPr>
                <w:rFonts w:cs="Arial"/>
              </w:rPr>
              <w:t>AfCFTA</w:t>
            </w:r>
          </w:p>
        </w:tc>
        <w:tc>
          <w:tcPr>
            <w:tcW w:w="7415" w:type="dxa"/>
            <w:vAlign w:val="center"/>
          </w:tcPr>
          <w:p w14:paraId="15567027" w14:textId="77777777" w:rsidR="0081485A" w:rsidRPr="00662906" w:rsidRDefault="0081485A" w:rsidP="00674329">
            <w:pPr>
              <w:spacing w:after="0"/>
              <w:rPr>
                <w:rFonts w:cs="Arial"/>
              </w:rPr>
            </w:pPr>
            <w:r w:rsidRPr="00662906">
              <w:rPr>
                <w:rFonts w:cs="Arial"/>
              </w:rPr>
              <w:t xml:space="preserve">African Continental Free Trade Area </w:t>
            </w:r>
          </w:p>
        </w:tc>
      </w:tr>
      <w:tr w:rsidR="0081485A" w:rsidRPr="00662906" w14:paraId="053F6245" w14:textId="77777777" w:rsidTr="2D9E25B5">
        <w:trPr>
          <w:trHeight w:val="318"/>
        </w:trPr>
        <w:tc>
          <w:tcPr>
            <w:tcW w:w="1620" w:type="dxa"/>
            <w:vAlign w:val="center"/>
          </w:tcPr>
          <w:p w14:paraId="7C180B65" w14:textId="242116BE" w:rsidR="0081485A" w:rsidRPr="00662906" w:rsidRDefault="0081485A" w:rsidP="00705585">
            <w:pPr>
              <w:spacing w:after="0"/>
              <w:jc w:val="left"/>
              <w:rPr>
                <w:rFonts w:cs="Arial"/>
              </w:rPr>
            </w:pPr>
            <w:r w:rsidRPr="00662906">
              <w:rPr>
                <w:rFonts w:cs="Arial"/>
              </w:rPr>
              <w:t>AfDB</w:t>
            </w:r>
          </w:p>
        </w:tc>
        <w:tc>
          <w:tcPr>
            <w:tcW w:w="7415" w:type="dxa"/>
            <w:vAlign w:val="center"/>
          </w:tcPr>
          <w:p w14:paraId="417A208C" w14:textId="77777777" w:rsidR="0081485A" w:rsidRPr="00662906" w:rsidRDefault="0081485A" w:rsidP="00674329">
            <w:pPr>
              <w:spacing w:after="0"/>
              <w:rPr>
                <w:rFonts w:cs="Arial"/>
              </w:rPr>
            </w:pPr>
            <w:r w:rsidRPr="00662906">
              <w:rPr>
                <w:rFonts w:cs="Arial"/>
              </w:rPr>
              <w:t>African Development Bank</w:t>
            </w:r>
          </w:p>
        </w:tc>
      </w:tr>
      <w:tr w:rsidR="0081485A" w:rsidRPr="00662906" w14:paraId="6BCA494A" w14:textId="77777777" w:rsidTr="2D9E25B5">
        <w:trPr>
          <w:trHeight w:val="318"/>
        </w:trPr>
        <w:tc>
          <w:tcPr>
            <w:tcW w:w="1620" w:type="dxa"/>
            <w:vAlign w:val="center"/>
          </w:tcPr>
          <w:p w14:paraId="6BA9A883" w14:textId="54E29A31" w:rsidR="0081485A" w:rsidRPr="00662906" w:rsidRDefault="00FF5AEE" w:rsidP="00705585">
            <w:pPr>
              <w:spacing w:after="0"/>
              <w:jc w:val="left"/>
              <w:rPr>
                <w:rFonts w:cs="Arial"/>
              </w:rPr>
            </w:pPr>
            <w:r w:rsidRPr="00662906">
              <w:rPr>
                <w:rFonts w:cs="Arial"/>
              </w:rPr>
              <w:t>AfEES</w:t>
            </w:r>
          </w:p>
        </w:tc>
        <w:tc>
          <w:tcPr>
            <w:tcW w:w="7415" w:type="dxa"/>
            <w:vAlign w:val="center"/>
          </w:tcPr>
          <w:p w14:paraId="66B29350" w14:textId="77777777" w:rsidR="0081485A" w:rsidRPr="00662906" w:rsidRDefault="0081485A" w:rsidP="00674329">
            <w:pPr>
              <w:spacing w:after="0"/>
              <w:rPr>
                <w:rFonts w:cs="Arial"/>
              </w:rPr>
            </w:pPr>
            <w:r w:rsidRPr="00662906">
              <w:rPr>
                <w:rFonts w:cs="Arial"/>
              </w:rPr>
              <w:t>African Energy Efficiency Strategy</w:t>
            </w:r>
          </w:p>
        </w:tc>
      </w:tr>
      <w:tr w:rsidR="007505D7" w:rsidRPr="00662906" w14:paraId="474A0B24" w14:textId="77777777" w:rsidTr="2D9E25B5">
        <w:trPr>
          <w:trHeight w:val="318"/>
        </w:trPr>
        <w:tc>
          <w:tcPr>
            <w:tcW w:w="1620" w:type="dxa"/>
            <w:vAlign w:val="center"/>
          </w:tcPr>
          <w:p w14:paraId="0A72B144" w14:textId="6F53BA73" w:rsidR="007505D7" w:rsidRPr="00662906" w:rsidRDefault="007505D7" w:rsidP="00705585">
            <w:pPr>
              <w:spacing w:after="0"/>
              <w:jc w:val="left"/>
              <w:rPr>
                <w:rFonts w:cs="Arial"/>
              </w:rPr>
            </w:pPr>
            <w:r w:rsidRPr="00662906">
              <w:rPr>
                <w:rFonts w:cs="Arial"/>
              </w:rPr>
              <w:t>AfEMA</w:t>
            </w:r>
          </w:p>
        </w:tc>
        <w:tc>
          <w:tcPr>
            <w:tcW w:w="7415" w:type="dxa"/>
            <w:vAlign w:val="center"/>
          </w:tcPr>
          <w:p w14:paraId="6D072CAE" w14:textId="7D9FFA7E" w:rsidR="007505D7" w:rsidRPr="00662906" w:rsidRDefault="007505D7" w:rsidP="00674329">
            <w:pPr>
              <w:spacing w:after="0"/>
              <w:rPr>
                <w:rFonts w:cs="Arial"/>
              </w:rPr>
            </w:pPr>
            <w:r w:rsidRPr="00662906">
              <w:rPr>
                <w:rFonts w:cs="Arial"/>
              </w:rPr>
              <w:t>Africa E-Mobility Alliance</w:t>
            </w:r>
          </w:p>
        </w:tc>
      </w:tr>
      <w:tr w:rsidR="0081485A" w:rsidRPr="00662906" w14:paraId="403187EF" w14:textId="77777777" w:rsidTr="2D9E25B5">
        <w:trPr>
          <w:trHeight w:val="318"/>
        </w:trPr>
        <w:tc>
          <w:tcPr>
            <w:tcW w:w="1620" w:type="dxa"/>
            <w:vAlign w:val="center"/>
          </w:tcPr>
          <w:p w14:paraId="4A6A84EF" w14:textId="77777777" w:rsidR="0081485A" w:rsidRPr="00662906" w:rsidRDefault="0081485A" w:rsidP="00705585">
            <w:pPr>
              <w:spacing w:after="0"/>
              <w:jc w:val="left"/>
              <w:rPr>
                <w:rFonts w:cs="Arial"/>
              </w:rPr>
            </w:pPr>
            <w:r w:rsidRPr="00662906">
              <w:rPr>
                <w:rFonts w:cs="Arial"/>
              </w:rPr>
              <w:t>AFREC</w:t>
            </w:r>
          </w:p>
        </w:tc>
        <w:tc>
          <w:tcPr>
            <w:tcW w:w="7415" w:type="dxa"/>
            <w:vAlign w:val="center"/>
          </w:tcPr>
          <w:p w14:paraId="737A919F" w14:textId="77777777" w:rsidR="0081485A" w:rsidRPr="00662906" w:rsidRDefault="0081485A" w:rsidP="00674329">
            <w:pPr>
              <w:spacing w:after="0"/>
              <w:rPr>
                <w:rFonts w:cs="Arial"/>
              </w:rPr>
            </w:pPr>
            <w:r w:rsidRPr="00662906">
              <w:rPr>
                <w:rFonts w:cs="Arial"/>
              </w:rPr>
              <w:t>African Energy Commission</w:t>
            </w:r>
          </w:p>
        </w:tc>
      </w:tr>
      <w:tr w:rsidR="00FF1DA7" w:rsidRPr="00662906" w14:paraId="78088621" w14:textId="77777777" w:rsidTr="2D9E25B5">
        <w:trPr>
          <w:trHeight w:val="318"/>
        </w:trPr>
        <w:tc>
          <w:tcPr>
            <w:tcW w:w="1620" w:type="dxa"/>
            <w:tcBorders>
              <w:top w:val="single" w:sz="4" w:space="0" w:color="871D37"/>
              <w:left w:val="single" w:sz="4" w:space="0" w:color="871D37"/>
              <w:bottom w:val="single" w:sz="4" w:space="0" w:color="871D37"/>
              <w:right w:val="single" w:sz="4" w:space="0" w:color="871D37"/>
            </w:tcBorders>
            <w:vAlign w:val="center"/>
          </w:tcPr>
          <w:p w14:paraId="2ED41132" w14:textId="77777777" w:rsidR="00FF1DA7" w:rsidRPr="00662906" w:rsidRDefault="00FF1DA7" w:rsidP="00705585">
            <w:pPr>
              <w:spacing w:after="0"/>
              <w:jc w:val="left"/>
              <w:rPr>
                <w:rFonts w:cs="Arial"/>
              </w:rPr>
            </w:pPr>
            <w:r w:rsidRPr="00662906">
              <w:rPr>
                <w:rFonts w:cs="Arial"/>
              </w:rPr>
              <w:t>AFRETRAP</w:t>
            </w:r>
          </w:p>
        </w:tc>
        <w:tc>
          <w:tcPr>
            <w:tcW w:w="7415" w:type="dxa"/>
            <w:tcBorders>
              <w:top w:val="single" w:sz="4" w:space="0" w:color="871D37"/>
              <w:left w:val="single" w:sz="4" w:space="0" w:color="871D37"/>
              <w:bottom w:val="single" w:sz="4" w:space="0" w:color="871D37"/>
              <w:right w:val="single" w:sz="4" w:space="0" w:color="871D37"/>
            </w:tcBorders>
            <w:vAlign w:val="center"/>
          </w:tcPr>
          <w:p w14:paraId="18A47426" w14:textId="77777777" w:rsidR="00FF1DA7" w:rsidRPr="00662906" w:rsidRDefault="00FF1DA7" w:rsidP="00674329">
            <w:pPr>
              <w:spacing w:after="0"/>
              <w:rPr>
                <w:rFonts w:cs="Arial"/>
              </w:rPr>
            </w:pPr>
            <w:r w:rsidRPr="00662906">
              <w:rPr>
                <w:rFonts w:cs="Arial"/>
              </w:rPr>
              <w:t>Africa Energy Transition Program</w:t>
            </w:r>
          </w:p>
        </w:tc>
      </w:tr>
      <w:tr w:rsidR="0003764E" w:rsidRPr="00662906" w14:paraId="1194299A" w14:textId="77777777" w:rsidTr="2D9E25B5">
        <w:trPr>
          <w:trHeight w:val="318"/>
        </w:trPr>
        <w:tc>
          <w:tcPr>
            <w:tcW w:w="1620" w:type="dxa"/>
            <w:vAlign w:val="center"/>
          </w:tcPr>
          <w:p w14:paraId="43FEF1AA" w14:textId="7F6B4CD1" w:rsidR="0003764E" w:rsidRPr="00662906" w:rsidRDefault="0003764E" w:rsidP="00705585">
            <w:pPr>
              <w:spacing w:after="0"/>
              <w:jc w:val="left"/>
              <w:rPr>
                <w:rFonts w:cs="Arial"/>
              </w:rPr>
            </w:pPr>
            <w:r w:rsidRPr="00662906">
              <w:rPr>
                <w:rFonts w:eastAsia="Arial" w:cs="Arial"/>
              </w:rPr>
              <w:t>AFSEA</w:t>
            </w:r>
          </w:p>
        </w:tc>
        <w:tc>
          <w:tcPr>
            <w:tcW w:w="7415" w:type="dxa"/>
            <w:vAlign w:val="center"/>
          </w:tcPr>
          <w:p w14:paraId="2689DA9B" w14:textId="2CFA5623" w:rsidR="0003764E" w:rsidRPr="00662906" w:rsidRDefault="0003764E" w:rsidP="00674329">
            <w:pPr>
              <w:spacing w:after="0"/>
              <w:rPr>
                <w:rFonts w:cs="Arial"/>
              </w:rPr>
            </w:pPr>
            <w:r w:rsidRPr="00662906">
              <w:rPr>
                <w:rFonts w:eastAsia="Arial" w:cs="Arial"/>
              </w:rPr>
              <w:t xml:space="preserve">African Sustainable Energy Association </w:t>
            </w:r>
          </w:p>
        </w:tc>
      </w:tr>
      <w:tr w:rsidR="00D34977" w:rsidRPr="00662906" w14:paraId="725583FF" w14:textId="77777777" w:rsidTr="2D9E25B5">
        <w:trPr>
          <w:trHeight w:val="318"/>
        </w:trPr>
        <w:tc>
          <w:tcPr>
            <w:tcW w:w="1620" w:type="dxa"/>
            <w:vAlign w:val="center"/>
          </w:tcPr>
          <w:p w14:paraId="19A289EB" w14:textId="64788181" w:rsidR="00D34977" w:rsidRPr="00662906" w:rsidRDefault="00D34977" w:rsidP="00705585">
            <w:pPr>
              <w:spacing w:after="0"/>
              <w:jc w:val="left"/>
              <w:rPr>
                <w:rFonts w:cs="Arial"/>
              </w:rPr>
            </w:pPr>
            <w:r w:rsidRPr="00662906">
              <w:rPr>
                <w:rFonts w:cs="Arial"/>
              </w:rPr>
              <w:t>AFSEC</w:t>
            </w:r>
          </w:p>
        </w:tc>
        <w:tc>
          <w:tcPr>
            <w:tcW w:w="7415" w:type="dxa"/>
            <w:vAlign w:val="center"/>
          </w:tcPr>
          <w:p w14:paraId="0B91C594" w14:textId="1E644311" w:rsidR="00D34977" w:rsidRPr="00662906" w:rsidRDefault="6636C19B" w:rsidP="00674329">
            <w:pPr>
              <w:spacing w:after="0"/>
              <w:rPr>
                <w:rFonts w:cs="Arial"/>
              </w:rPr>
            </w:pPr>
            <w:r w:rsidRPr="00662906">
              <w:rPr>
                <w:rFonts w:eastAsia="Arial" w:cs="Arial"/>
              </w:rPr>
              <w:t>African</w:t>
            </w:r>
            <w:r w:rsidR="2781C336" w:rsidRPr="00662906">
              <w:rPr>
                <w:rFonts w:eastAsia="Arial" w:cs="Arial"/>
              </w:rPr>
              <w:t xml:space="preserve"> Electrotechnical Standardization Commission</w:t>
            </w:r>
          </w:p>
        </w:tc>
      </w:tr>
      <w:tr w:rsidR="0081485A" w:rsidRPr="00662906" w14:paraId="344E1EBB" w14:textId="77777777" w:rsidTr="2D9E25B5">
        <w:trPr>
          <w:trHeight w:val="318"/>
        </w:trPr>
        <w:tc>
          <w:tcPr>
            <w:tcW w:w="1620" w:type="dxa"/>
            <w:vAlign w:val="center"/>
          </w:tcPr>
          <w:p w14:paraId="1E7036AB" w14:textId="54E03F7F" w:rsidR="0081485A" w:rsidRPr="00662906" w:rsidRDefault="00FF5AEE" w:rsidP="00705585">
            <w:pPr>
              <w:spacing w:after="0"/>
              <w:jc w:val="left"/>
              <w:rPr>
                <w:rFonts w:cs="Arial"/>
              </w:rPr>
            </w:pPr>
            <w:r w:rsidRPr="00662906">
              <w:rPr>
                <w:rFonts w:cs="Arial"/>
              </w:rPr>
              <w:t>AfSEM</w:t>
            </w:r>
          </w:p>
        </w:tc>
        <w:tc>
          <w:tcPr>
            <w:tcW w:w="7415" w:type="dxa"/>
            <w:vAlign w:val="center"/>
          </w:tcPr>
          <w:p w14:paraId="51EE0BF9" w14:textId="77777777" w:rsidR="0081485A" w:rsidRPr="00662906" w:rsidRDefault="0081485A" w:rsidP="00674329">
            <w:pPr>
              <w:spacing w:after="0"/>
              <w:rPr>
                <w:rFonts w:cs="Arial"/>
              </w:rPr>
            </w:pPr>
            <w:r w:rsidRPr="00662906">
              <w:rPr>
                <w:rFonts w:cs="Arial"/>
              </w:rPr>
              <w:t>African Single Electricity Market</w:t>
            </w:r>
          </w:p>
        </w:tc>
      </w:tr>
      <w:tr w:rsidR="0081485A" w:rsidRPr="00662906" w14:paraId="34933D7F" w14:textId="77777777" w:rsidTr="2D9E25B5">
        <w:trPr>
          <w:trHeight w:val="318"/>
        </w:trPr>
        <w:tc>
          <w:tcPr>
            <w:tcW w:w="1620" w:type="dxa"/>
            <w:vAlign w:val="center"/>
          </w:tcPr>
          <w:p w14:paraId="33FDCC84" w14:textId="77777777" w:rsidR="0081485A" w:rsidRPr="00662906" w:rsidRDefault="0081485A" w:rsidP="00705585">
            <w:pPr>
              <w:spacing w:after="0"/>
              <w:jc w:val="left"/>
              <w:rPr>
                <w:rFonts w:cs="Arial"/>
              </w:rPr>
            </w:pPr>
            <w:r w:rsidRPr="00662906">
              <w:rPr>
                <w:rFonts w:cs="Arial"/>
              </w:rPr>
              <w:t>AFUR</w:t>
            </w:r>
          </w:p>
        </w:tc>
        <w:tc>
          <w:tcPr>
            <w:tcW w:w="7415" w:type="dxa"/>
            <w:vAlign w:val="center"/>
          </w:tcPr>
          <w:p w14:paraId="2A9BC2F7" w14:textId="77777777" w:rsidR="0081485A" w:rsidRPr="00662906" w:rsidRDefault="0081485A" w:rsidP="00674329">
            <w:pPr>
              <w:spacing w:after="0"/>
              <w:rPr>
                <w:rFonts w:cs="Arial"/>
              </w:rPr>
            </w:pPr>
            <w:r w:rsidRPr="00662906">
              <w:rPr>
                <w:rFonts w:cs="Arial"/>
              </w:rPr>
              <w:t xml:space="preserve">African Forum for Utility Regulators </w:t>
            </w:r>
          </w:p>
        </w:tc>
      </w:tr>
      <w:tr w:rsidR="0081485A" w:rsidRPr="00662906" w14:paraId="0310FAE5" w14:textId="77777777" w:rsidTr="2D9E25B5">
        <w:trPr>
          <w:trHeight w:val="318"/>
        </w:trPr>
        <w:tc>
          <w:tcPr>
            <w:tcW w:w="1620" w:type="dxa"/>
            <w:vAlign w:val="center"/>
          </w:tcPr>
          <w:p w14:paraId="0FAAFAB8" w14:textId="77777777" w:rsidR="0081485A" w:rsidRPr="00662906" w:rsidRDefault="0081485A" w:rsidP="00705585">
            <w:pPr>
              <w:spacing w:after="0"/>
              <w:jc w:val="left"/>
              <w:rPr>
                <w:rFonts w:cs="Arial"/>
              </w:rPr>
            </w:pPr>
            <w:r w:rsidRPr="00662906">
              <w:rPr>
                <w:rFonts w:cs="Arial"/>
              </w:rPr>
              <w:t>AGHA</w:t>
            </w:r>
          </w:p>
        </w:tc>
        <w:tc>
          <w:tcPr>
            <w:tcW w:w="7415" w:type="dxa"/>
            <w:vAlign w:val="center"/>
          </w:tcPr>
          <w:p w14:paraId="2D61268F" w14:textId="77777777" w:rsidR="0081485A" w:rsidRPr="00662906" w:rsidRDefault="0081485A" w:rsidP="00674329">
            <w:pPr>
              <w:spacing w:after="0"/>
              <w:rPr>
                <w:rFonts w:cs="Arial"/>
              </w:rPr>
            </w:pPr>
            <w:r w:rsidRPr="00662906">
              <w:rPr>
                <w:rFonts w:cs="Arial"/>
              </w:rPr>
              <w:t>Africa Green Hydrogen Alliance</w:t>
            </w:r>
          </w:p>
        </w:tc>
      </w:tr>
      <w:tr w:rsidR="00E107A2" w:rsidRPr="00662906" w14:paraId="3EAFB590" w14:textId="77777777" w:rsidTr="2D9E25B5">
        <w:trPr>
          <w:trHeight w:val="318"/>
        </w:trPr>
        <w:tc>
          <w:tcPr>
            <w:tcW w:w="1620" w:type="dxa"/>
            <w:vAlign w:val="center"/>
          </w:tcPr>
          <w:p w14:paraId="314D27B9" w14:textId="3A46DDC9" w:rsidR="00E107A2" w:rsidRPr="00662906" w:rsidRDefault="00E107A2" w:rsidP="00705585">
            <w:pPr>
              <w:spacing w:after="0"/>
              <w:jc w:val="left"/>
              <w:rPr>
                <w:rFonts w:cs="Arial"/>
              </w:rPr>
            </w:pPr>
            <w:r w:rsidRPr="00662906">
              <w:rPr>
                <w:rFonts w:cs="Arial"/>
              </w:rPr>
              <w:t>AGMS</w:t>
            </w:r>
          </w:p>
        </w:tc>
        <w:tc>
          <w:tcPr>
            <w:tcW w:w="7415" w:type="dxa"/>
            <w:vAlign w:val="center"/>
          </w:tcPr>
          <w:p w14:paraId="77F9A158" w14:textId="0ABE79BF" w:rsidR="00E107A2" w:rsidRPr="00662906" w:rsidRDefault="00E107A2" w:rsidP="00674329">
            <w:pPr>
              <w:spacing w:after="0"/>
              <w:rPr>
                <w:rFonts w:cs="Arial"/>
              </w:rPr>
            </w:pPr>
            <w:r w:rsidRPr="00662906">
              <w:rPr>
                <w:lang w:eastAsia="fr-FR"/>
              </w:rPr>
              <w:t>African Green Minerals Strategy</w:t>
            </w:r>
          </w:p>
        </w:tc>
      </w:tr>
      <w:tr w:rsidR="00CB496B" w:rsidRPr="00662906" w14:paraId="40DB4826" w14:textId="77777777" w:rsidTr="2D9E25B5">
        <w:trPr>
          <w:trHeight w:val="318"/>
        </w:trPr>
        <w:tc>
          <w:tcPr>
            <w:tcW w:w="1620" w:type="dxa"/>
            <w:vAlign w:val="center"/>
          </w:tcPr>
          <w:p w14:paraId="7A529162" w14:textId="3AF9E58D" w:rsidR="00CB496B" w:rsidRPr="00662906" w:rsidRDefault="00CB496B" w:rsidP="00705585">
            <w:pPr>
              <w:spacing w:after="0"/>
              <w:jc w:val="left"/>
              <w:rPr>
                <w:rFonts w:cs="Arial"/>
              </w:rPr>
            </w:pPr>
            <w:r w:rsidRPr="00662906">
              <w:rPr>
                <w:rFonts w:cs="Arial"/>
              </w:rPr>
              <w:t>AI</w:t>
            </w:r>
          </w:p>
        </w:tc>
        <w:tc>
          <w:tcPr>
            <w:tcW w:w="7415" w:type="dxa"/>
            <w:vAlign w:val="center"/>
          </w:tcPr>
          <w:p w14:paraId="4CA068A4" w14:textId="25491813" w:rsidR="00CB496B" w:rsidRPr="00662906" w:rsidRDefault="00CB496B" w:rsidP="00674329">
            <w:pPr>
              <w:spacing w:after="0"/>
              <w:rPr>
                <w:rFonts w:cs="Arial"/>
              </w:rPr>
            </w:pPr>
            <w:r w:rsidRPr="00662906">
              <w:rPr>
                <w:rFonts w:cs="Arial"/>
              </w:rPr>
              <w:t>Artificial Intelligence</w:t>
            </w:r>
          </w:p>
        </w:tc>
      </w:tr>
      <w:tr w:rsidR="004C0FA4" w:rsidRPr="00662906" w14:paraId="189DA800" w14:textId="77777777" w:rsidTr="2D9E25B5">
        <w:trPr>
          <w:trHeight w:val="318"/>
        </w:trPr>
        <w:tc>
          <w:tcPr>
            <w:tcW w:w="1620" w:type="dxa"/>
            <w:vAlign w:val="center"/>
          </w:tcPr>
          <w:p w14:paraId="7ADF48FE" w14:textId="6CE5F36B" w:rsidR="004C0FA4" w:rsidRPr="00662906" w:rsidRDefault="004C0FA4" w:rsidP="00705585">
            <w:pPr>
              <w:spacing w:after="0"/>
              <w:jc w:val="left"/>
              <w:rPr>
                <w:rFonts w:cs="Arial"/>
              </w:rPr>
            </w:pPr>
            <w:r w:rsidRPr="00662906">
              <w:rPr>
                <w:rFonts w:cs="Arial"/>
              </w:rPr>
              <w:t>APS</w:t>
            </w:r>
          </w:p>
        </w:tc>
        <w:tc>
          <w:tcPr>
            <w:tcW w:w="7415" w:type="dxa"/>
            <w:vAlign w:val="center"/>
          </w:tcPr>
          <w:p w14:paraId="63002BD0" w14:textId="67439C7D" w:rsidR="004C0FA4" w:rsidRPr="00662906" w:rsidRDefault="004C0FA4" w:rsidP="00674329">
            <w:pPr>
              <w:spacing w:after="0"/>
              <w:rPr>
                <w:rFonts w:cs="Arial"/>
              </w:rPr>
            </w:pPr>
            <w:r w:rsidRPr="00662906">
              <w:rPr>
                <w:rFonts w:cs="Arial"/>
              </w:rPr>
              <w:t>Announced Pledges Scenario</w:t>
            </w:r>
          </w:p>
        </w:tc>
      </w:tr>
      <w:tr w:rsidR="0081485A" w:rsidRPr="00662906" w14:paraId="4D90747C" w14:textId="77777777" w:rsidTr="2D9E25B5">
        <w:trPr>
          <w:trHeight w:val="318"/>
        </w:trPr>
        <w:tc>
          <w:tcPr>
            <w:tcW w:w="1620" w:type="dxa"/>
            <w:vAlign w:val="center"/>
          </w:tcPr>
          <w:p w14:paraId="370E86E0" w14:textId="77777777" w:rsidR="0081485A" w:rsidRPr="00662906" w:rsidRDefault="0081485A" w:rsidP="00705585">
            <w:pPr>
              <w:spacing w:after="0"/>
              <w:jc w:val="left"/>
              <w:rPr>
                <w:rFonts w:cs="Arial"/>
              </w:rPr>
            </w:pPr>
            <w:r w:rsidRPr="00662906">
              <w:rPr>
                <w:rFonts w:cs="Arial"/>
              </w:rPr>
              <w:t>APUA</w:t>
            </w:r>
          </w:p>
        </w:tc>
        <w:tc>
          <w:tcPr>
            <w:tcW w:w="7415" w:type="dxa"/>
            <w:vAlign w:val="center"/>
          </w:tcPr>
          <w:p w14:paraId="43592295" w14:textId="77777777" w:rsidR="0081485A" w:rsidRPr="00662906" w:rsidRDefault="0081485A" w:rsidP="00674329">
            <w:pPr>
              <w:spacing w:after="0"/>
              <w:rPr>
                <w:rFonts w:cs="Arial"/>
              </w:rPr>
            </w:pPr>
            <w:r w:rsidRPr="00662906">
              <w:rPr>
                <w:rFonts w:cs="Arial"/>
              </w:rPr>
              <w:t xml:space="preserve">Association of Power Utilities in Africa </w:t>
            </w:r>
          </w:p>
        </w:tc>
      </w:tr>
      <w:tr w:rsidR="00FA7109" w:rsidRPr="00662906" w14:paraId="08E28C08" w14:textId="77777777" w:rsidTr="2D9E25B5">
        <w:trPr>
          <w:trHeight w:val="318"/>
        </w:trPr>
        <w:tc>
          <w:tcPr>
            <w:tcW w:w="1620" w:type="dxa"/>
            <w:vAlign w:val="center"/>
          </w:tcPr>
          <w:p w14:paraId="6A4AD4AA" w14:textId="2CA581E8" w:rsidR="00FA7109" w:rsidRPr="00662906" w:rsidRDefault="00FA7109" w:rsidP="00705585">
            <w:pPr>
              <w:spacing w:after="0"/>
              <w:jc w:val="left"/>
              <w:rPr>
                <w:rFonts w:cs="Arial"/>
                <w:highlight w:val="yellow"/>
              </w:rPr>
            </w:pPr>
            <w:r w:rsidRPr="00662906">
              <w:rPr>
                <w:rFonts w:cs="Arial"/>
              </w:rPr>
              <w:t>ARDA</w:t>
            </w:r>
          </w:p>
        </w:tc>
        <w:tc>
          <w:tcPr>
            <w:tcW w:w="7415" w:type="dxa"/>
            <w:vAlign w:val="center"/>
          </w:tcPr>
          <w:p w14:paraId="53CD5FD7" w14:textId="59DF1EBD" w:rsidR="00FA7109" w:rsidRPr="00662906" w:rsidRDefault="00AB79DA" w:rsidP="00674329">
            <w:pPr>
              <w:spacing w:after="0"/>
              <w:rPr>
                <w:rFonts w:cs="Arial"/>
                <w:highlight w:val="yellow"/>
              </w:rPr>
            </w:pPr>
            <w:r w:rsidRPr="00662906">
              <w:rPr>
                <w:rFonts w:cs="Arial"/>
              </w:rPr>
              <w:t>African Refiners &amp; Distributors Association</w:t>
            </w:r>
          </w:p>
        </w:tc>
      </w:tr>
      <w:tr w:rsidR="00A33F41" w:rsidRPr="00662906" w14:paraId="2991A587" w14:textId="77777777" w:rsidTr="2D9E25B5">
        <w:trPr>
          <w:trHeight w:val="318"/>
        </w:trPr>
        <w:tc>
          <w:tcPr>
            <w:tcW w:w="1620" w:type="dxa"/>
            <w:vAlign w:val="center"/>
          </w:tcPr>
          <w:p w14:paraId="58AC9FFA" w14:textId="06202696" w:rsidR="00A33F41" w:rsidRPr="00662906" w:rsidRDefault="00A33F41" w:rsidP="00705585">
            <w:pPr>
              <w:spacing w:after="0"/>
              <w:jc w:val="left"/>
              <w:rPr>
                <w:rFonts w:cs="Arial"/>
              </w:rPr>
            </w:pPr>
            <w:r w:rsidRPr="00662906">
              <w:rPr>
                <w:rFonts w:cs="Arial"/>
              </w:rPr>
              <w:t>AREA</w:t>
            </w:r>
          </w:p>
        </w:tc>
        <w:tc>
          <w:tcPr>
            <w:tcW w:w="7415" w:type="dxa"/>
            <w:vAlign w:val="center"/>
          </w:tcPr>
          <w:p w14:paraId="718229FC" w14:textId="6726F26B" w:rsidR="00A33F41" w:rsidRPr="00662906" w:rsidRDefault="00A33F41" w:rsidP="00674329">
            <w:pPr>
              <w:spacing w:after="0"/>
              <w:rPr>
                <w:rFonts w:cs="Arial"/>
              </w:rPr>
            </w:pPr>
            <w:r w:rsidRPr="00662906">
              <w:rPr>
                <w:rFonts w:cs="Arial"/>
              </w:rPr>
              <w:t>African Renewable Energy Alliance</w:t>
            </w:r>
          </w:p>
        </w:tc>
      </w:tr>
      <w:tr w:rsidR="00287479" w:rsidRPr="00662906" w14:paraId="2DC71A5A" w14:textId="77777777" w:rsidTr="2D9E25B5">
        <w:trPr>
          <w:trHeight w:val="318"/>
        </w:trPr>
        <w:tc>
          <w:tcPr>
            <w:tcW w:w="1620" w:type="dxa"/>
            <w:vAlign w:val="center"/>
          </w:tcPr>
          <w:p w14:paraId="03A087EB" w14:textId="3315B5B4" w:rsidR="00287479" w:rsidRPr="00662906" w:rsidRDefault="00287479" w:rsidP="00705585">
            <w:pPr>
              <w:spacing w:after="0"/>
              <w:jc w:val="left"/>
              <w:rPr>
                <w:rFonts w:cs="Arial"/>
              </w:rPr>
            </w:pPr>
            <w:r w:rsidRPr="00662906">
              <w:rPr>
                <w:rFonts w:cs="Arial"/>
              </w:rPr>
              <w:t>ARSCP</w:t>
            </w:r>
          </w:p>
        </w:tc>
        <w:tc>
          <w:tcPr>
            <w:tcW w:w="7415" w:type="dxa"/>
            <w:vAlign w:val="center"/>
          </w:tcPr>
          <w:p w14:paraId="408AF433" w14:textId="18207160" w:rsidR="00287479" w:rsidRPr="00662906" w:rsidRDefault="00287479" w:rsidP="00674329">
            <w:pPr>
              <w:spacing w:after="0"/>
              <w:rPr>
                <w:rFonts w:cs="Arial"/>
              </w:rPr>
            </w:pPr>
            <w:r w:rsidRPr="00662906">
              <w:rPr>
                <w:rFonts w:cs="Arial"/>
              </w:rPr>
              <w:t>African Roundtable on Sustainable Consumption and Production</w:t>
            </w:r>
          </w:p>
        </w:tc>
      </w:tr>
      <w:tr w:rsidR="00780B75" w:rsidRPr="00662906" w14:paraId="1BB9EB08" w14:textId="77777777" w:rsidTr="2D9E25B5">
        <w:trPr>
          <w:trHeight w:val="318"/>
        </w:trPr>
        <w:tc>
          <w:tcPr>
            <w:tcW w:w="1620" w:type="dxa"/>
            <w:vAlign w:val="center"/>
          </w:tcPr>
          <w:p w14:paraId="520E9B3F" w14:textId="3183971C" w:rsidR="00780B75" w:rsidRPr="00662906" w:rsidRDefault="00780B75" w:rsidP="00705585">
            <w:pPr>
              <w:spacing w:after="0"/>
              <w:jc w:val="left"/>
              <w:rPr>
                <w:rFonts w:cs="Arial"/>
              </w:rPr>
            </w:pPr>
            <w:r w:rsidRPr="00662906">
              <w:rPr>
                <w:rFonts w:cs="Arial"/>
              </w:rPr>
              <w:t>ARSO</w:t>
            </w:r>
          </w:p>
        </w:tc>
        <w:tc>
          <w:tcPr>
            <w:tcW w:w="7415" w:type="dxa"/>
            <w:vAlign w:val="center"/>
          </w:tcPr>
          <w:p w14:paraId="156696F5" w14:textId="2538A228" w:rsidR="00780B75" w:rsidRPr="00662906" w:rsidRDefault="74BEBFF3" w:rsidP="00674329">
            <w:pPr>
              <w:spacing w:after="0"/>
              <w:rPr>
                <w:rFonts w:cs="Arial"/>
              </w:rPr>
            </w:pPr>
            <w:r w:rsidRPr="00662906">
              <w:rPr>
                <w:rFonts w:cs="Arial"/>
              </w:rPr>
              <w:t xml:space="preserve">African </w:t>
            </w:r>
            <w:r w:rsidR="00D2445D" w:rsidRPr="00662906">
              <w:rPr>
                <w:rFonts w:cs="Arial"/>
              </w:rPr>
              <w:t>Organization</w:t>
            </w:r>
            <w:r w:rsidRPr="00662906">
              <w:rPr>
                <w:rFonts w:cs="Arial"/>
              </w:rPr>
              <w:t xml:space="preserve"> for Standardization</w:t>
            </w:r>
          </w:p>
        </w:tc>
      </w:tr>
      <w:tr w:rsidR="000467F2" w:rsidRPr="00662906" w14:paraId="72552EEA" w14:textId="77777777" w:rsidTr="2D9E25B5">
        <w:trPr>
          <w:trHeight w:val="318"/>
        </w:trPr>
        <w:tc>
          <w:tcPr>
            <w:tcW w:w="1620" w:type="dxa"/>
            <w:vAlign w:val="center"/>
          </w:tcPr>
          <w:p w14:paraId="1605C27E" w14:textId="5AC610FE" w:rsidR="000467F2" w:rsidRPr="00662906" w:rsidRDefault="000467F2" w:rsidP="00705585">
            <w:pPr>
              <w:spacing w:after="0"/>
              <w:jc w:val="left"/>
              <w:rPr>
                <w:rFonts w:cs="Arial"/>
              </w:rPr>
            </w:pPr>
            <w:r w:rsidRPr="00662906">
              <w:rPr>
                <w:rFonts w:cs="Arial"/>
              </w:rPr>
              <w:t>ASBN</w:t>
            </w:r>
          </w:p>
        </w:tc>
        <w:tc>
          <w:tcPr>
            <w:tcW w:w="7415" w:type="dxa"/>
            <w:vAlign w:val="center"/>
          </w:tcPr>
          <w:p w14:paraId="76032952" w14:textId="226C59DB" w:rsidR="000467F2" w:rsidRPr="00662906" w:rsidRDefault="000467F2" w:rsidP="00674329">
            <w:pPr>
              <w:spacing w:after="0"/>
              <w:rPr>
                <w:rFonts w:cs="Arial"/>
              </w:rPr>
            </w:pPr>
            <w:r w:rsidRPr="00662906">
              <w:rPr>
                <w:rFonts w:cs="Arial"/>
              </w:rPr>
              <w:t>African Sustainable Building Network</w:t>
            </w:r>
          </w:p>
        </w:tc>
      </w:tr>
      <w:tr w:rsidR="0081485A" w:rsidRPr="00662906" w14:paraId="7CD84D29" w14:textId="77777777" w:rsidTr="2D9E25B5">
        <w:trPr>
          <w:trHeight w:val="318"/>
        </w:trPr>
        <w:tc>
          <w:tcPr>
            <w:tcW w:w="1620" w:type="dxa"/>
            <w:vAlign w:val="center"/>
          </w:tcPr>
          <w:p w14:paraId="48D53CBE" w14:textId="77777777" w:rsidR="0081485A" w:rsidRPr="00662906" w:rsidRDefault="0081485A" w:rsidP="00705585">
            <w:pPr>
              <w:spacing w:after="0"/>
              <w:jc w:val="left"/>
              <w:rPr>
                <w:rFonts w:cs="Arial"/>
              </w:rPr>
            </w:pPr>
            <w:r w:rsidRPr="00662906">
              <w:rPr>
                <w:rFonts w:cs="Arial"/>
              </w:rPr>
              <w:t>AU</w:t>
            </w:r>
          </w:p>
        </w:tc>
        <w:tc>
          <w:tcPr>
            <w:tcW w:w="7415" w:type="dxa"/>
            <w:vAlign w:val="center"/>
          </w:tcPr>
          <w:p w14:paraId="378823F5" w14:textId="77777777" w:rsidR="0081485A" w:rsidRPr="00662906" w:rsidRDefault="0081485A" w:rsidP="00674329">
            <w:pPr>
              <w:spacing w:after="0"/>
              <w:rPr>
                <w:rFonts w:cs="Arial"/>
              </w:rPr>
            </w:pPr>
            <w:r w:rsidRPr="00662906">
              <w:rPr>
                <w:rFonts w:cs="Arial"/>
              </w:rPr>
              <w:t>African Union</w:t>
            </w:r>
          </w:p>
        </w:tc>
      </w:tr>
      <w:tr w:rsidR="0081485A" w:rsidRPr="00662906" w14:paraId="7FBC8115" w14:textId="77777777" w:rsidTr="2D9E25B5">
        <w:trPr>
          <w:trHeight w:val="318"/>
        </w:trPr>
        <w:tc>
          <w:tcPr>
            <w:tcW w:w="1620" w:type="dxa"/>
            <w:vAlign w:val="center"/>
          </w:tcPr>
          <w:p w14:paraId="111511F6" w14:textId="77777777" w:rsidR="0081485A" w:rsidRPr="00662906" w:rsidRDefault="0081485A" w:rsidP="00705585">
            <w:pPr>
              <w:spacing w:after="0"/>
              <w:jc w:val="left"/>
              <w:rPr>
                <w:rFonts w:cs="Arial"/>
              </w:rPr>
            </w:pPr>
            <w:r w:rsidRPr="00662906">
              <w:rPr>
                <w:rFonts w:cs="Arial"/>
              </w:rPr>
              <w:t>AUC</w:t>
            </w:r>
          </w:p>
        </w:tc>
        <w:tc>
          <w:tcPr>
            <w:tcW w:w="7415" w:type="dxa"/>
            <w:vAlign w:val="center"/>
          </w:tcPr>
          <w:p w14:paraId="705ECBC7" w14:textId="77777777" w:rsidR="0081485A" w:rsidRPr="00662906" w:rsidRDefault="0081485A" w:rsidP="00674329">
            <w:pPr>
              <w:spacing w:after="0"/>
              <w:rPr>
                <w:rFonts w:cs="Arial"/>
              </w:rPr>
            </w:pPr>
            <w:r w:rsidRPr="00662906">
              <w:rPr>
                <w:rFonts w:cs="Arial"/>
              </w:rPr>
              <w:t>African Union Commission</w:t>
            </w:r>
          </w:p>
        </w:tc>
      </w:tr>
      <w:tr w:rsidR="0081485A" w:rsidRPr="00662906" w14:paraId="33EE8E9F" w14:textId="77777777" w:rsidTr="2D9E25B5">
        <w:trPr>
          <w:trHeight w:val="318"/>
        </w:trPr>
        <w:tc>
          <w:tcPr>
            <w:tcW w:w="1620" w:type="dxa"/>
            <w:vAlign w:val="center"/>
          </w:tcPr>
          <w:p w14:paraId="7DB10321" w14:textId="77777777" w:rsidR="0081485A" w:rsidRPr="00662906" w:rsidRDefault="0081485A" w:rsidP="00705585">
            <w:pPr>
              <w:spacing w:after="0"/>
              <w:jc w:val="left"/>
              <w:rPr>
                <w:rFonts w:cs="Arial"/>
              </w:rPr>
            </w:pPr>
            <w:r w:rsidRPr="00662906">
              <w:rPr>
                <w:rFonts w:cs="Arial"/>
              </w:rPr>
              <w:t>AUC-DIE</w:t>
            </w:r>
          </w:p>
        </w:tc>
        <w:tc>
          <w:tcPr>
            <w:tcW w:w="7415" w:type="dxa"/>
            <w:vAlign w:val="center"/>
          </w:tcPr>
          <w:p w14:paraId="0AD1F69D" w14:textId="77777777" w:rsidR="0081485A" w:rsidRPr="00662906" w:rsidRDefault="0081485A" w:rsidP="00674329">
            <w:pPr>
              <w:spacing w:after="0"/>
              <w:rPr>
                <w:rFonts w:cs="Arial"/>
              </w:rPr>
            </w:pPr>
            <w:r w:rsidRPr="00662906">
              <w:rPr>
                <w:rFonts w:cs="Arial"/>
              </w:rPr>
              <w:t>African Union Commission's Department of Infrastructure and Energy</w:t>
            </w:r>
          </w:p>
        </w:tc>
      </w:tr>
      <w:tr w:rsidR="0081485A" w:rsidRPr="00662906" w14:paraId="659C3364" w14:textId="77777777" w:rsidTr="2D9E25B5">
        <w:trPr>
          <w:trHeight w:val="318"/>
        </w:trPr>
        <w:tc>
          <w:tcPr>
            <w:tcW w:w="1620" w:type="dxa"/>
            <w:vAlign w:val="center"/>
          </w:tcPr>
          <w:p w14:paraId="61E23C55" w14:textId="77777777" w:rsidR="0081485A" w:rsidRPr="00662906" w:rsidRDefault="0081485A" w:rsidP="00705585">
            <w:pPr>
              <w:spacing w:after="0"/>
              <w:jc w:val="left"/>
              <w:rPr>
                <w:rFonts w:cs="Arial"/>
              </w:rPr>
            </w:pPr>
            <w:r w:rsidRPr="00662906">
              <w:rPr>
                <w:rFonts w:cs="Arial"/>
              </w:rPr>
              <w:t>AUDA-NEPAD</w:t>
            </w:r>
          </w:p>
        </w:tc>
        <w:tc>
          <w:tcPr>
            <w:tcW w:w="7415" w:type="dxa"/>
            <w:vAlign w:val="center"/>
          </w:tcPr>
          <w:p w14:paraId="3F31692A" w14:textId="77777777" w:rsidR="0081485A" w:rsidRPr="00662906" w:rsidRDefault="0081485A" w:rsidP="00674329">
            <w:pPr>
              <w:spacing w:after="0"/>
              <w:rPr>
                <w:rFonts w:cs="Arial"/>
              </w:rPr>
            </w:pPr>
            <w:r w:rsidRPr="00662906">
              <w:rPr>
                <w:rFonts w:cs="Arial"/>
              </w:rPr>
              <w:t xml:space="preserve">Africa Union Development Agency- </w:t>
            </w:r>
            <w:bookmarkStart w:id="25" w:name="_Hlk171442547"/>
            <w:r w:rsidRPr="00662906">
              <w:rPr>
                <w:rFonts w:cs="Arial"/>
              </w:rPr>
              <w:t>New Partnership for Africa’s Development</w:t>
            </w:r>
            <w:bookmarkEnd w:id="25"/>
          </w:p>
        </w:tc>
      </w:tr>
      <w:tr w:rsidR="001F5D44" w:rsidRPr="00662906" w14:paraId="5B05F244" w14:textId="77777777" w:rsidTr="2D9E25B5">
        <w:trPr>
          <w:trHeight w:val="318"/>
        </w:trPr>
        <w:tc>
          <w:tcPr>
            <w:tcW w:w="1620" w:type="dxa"/>
            <w:vAlign w:val="center"/>
          </w:tcPr>
          <w:p w14:paraId="139505F1" w14:textId="6B311A62" w:rsidR="001F5D44" w:rsidRPr="00662906" w:rsidRDefault="001F5D44" w:rsidP="00705585">
            <w:pPr>
              <w:spacing w:after="0"/>
              <w:jc w:val="left"/>
              <w:rPr>
                <w:rFonts w:cs="Arial"/>
              </w:rPr>
            </w:pPr>
            <w:r w:rsidRPr="00662906">
              <w:rPr>
                <w:rFonts w:cs="Arial"/>
              </w:rPr>
              <w:t>BAU</w:t>
            </w:r>
          </w:p>
        </w:tc>
        <w:tc>
          <w:tcPr>
            <w:tcW w:w="7415" w:type="dxa"/>
            <w:vAlign w:val="center"/>
          </w:tcPr>
          <w:p w14:paraId="5711A579" w14:textId="004095A7" w:rsidR="001F5D44" w:rsidRPr="00662906" w:rsidRDefault="00AC3271" w:rsidP="00674329">
            <w:pPr>
              <w:spacing w:after="0"/>
              <w:rPr>
                <w:rFonts w:cs="Arial"/>
              </w:rPr>
            </w:pPr>
            <w:r w:rsidRPr="00662906">
              <w:rPr>
                <w:rFonts w:cs="Arial"/>
              </w:rPr>
              <w:t>Business as usual</w:t>
            </w:r>
          </w:p>
        </w:tc>
      </w:tr>
      <w:tr w:rsidR="00F504D0" w:rsidRPr="00662906" w14:paraId="4792F860" w14:textId="77777777" w:rsidTr="2D9E25B5">
        <w:trPr>
          <w:trHeight w:val="318"/>
        </w:trPr>
        <w:tc>
          <w:tcPr>
            <w:tcW w:w="1620" w:type="dxa"/>
            <w:vAlign w:val="center"/>
          </w:tcPr>
          <w:p w14:paraId="210C7770" w14:textId="08BCB3B5" w:rsidR="00F504D0" w:rsidRPr="00662906" w:rsidRDefault="00F504D0" w:rsidP="00705585">
            <w:pPr>
              <w:spacing w:after="0"/>
              <w:jc w:val="left"/>
              <w:rPr>
                <w:rFonts w:cs="Arial"/>
              </w:rPr>
            </w:pPr>
            <w:r w:rsidRPr="00662906">
              <w:rPr>
                <w:rFonts w:cs="Arial"/>
              </w:rPr>
              <w:t>Bcm</w:t>
            </w:r>
          </w:p>
        </w:tc>
        <w:tc>
          <w:tcPr>
            <w:tcW w:w="7415" w:type="dxa"/>
            <w:vAlign w:val="center"/>
          </w:tcPr>
          <w:p w14:paraId="764EC971" w14:textId="5D5CF26A" w:rsidR="00F504D0" w:rsidRPr="00662906" w:rsidRDefault="00F504D0" w:rsidP="00674329">
            <w:pPr>
              <w:spacing w:after="0"/>
              <w:rPr>
                <w:rFonts w:cs="Arial"/>
              </w:rPr>
            </w:pPr>
            <w:r w:rsidRPr="00662906">
              <w:rPr>
                <w:rFonts w:cs="Arial"/>
              </w:rPr>
              <w:t xml:space="preserve">Billion </w:t>
            </w:r>
            <w:r w:rsidR="001B08A4" w:rsidRPr="00662906">
              <w:rPr>
                <w:rFonts w:cs="Arial"/>
              </w:rPr>
              <w:t>c</w:t>
            </w:r>
            <w:r w:rsidRPr="00662906">
              <w:rPr>
                <w:rFonts w:cs="Arial"/>
              </w:rPr>
              <w:t xml:space="preserve">ubic </w:t>
            </w:r>
            <w:r w:rsidR="001B08A4" w:rsidRPr="00662906">
              <w:rPr>
                <w:rFonts w:cs="Arial"/>
              </w:rPr>
              <w:t>m</w:t>
            </w:r>
            <w:r w:rsidRPr="00662906">
              <w:rPr>
                <w:rFonts w:cs="Arial"/>
              </w:rPr>
              <w:t>etres</w:t>
            </w:r>
          </w:p>
        </w:tc>
      </w:tr>
      <w:tr w:rsidR="0081485A" w:rsidRPr="00662906" w14:paraId="791956D5" w14:textId="77777777" w:rsidTr="2D9E25B5">
        <w:trPr>
          <w:trHeight w:val="318"/>
        </w:trPr>
        <w:tc>
          <w:tcPr>
            <w:tcW w:w="1620" w:type="dxa"/>
            <w:vAlign w:val="center"/>
          </w:tcPr>
          <w:p w14:paraId="20924CC2" w14:textId="77777777" w:rsidR="0081485A" w:rsidRPr="00662906" w:rsidRDefault="0081485A" w:rsidP="00705585">
            <w:pPr>
              <w:spacing w:after="0"/>
              <w:jc w:val="left"/>
              <w:rPr>
                <w:rFonts w:cs="Arial"/>
              </w:rPr>
            </w:pPr>
            <w:r w:rsidRPr="00662906">
              <w:rPr>
                <w:rFonts w:cs="Arial"/>
              </w:rPr>
              <w:t>BESS</w:t>
            </w:r>
          </w:p>
        </w:tc>
        <w:tc>
          <w:tcPr>
            <w:tcW w:w="7415" w:type="dxa"/>
            <w:vAlign w:val="center"/>
          </w:tcPr>
          <w:p w14:paraId="27977968" w14:textId="77777777" w:rsidR="0081485A" w:rsidRPr="00662906" w:rsidRDefault="0081485A" w:rsidP="00674329">
            <w:pPr>
              <w:spacing w:after="0"/>
              <w:rPr>
                <w:rFonts w:cs="Arial"/>
              </w:rPr>
            </w:pPr>
            <w:r w:rsidRPr="00662906">
              <w:rPr>
                <w:rFonts w:cs="Arial"/>
              </w:rPr>
              <w:t>Battery Energy Storage Systems</w:t>
            </w:r>
          </w:p>
        </w:tc>
      </w:tr>
      <w:tr w:rsidR="0081485A" w:rsidRPr="00662906" w14:paraId="24BFEF5B" w14:textId="77777777" w:rsidTr="2D9E25B5">
        <w:trPr>
          <w:trHeight w:val="318"/>
        </w:trPr>
        <w:tc>
          <w:tcPr>
            <w:tcW w:w="1620" w:type="dxa"/>
            <w:vAlign w:val="center"/>
          </w:tcPr>
          <w:p w14:paraId="3D50A19D" w14:textId="77777777" w:rsidR="0081485A" w:rsidRPr="00662906" w:rsidRDefault="0081485A" w:rsidP="00705585">
            <w:pPr>
              <w:spacing w:after="0"/>
              <w:jc w:val="left"/>
              <w:rPr>
                <w:rFonts w:cs="Arial"/>
              </w:rPr>
            </w:pPr>
            <w:r w:rsidRPr="00662906">
              <w:rPr>
                <w:rFonts w:cs="Arial"/>
              </w:rPr>
              <w:t>BOAD</w:t>
            </w:r>
          </w:p>
        </w:tc>
        <w:tc>
          <w:tcPr>
            <w:tcW w:w="7415" w:type="dxa"/>
            <w:vAlign w:val="center"/>
          </w:tcPr>
          <w:p w14:paraId="5954C96B" w14:textId="77777777" w:rsidR="0081485A" w:rsidRPr="00662906" w:rsidRDefault="0081485A" w:rsidP="00674329">
            <w:pPr>
              <w:spacing w:after="0"/>
              <w:rPr>
                <w:rFonts w:cs="Arial"/>
              </w:rPr>
            </w:pPr>
            <w:r w:rsidRPr="00662906">
              <w:rPr>
                <w:rFonts w:cs="Arial"/>
              </w:rPr>
              <w:t>West African Development Bank</w:t>
            </w:r>
          </w:p>
        </w:tc>
      </w:tr>
      <w:tr w:rsidR="00803568" w:rsidRPr="00662906" w14:paraId="7E62E068" w14:textId="77777777" w:rsidTr="2D9E25B5">
        <w:trPr>
          <w:trHeight w:val="318"/>
        </w:trPr>
        <w:tc>
          <w:tcPr>
            <w:tcW w:w="1620" w:type="dxa"/>
            <w:vAlign w:val="center"/>
          </w:tcPr>
          <w:p w14:paraId="0BCE47FB" w14:textId="4DDF6B31" w:rsidR="00803568" w:rsidRPr="00662906" w:rsidRDefault="00803568" w:rsidP="00705585">
            <w:pPr>
              <w:spacing w:after="0"/>
              <w:jc w:val="left"/>
              <w:rPr>
                <w:rFonts w:cs="Arial"/>
              </w:rPr>
            </w:pPr>
            <w:r w:rsidRPr="00662906">
              <w:rPr>
                <w:rFonts w:cs="Arial"/>
              </w:rPr>
              <w:t>CAPP</w:t>
            </w:r>
          </w:p>
        </w:tc>
        <w:tc>
          <w:tcPr>
            <w:tcW w:w="7415" w:type="dxa"/>
            <w:vAlign w:val="center"/>
          </w:tcPr>
          <w:p w14:paraId="03AC270D" w14:textId="0296774E" w:rsidR="00803568" w:rsidRPr="00662906" w:rsidRDefault="00803568" w:rsidP="00674329">
            <w:pPr>
              <w:spacing w:after="0"/>
              <w:rPr>
                <w:rFonts w:cs="Arial"/>
              </w:rPr>
            </w:pPr>
            <w:r w:rsidRPr="00662906">
              <w:rPr>
                <w:rFonts w:cs="Arial"/>
              </w:rPr>
              <w:t xml:space="preserve">Central African Power Pool </w:t>
            </w:r>
          </w:p>
        </w:tc>
      </w:tr>
      <w:tr w:rsidR="006C1187" w:rsidRPr="00662906" w14:paraId="0336C110" w14:textId="77777777" w:rsidTr="2D9E25B5">
        <w:trPr>
          <w:trHeight w:val="318"/>
        </w:trPr>
        <w:tc>
          <w:tcPr>
            <w:tcW w:w="1620" w:type="dxa"/>
            <w:vAlign w:val="center"/>
          </w:tcPr>
          <w:p w14:paraId="32AF995D" w14:textId="0CBFB078" w:rsidR="006C1187" w:rsidRPr="00662906" w:rsidRDefault="006C1187" w:rsidP="00705585">
            <w:pPr>
              <w:spacing w:after="0"/>
              <w:jc w:val="left"/>
              <w:rPr>
                <w:rFonts w:cs="Arial"/>
              </w:rPr>
            </w:pPr>
            <w:r w:rsidRPr="00662906">
              <w:rPr>
                <w:rFonts w:cs="Arial"/>
              </w:rPr>
              <w:t>CBAM</w:t>
            </w:r>
          </w:p>
        </w:tc>
        <w:tc>
          <w:tcPr>
            <w:tcW w:w="7415" w:type="dxa"/>
            <w:vAlign w:val="center"/>
          </w:tcPr>
          <w:p w14:paraId="159B55C9" w14:textId="5D2CC9DA" w:rsidR="006C1187" w:rsidRPr="00662906" w:rsidRDefault="006C1187" w:rsidP="00674329">
            <w:pPr>
              <w:spacing w:after="0"/>
              <w:rPr>
                <w:rFonts w:cs="Arial"/>
              </w:rPr>
            </w:pPr>
            <w:r w:rsidRPr="00662906">
              <w:rPr>
                <w:rFonts w:cs="Arial"/>
              </w:rPr>
              <w:t>Carbon Border Adjustment Mechanism</w:t>
            </w:r>
          </w:p>
        </w:tc>
      </w:tr>
      <w:tr w:rsidR="00C27B49" w:rsidRPr="00662906" w14:paraId="14267334" w14:textId="77777777" w:rsidTr="2D9E25B5">
        <w:trPr>
          <w:trHeight w:val="318"/>
        </w:trPr>
        <w:tc>
          <w:tcPr>
            <w:tcW w:w="1620" w:type="dxa"/>
            <w:vAlign w:val="center"/>
          </w:tcPr>
          <w:p w14:paraId="1D85D0A0" w14:textId="7232E9A6" w:rsidR="00C27B49" w:rsidRPr="00662906" w:rsidRDefault="00C27B49" w:rsidP="00705585">
            <w:pPr>
              <w:spacing w:after="0"/>
              <w:jc w:val="left"/>
              <w:rPr>
                <w:rFonts w:cs="Arial"/>
              </w:rPr>
            </w:pPr>
            <w:r w:rsidRPr="00662906">
              <w:rPr>
                <w:rFonts w:cs="Arial"/>
              </w:rPr>
              <w:t>CCT</w:t>
            </w:r>
          </w:p>
        </w:tc>
        <w:tc>
          <w:tcPr>
            <w:tcW w:w="7415" w:type="dxa"/>
            <w:vAlign w:val="center"/>
          </w:tcPr>
          <w:p w14:paraId="31A14D7D" w14:textId="00148CE4" w:rsidR="00C27B49" w:rsidRPr="00662906" w:rsidRDefault="00C27B49" w:rsidP="00674329">
            <w:pPr>
              <w:spacing w:after="0"/>
              <w:rPr>
                <w:rFonts w:cs="Arial"/>
              </w:rPr>
            </w:pPr>
            <w:r w:rsidRPr="00662906">
              <w:rPr>
                <w:rFonts w:cs="Arial"/>
              </w:rPr>
              <w:t>Clean Cooking Technologies</w:t>
            </w:r>
          </w:p>
        </w:tc>
      </w:tr>
      <w:tr w:rsidR="0031128B" w:rsidRPr="00662906" w14:paraId="25FAE482" w14:textId="77777777" w:rsidTr="2D9E25B5">
        <w:trPr>
          <w:trHeight w:val="318"/>
        </w:trPr>
        <w:tc>
          <w:tcPr>
            <w:tcW w:w="1620" w:type="dxa"/>
            <w:vAlign w:val="center"/>
          </w:tcPr>
          <w:p w14:paraId="16156B0F" w14:textId="022F8187" w:rsidR="0031128B" w:rsidRPr="00662906" w:rsidRDefault="0031128B" w:rsidP="00705585">
            <w:pPr>
              <w:spacing w:after="0"/>
              <w:jc w:val="left"/>
              <w:rPr>
                <w:rFonts w:cs="Arial"/>
              </w:rPr>
            </w:pPr>
            <w:r w:rsidRPr="00662906">
              <w:rPr>
                <w:rFonts w:cs="Arial"/>
              </w:rPr>
              <w:lastRenderedPageBreak/>
              <w:t>CCUS</w:t>
            </w:r>
          </w:p>
        </w:tc>
        <w:tc>
          <w:tcPr>
            <w:tcW w:w="7415" w:type="dxa"/>
            <w:vAlign w:val="center"/>
          </w:tcPr>
          <w:p w14:paraId="4EB8E375" w14:textId="52F0BEE2" w:rsidR="0031128B" w:rsidRPr="00662906" w:rsidRDefault="0031128B" w:rsidP="00674329">
            <w:pPr>
              <w:spacing w:after="0"/>
              <w:rPr>
                <w:rFonts w:cs="Arial"/>
              </w:rPr>
            </w:pPr>
            <w:r w:rsidRPr="00662906">
              <w:rPr>
                <w:rFonts w:cs="Arial"/>
              </w:rPr>
              <w:t>Carbon capture, utilization, and storage</w:t>
            </w:r>
          </w:p>
        </w:tc>
      </w:tr>
      <w:tr w:rsidR="006C4FF8" w:rsidRPr="00662906" w14:paraId="7D909082" w14:textId="77777777" w:rsidTr="2D9E25B5">
        <w:trPr>
          <w:trHeight w:val="318"/>
        </w:trPr>
        <w:tc>
          <w:tcPr>
            <w:tcW w:w="1620" w:type="dxa"/>
            <w:vAlign w:val="center"/>
          </w:tcPr>
          <w:p w14:paraId="23A922DB" w14:textId="103330E6" w:rsidR="006C4FF8" w:rsidRPr="00662906" w:rsidRDefault="006C4FF8" w:rsidP="00705585">
            <w:pPr>
              <w:spacing w:after="0"/>
              <w:jc w:val="left"/>
              <w:rPr>
                <w:rFonts w:cs="Arial"/>
              </w:rPr>
            </w:pPr>
            <w:r w:rsidRPr="00662906">
              <w:rPr>
                <w:rFonts w:cs="Arial"/>
              </w:rPr>
              <w:t>CfDs</w:t>
            </w:r>
          </w:p>
        </w:tc>
        <w:tc>
          <w:tcPr>
            <w:tcW w:w="7415" w:type="dxa"/>
            <w:vAlign w:val="center"/>
          </w:tcPr>
          <w:p w14:paraId="2AAB02A0" w14:textId="5DBC3C78" w:rsidR="006C4FF8" w:rsidRPr="00662906" w:rsidRDefault="006C4FF8" w:rsidP="00674329">
            <w:pPr>
              <w:spacing w:after="0"/>
              <w:rPr>
                <w:rFonts w:cs="Arial"/>
              </w:rPr>
            </w:pPr>
            <w:r w:rsidRPr="00662906">
              <w:rPr>
                <w:rFonts w:cs="Arial"/>
              </w:rPr>
              <w:t>Contracts for difference</w:t>
            </w:r>
          </w:p>
        </w:tc>
      </w:tr>
      <w:tr w:rsidR="0081485A" w:rsidRPr="00662906" w14:paraId="12794477" w14:textId="77777777" w:rsidTr="2D9E25B5">
        <w:trPr>
          <w:trHeight w:val="318"/>
        </w:trPr>
        <w:tc>
          <w:tcPr>
            <w:tcW w:w="1620" w:type="dxa"/>
            <w:vAlign w:val="center"/>
          </w:tcPr>
          <w:p w14:paraId="6754E4D6" w14:textId="4C7EAF08" w:rsidR="0081485A" w:rsidRPr="00662906" w:rsidRDefault="0081485A" w:rsidP="00705585">
            <w:pPr>
              <w:spacing w:after="0"/>
              <w:jc w:val="left"/>
              <w:rPr>
                <w:rFonts w:cs="Arial"/>
              </w:rPr>
            </w:pPr>
            <w:r w:rsidRPr="00662906">
              <w:rPr>
                <w:rFonts w:cs="Arial"/>
              </w:rPr>
              <w:t>CMP</w:t>
            </w:r>
          </w:p>
        </w:tc>
        <w:tc>
          <w:tcPr>
            <w:tcW w:w="7415" w:type="dxa"/>
            <w:vAlign w:val="center"/>
          </w:tcPr>
          <w:p w14:paraId="3EDBD4A3" w14:textId="77777777" w:rsidR="0081485A" w:rsidRPr="00662906" w:rsidRDefault="0081485A" w:rsidP="00674329">
            <w:pPr>
              <w:spacing w:after="0"/>
              <w:rPr>
                <w:rFonts w:cs="Arial"/>
              </w:rPr>
            </w:pPr>
            <w:r w:rsidRPr="00662906">
              <w:rPr>
                <w:rFonts w:cs="Arial"/>
              </w:rPr>
              <w:t>Continental Master Plan</w:t>
            </w:r>
          </w:p>
        </w:tc>
      </w:tr>
      <w:tr w:rsidR="00826251" w:rsidRPr="00662906" w14:paraId="68244CCB" w14:textId="77777777" w:rsidTr="2D9E25B5">
        <w:trPr>
          <w:trHeight w:val="318"/>
        </w:trPr>
        <w:tc>
          <w:tcPr>
            <w:tcW w:w="1620" w:type="dxa"/>
            <w:vAlign w:val="center"/>
          </w:tcPr>
          <w:p w14:paraId="15DF5EAC" w14:textId="04FAF8CE" w:rsidR="00826251" w:rsidRPr="00662906" w:rsidRDefault="00826251" w:rsidP="00705585">
            <w:pPr>
              <w:spacing w:after="0"/>
              <w:jc w:val="left"/>
              <w:rPr>
                <w:rFonts w:cs="Arial"/>
              </w:rPr>
            </w:pPr>
            <w:r w:rsidRPr="00662906">
              <w:rPr>
                <w:rFonts w:cs="Arial"/>
              </w:rPr>
              <w:t>CoEs</w:t>
            </w:r>
          </w:p>
        </w:tc>
        <w:tc>
          <w:tcPr>
            <w:tcW w:w="7415" w:type="dxa"/>
            <w:vAlign w:val="center"/>
          </w:tcPr>
          <w:p w14:paraId="353FB58A" w14:textId="6F2CA501" w:rsidR="00826251" w:rsidRPr="00662906" w:rsidRDefault="00826251" w:rsidP="00674329">
            <w:pPr>
              <w:spacing w:after="0"/>
              <w:rPr>
                <w:rFonts w:cs="Arial"/>
              </w:rPr>
            </w:pPr>
            <w:r w:rsidRPr="00662906">
              <w:rPr>
                <w:rFonts w:cs="Arial"/>
              </w:rPr>
              <w:t>Centres of Excellence</w:t>
            </w:r>
          </w:p>
        </w:tc>
      </w:tr>
      <w:tr w:rsidR="00C718DF" w:rsidRPr="00662906" w14:paraId="7BBB787E" w14:textId="77777777" w:rsidTr="2D9E25B5">
        <w:trPr>
          <w:trHeight w:val="318"/>
        </w:trPr>
        <w:tc>
          <w:tcPr>
            <w:tcW w:w="1620" w:type="dxa"/>
            <w:vAlign w:val="center"/>
          </w:tcPr>
          <w:p w14:paraId="15F3933F" w14:textId="78EB0477" w:rsidR="00C718DF" w:rsidRPr="00662906" w:rsidRDefault="00C718DF" w:rsidP="00705585">
            <w:pPr>
              <w:spacing w:after="0"/>
              <w:jc w:val="left"/>
              <w:rPr>
                <w:rFonts w:cs="Arial"/>
              </w:rPr>
            </w:pPr>
            <w:r w:rsidRPr="00662906">
              <w:rPr>
                <w:rFonts w:cs="Arial"/>
              </w:rPr>
              <w:t>COMELEC</w:t>
            </w:r>
          </w:p>
        </w:tc>
        <w:tc>
          <w:tcPr>
            <w:tcW w:w="7415" w:type="dxa"/>
            <w:vAlign w:val="center"/>
          </w:tcPr>
          <w:p w14:paraId="3C64A284" w14:textId="2428FC1B" w:rsidR="00C718DF" w:rsidRPr="00662906" w:rsidRDefault="66E16729" w:rsidP="00674329">
            <w:pPr>
              <w:spacing w:after="0"/>
            </w:pPr>
            <w:bookmarkStart w:id="26" w:name="_Hlk171689677"/>
            <w:r w:rsidRPr="00662906">
              <w:rPr>
                <w:rFonts w:cs="Arial"/>
              </w:rPr>
              <w:t>Maghreb Electricity Committe</w:t>
            </w:r>
            <w:r w:rsidR="0000245D" w:rsidRPr="00662906">
              <w:rPr>
                <w:rFonts w:cs="Arial"/>
              </w:rPr>
              <w:t>e</w:t>
            </w:r>
            <w:bookmarkEnd w:id="26"/>
          </w:p>
        </w:tc>
      </w:tr>
      <w:tr w:rsidR="008C3EFF" w:rsidRPr="00662906" w14:paraId="494293DD" w14:textId="77777777" w:rsidTr="2D9E25B5">
        <w:trPr>
          <w:trHeight w:val="318"/>
        </w:trPr>
        <w:tc>
          <w:tcPr>
            <w:tcW w:w="1620" w:type="dxa"/>
            <w:vAlign w:val="center"/>
          </w:tcPr>
          <w:p w14:paraId="6432C645" w14:textId="249534FE" w:rsidR="008C3EFF" w:rsidRPr="00662906" w:rsidRDefault="008C3EFF" w:rsidP="00705585">
            <w:pPr>
              <w:spacing w:after="0"/>
              <w:jc w:val="left"/>
              <w:rPr>
                <w:rFonts w:cs="Arial"/>
              </w:rPr>
            </w:pPr>
            <w:r w:rsidRPr="00662906">
              <w:rPr>
                <w:rFonts w:cs="Arial"/>
              </w:rPr>
              <w:t>CP</w:t>
            </w:r>
          </w:p>
        </w:tc>
        <w:tc>
          <w:tcPr>
            <w:tcW w:w="7415" w:type="dxa"/>
            <w:vAlign w:val="center"/>
          </w:tcPr>
          <w:p w14:paraId="0AED3623" w14:textId="45561F3F" w:rsidR="008C3EFF" w:rsidRPr="00662906" w:rsidRDefault="008C3EFF" w:rsidP="00674329">
            <w:pPr>
              <w:spacing w:after="0"/>
              <w:rPr>
                <w:rFonts w:cs="Arial"/>
              </w:rPr>
            </w:pPr>
            <w:r w:rsidRPr="00662906">
              <w:rPr>
                <w:rFonts w:cs="Arial"/>
              </w:rPr>
              <w:t>Communication Plan</w:t>
            </w:r>
          </w:p>
        </w:tc>
      </w:tr>
      <w:tr w:rsidR="030DDDF9" w:rsidRPr="00662906" w14:paraId="2E26E9D3" w14:textId="77777777" w:rsidTr="2D9E25B5">
        <w:trPr>
          <w:trHeight w:val="318"/>
        </w:trPr>
        <w:tc>
          <w:tcPr>
            <w:tcW w:w="1620" w:type="dxa"/>
            <w:vAlign w:val="center"/>
          </w:tcPr>
          <w:p w14:paraId="7666CE57" w14:textId="523C305C" w:rsidR="788A603C" w:rsidRPr="00662906" w:rsidRDefault="788A603C" w:rsidP="00705585">
            <w:pPr>
              <w:spacing w:after="0"/>
              <w:jc w:val="left"/>
              <w:rPr>
                <w:rFonts w:cs="Arial"/>
              </w:rPr>
            </w:pPr>
            <w:r w:rsidRPr="00662906">
              <w:rPr>
                <w:rFonts w:cs="Arial"/>
              </w:rPr>
              <w:t>CSR</w:t>
            </w:r>
          </w:p>
        </w:tc>
        <w:tc>
          <w:tcPr>
            <w:tcW w:w="7415" w:type="dxa"/>
            <w:vAlign w:val="center"/>
          </w:tcPr>
          <w:p w14:paraId="2564A5CB" w14:textId="62C60F5B" w:rsidR="788A603C" w:rsidRPr="00662906" w:rsidRDefault="788A603C" w:rsidP="00674329">
            <w:pPr>
              <w:spacing w:after="0"/>
              <w:rPr>
                <w:rFonts w:cs="Arial"/>
              </w:rPr>
            </w:pPr>
            <w:r w:rsidRPr="00662906">
              <w:rPr>
                <w:rFonts w:cs="Arial"/>
              </w:rPr>
              <w:t xml:space="preserve">Corporate Social </w:t>
            </w:r>
            <w:r w:rsidR="042FD976" w:rsidRPr="00662906">
              <w:rPr>
                <w:rFonts w:cs="Arial"/>
              </w:rPr>
              <w:t>Responsibility</w:t>
            </w:r>
          </w:p>
        </w:tc>
      </w:tr>
      <w:tr w:rsidR="006C4FF8" w:rsidRPr="00662906" w14:paraId="5D44F9B3" w14:textId="77777777" w:rsidTr="2D9E25B5">
        <w:trPr>
          <w:trHeight w:val="318"/>
        </w:trPr>
        <w:tc>
          <w:tcPr>
            <w:tcW w:w="1620" w:type="dxa"/>
            <w:vAlign w:val="center"/>
          </w:tcPr>
          <w:p w14:paraId="4570814C" w14:textId="041063AF" w:rsidR="006C4FF8" w:rsidRPr="00662906" w:rsidRDefault="006C4FF8" w:rsidP="00705585">
            <w:pPr>
              <w:spacing w:after="0"/>
              <w:jc w:val="left"/>
              <w:rPr>
                <w:rFonts w:cs="Arial"/>
              </w:rPr>
            </w:pPr>
            <w:r w:rsidRPr="00662906">
              <w:rPr>
                <w:rFonts w:cs="Arial"/>
              </w:rPr>
              <w:t>DAS</w:t>
            </w:r>
          </w:p>
        </w:tc>
        <w:tc>
          <w:tcPr>
            <w:tcW w:w="7415" w:type="dxa"/>
            <w:vAlign w:val="center"/>
          </w:tcPr>
          <w:p w14:paraId="081D0B3E" w14:textId="36EA3D2E" w:rsidR="006C4FF8" w:rsidRPr="00662906" w:rsidRDefault="006C4FF8" w:rsidP="00674329">
            <w:pPr>
              <w:spacing w:after="0"/>
              <w:rPr>
                <w:rFonts w:cs="Arial"/>
              </w:rPr>
            </w:pPr>
            <w:r w:rsidRPr="00662906">
              <w:rPr>
                <w:rFonts w:cs="Arial"/>
              </w:rPr>
              <w:t>Digital Agriculture Strategy</w:t>
            </w:r>
          </w:p>
        </w:tc>
      </w:tr>
      <w:tr w:rsidR="0081485A" w:rsidRPr="00662906" w14:paraId="4C9BCFE4" w14:textId="77777777" w:rsidTr="2D9E25B5">
        <w:trPr>
          <w:trHeight w:val="318"/>
        </w:trPr>
        <w:tc>
          <w:tcPr>
            <w:tcW w:w="1620" w:type="dxa"/>
            <w:vAlign w:val="center"/>
          </w:tcPr>
          <w:p w14:paraId="545DB8A7" w14:textId="77777777" w:rsidR="0081485A" w:rsidRPr="00662906" w:rsidRDefault="0081485A" w:rsidP="00705585">
            <w:pPr>
              <w:spacing w:after="0"/>
              <w:jc w:val="left"/>
              <w:rPr>
                <w:rFonts w:cs="Arial"/>
              </w:rPr>
            </w:pPr>
            <w:r w:rsidRPr="00662906">
              <w:rPr>
                <w:rFonts w:cs="Arial"/>
              </w:rPr>
              <w:t>DBSA</w:t>
            </w:r>
          </w:p>
        </w:tc>
        <w:tc>
          <w:tcPr>
            <w:tcW w:w="7415" w:type="dxa"/>
            <w:vAlign w:val="center"/>
          </w:tcPr>
          <w:p w14:paraId="2A81B224" w14:textId="77777777" w:rsidR="0081485A" w:rsidRPr="00662906" w:rsidRDefault="0081485A" w:rsidP="00674329">
            <w:pPr>
              <w:spacing w:after="0"/>
              <w:rPr>
                <w:rFonts w:cs="Arial"/>
              </w:rPr>
            </w:pPr>
            <w:r w:rsidRPr="00662906">
              <w:rPr>
                <w:rFonts w:cs="Arial"/>
              </w:rPr>
              <w:t>Development Bank of Southern Africa</w:t>
            </w:r>
          </w:p>
        </w:tc>
      </w:tr>
      <w:tr w:rsidR="0081485A" w:rsidRPr="00662906" w14:paraId="5350BC77" w14:textId="77777777" w:rsidTr="2D9E25B5">
        <w:trPr>
          <w:trHeight w:val="318"/>
        </w:trPr>
        <w:tc>
          <w:tcPr>
            <w:tcW w:w="1620" w:type="dxa"/>
            <w:vAlign w:val="center"/>
          </w:tcPr>
          <w:p w14:paraId="10833C3E" w14:textId="494987AC" w:rsidR="0081485A" w:rsidRPr="00662906" w:rsidRDefault="0081485A" w:rsidP="00705585">
            <w:pPr>
              <w:spacing w:after="0"/>
              <w:jc w:val="left"/>
              <w:rPr>
                <w:rFonts w:cs="Arial"/>
              </w:rPr>
            </w:pPr>
            <w:r w:rsidRPr="00662906">
              <w:rPr>
                <w:rFonts w:cs="Arial"/>
              </w:rPr>
              <w:t>DDP</w:t>
            </w:r>
            <w:r w:rsidR="00F2730F" w:rsidRPr="00662906">
              <w:rPr>
                <w:rFonts w:cs="Arial"/>
              </w:rPr>
              <w:t>s</w:t>
            </w:r>
          </w:p>
        </w:tc>
        <w:tc>
          <w:tcPr>
            <w:tcW w:w="7415" w:type="dxa"/>
            <w:vAlign w:val="center"/>
          </w:tcPr>
          <w:p w14:paraId="15AAC4E8" w14:textId="77777777" w:rsidR="0081485A" w:rsidRPr="00662906" w:rsidRDefault="0081485A" w:rsidP="00674329">
            <w:pPr>
              <w:spacing w:after="0"/>
              <w:rPr>
                <w:rFonts w:cs="Arial"/>
              </w:rPr>
            </w:pPr>
            <w:r w:rsidRPr="00662906">
              <w:rPr>
                <w:rFonts w:cs="Arial"/>
              </w:rPr>
              <w:t xml:space="preserve">Deep Decarbonization Pathways </w:t>
            </w:r>
          </w:p>
        </w:tc>
      </w:tr>
      <w:tr w:rsidR="0081485A" w:rsidRPr="00662906" w14:paraId="0550039C" w14:textId="77777777" w:rsidTr="2D9E25B5">
        <w:trPr>
          <w:trHeight w:val="318"/>
        </w:trPr>
        <w:tc>
          <w:tcPr>
            <w:tcW w:w="1620" w:type="dxa"/>
            <w:vAlign w:val="center"/>
          </w:tcPr>
          <w:p w14:paraId="5B5B064F" w14:textId="77777777" w:rsidR="0081485A" w:rsidRPr="00662906" w:rsidRDefault="0081485A" w:rsidP="00705585">
            <w:pPr>
              <w:spacing w:after="0"/>
              <w:jc w:val="left"/>
              <w:rPr>
                <w:rFonts w:cs="Arial"/>
              </w:rPr>
            </w:pPr>
            <w:r w:rsidRPr="00662906">
              <w:rPr>
                <w:rFonts w:cs="Arial"/>
              </w:rPr>
              <w:t>DFIs</w:t>
            </w:r>
          </w:p>
        </w:tc>
        <w:tc>
          <w:tcPr>
            <w:tcW w:w="7415" w:type="dxa"/>
            <w:vAlign w:val="center"/>
          </w:tcPr>
          <w:p w14:paraId="4E0DDFD0" w14:textId="77777777" w:rsidR="0081485A" w:rsidRPr="00662906" w:rsidRDefault="0081485A" w:rsidP="00674329">
            <w:pPr>
              <w:spacing w:after="0"/>
              <w:rPr>
                <w:rFonts w:cs="Arial"/>
              </w:rPr>
            </w:pPr>
            <w:r w:rsidRPr="00662906">
              <w:rPr>
                <w:rFonts w:cs="Arial"/>
              </w:rPr>
              <w:t xml:space="preserve">Development Financial Institutions </w:t>
            </w:r>
          </w:p>
        </w:tc>
      </w:tr>
      <w:tr w:rsidR="002F5073" w:rsidRPr="00662906" w14:paraId="379E60E9" w14:textId="77777777" w:rsidTr="2D9E25B5">
        <w:trPr>
          <w:trHeight w:val="318"/>
        </w:trPr>
        <w:tc>
          <w:tcPr>
            <w:tcW w:w="1620" w:type="dxa"/>
            <w:vAlign w:val="center"/>
          </w:tcPr>
          <w:p w14:paraId="3155BA1A" w14:textId="4CD98C7C" w:rsidR="002F5073" w:rsidRPr="00662906" w:rsidRDefault="002F5073" w:rsidP="00705585">
            <w:pPr>
              <w:spacing w:after="0"/>
              <w:jc w:val="left"/>
              <w:rPr>
                <w:rFonts w:cs="Arial"/>
              </w:rPr>
            </w:pPr>
            <w:r w:rsidRPr="00662906">
              <w:rPr>
                <w:rFonts w:cs="Arial"/>
              </w:rPr>
              <w:t>DIE</w:t>
            </w:r>
          </w:p>
        </w:tc>
        <w:tc>
          <w:tcPr>
            <w:tcW w:w="7415" w:type="dxa"/>
            <w:vAlign w:val="center"/>
          </w:tcPr>
          <w:p w14:paraId="40D14705" w14:textId="51F8992B" w:rsidR="002F5073" w:rsidRPr="00662906" w:rsidRDefault="002F5073" w:rsidP="00674329">
            <w:pPr>
              <w:spacing w:after="0"/>
              <w:rPr>
                <w:rFonts w:cs="Arial"/>
              </w:rPr>
            </w:pPr>
            <w:r w:rsidRPr="00662906">
              <w:rPr>
                <w:rFonts w:eastAsia="Arial" w:cs="Arial"/>
              </w:rPr>
              <w:t>Department of Infrastructure and Energy and Transport</w:t>
            </w:r>
          </w:p>
        </w:tc>
      </w:tr>
      <w:tr w:rsidR="0046208C" w:rsidRPr="00662906" w14:paraId="729ADB29" w14:textId="77777777" w:rsidTr="2D9E25B5">
        <w:trPr>
          <w:trHeight w:val="318"/>
        </w:trPr>
        <w:tc>
          <w:tcPr>
            <w:tcW w:w="1620" w:type="dxa"/>
            <w:vAlign w:val="center"/>
          </w:tcPr>
          <w:p w14:paraId="67596147" w14:textId="46CCC25A" w:rsidR="0046208C" w:rsidRPr="00662906" w:rsidRDefault="0046208C" w:rsidP="00705585">
            <w:pPr>
              <w:spacing w:after="0"/>
              <w:jc w:val="left"/>
              <w:rPr>
                <w:rFonts w:cs="Arial"/>
              </w:rPr>
            </w:pPr>
            <w:r w:rsidRPr="00662906">
              <w:rPr>
                <w:rFonts w:cs="Arial"/>
              </w:rPr>
              <w:t>DREA</w:t>
            </w:r>
          </w:p>
        </w:tc>
        <w:tc>
          <w:tcPr>
            <w:tcW w:w="7415" w:type="dxa"/>
            <w:vAlign w:val="center"/>
          </w:tcPr>
          <w:p w14:paraId="6AF5CBDD" w14:textId="6BDB4B58" w:rsidR="0046208C" w:rsidRPr="00662906" w:rsidRDefault="0046208C" w:rsidP="00674329">
            <w:pPr>
              <w:spacing w:after="0"/>
              <w:rPr>
                <w:rFonts w:cs="Arial"/>
              </w:rPr>
            </w:pPr>
            <w:r w:rsidRPr="00662906">
              <w:rPr>
                <w:rFonts w:cs="Arial"/>
              </w:rPr>
              <w:t>Department of Rural Economy and Agriculture</w:t>
            </w:r>
          </w:p>
        </w:tc>
      </w:tr>
      <w:tr w:rsidR="004A3B5D" w:rsidRPr="00662906" w14:paraId="0D74992D" w14:textId="77777777" w:rsidTr="2D9E25B5">
        <w:trPr>
          <w:trHeight w:val="318"/>
        </w:trPr>
        <w:tc>
          <w:tcPr>
            <w:tcW w:w="1620" w:type="dxa"/>
            <w:vAlign w:val="center"/>
          </w:tcPr>
          <w:p w14:paraId="3041ECB6" w14:textId="0C862242" w:rsidR="004A3B5D" w:rsidRPr="00662906" w:rsidRDefault="004A3B5D" w:rsidP="00705585">
            <w:pPr>
              <w:spacing w:after="0"/>
              <w:jc w:val="left"/>
              <w:rPr>
                <w:rFonts w:cs="Arial"/>
              </w:rPr>
            </w:pPr>
            <w:r w:rsidRPr="00662906">
              <w:rPr>
                <w:rFonts w:cs="Arial"/>
              </w:rPr>
              <w:t>EAMA</w:t>
            </w:r>
          </w:p>
        </w:tc>
        <w:tc>
          <w:tcPr>
            <w:tcW w:w="7415" w:type="dxa"/>
            <w:vAlign w:val="center"/>
          </w:tcPr>
          <w:p w14:paraId="6C22C88C" w14:textId="10DE96C4" w:rsidR="004A3B5D" w:rsidRPr="00662906" w:rsidRDefault="004A3B5D" w:rsidP="00674329">
            <w:pPr>
              <w:spacing w:after="0"/>
              <w:rPr>
                <w:rFonts w:cs="Arial"/>
              </w:rPr>
            </w:pPr>
            <w:r w:rsidRPr="00662906">
              <w:rPr>
                <w:rFonts w:cs="Arial"/>
              </w:rPr>
              <w:t>East African Manufacturers Association</w:t>
            </w:r>
          </w:p>
        </w:tc>
      </w:tr>
      <w:tr w:rsidR="0041757C" w:rsidRPr="00662906" w14:paraId="52DEAF61" w14:textId="77777777" w:rsidTr="2D9E25B5">
        <w:trPr>
          <w:trHeight w:val="318"/>
        </w:trPr>
        <w:tc>
          <w:tcPr>
            <w:tcW w:w="1620" w:type="dxa"/>
            <w:vAlign w:val="center"/>
          </w:tcPr>
          <w:p w14:paraId="2E412C63" w14:textId="33A08DA0" w:rsidR="0041757C" w:rsidRPr="00662906" w:rsidRDefault="0000245D" w:rsidP="00705585">
            <w:pPr>
              <w:spacing w:after="0"/>
              <w:jc w:val="left"/>
              <w:rPr>
                <w:rFonts w:cs="Arial"/>
              </w:rPr>
            </w:pPr>
            <w:r w:rsidRPr="00662906">
              <w:rPr>
                <w:rFonts w:cs="Arial"/>
              </w:rPr>
              <w:t>EAPP</w:t>
            </w:r>
          </w:p>
        </w:tc>
        <w:tc>
          <w:tcPr>
            <w:tcW w:w="7415" w:type="dxa"/>
            <w:vAlign w:val="center"/>
          </w:tcPr>
          <w:p w14:paraId="1550ABE2" w14:textId="0A434C5A" w:rsidR="00C77108" w:rsidRPr="00662906" w:rsidRDefault="0000245D" w:rsidP="00674329">
            <w:pPr>
              <w:spacing w:after="0"/>
              <w:rPr>
                <w:rFonts w:cs="Arial"/>
              </w:rPr>
            </w:pPr>
            <w:bookmarkStart w:id="27" w:name="_Hlk171944353"/>
            <w:r w:rsidRPr="00662906">
              <w:rPr>
                <w:rFonts w:cs="Arial"/>
              </w:rPr>
              <w:t>East</w:t>
            </w:r>
            <w:r w:rsidR="00381442" w:rsidRPr="00662906">
              <w:rPr>
                <w:rFonts w:cs="Arial"/>
              </w:rPr>
              <w:t>ern</w:t>
            </w:r>
            <w:r w:rsidRPr="00662906">
              <w:rPr>
                <w:rFonts w:cs="Arial"/>
              </w:rPr>
              <w:t xml:space="preserve"> Africa Power Pool</w:t>
            </w:r>
            <w:bookmarkEnd w:id="27"/>
          </w:p>
        </w:tc>
      </w:tr>
      <w:tr w:rsidR="0041757C" w:rsidRPr="00662906" w14:paraId="43BFD388" w14:textId="77777777" w:rsidTr="2D9E25B5">
        <w:trPr>
          <w:trHeight w:val="318"/>
        </w:trPr>
        <w:tc>
          <w:tcPr>
            <w:tcW w:w="1620" w:type="dxa"/>
            <w:vAlign w:val="center"/>
          </w:tcPr>
          <w:p w14:paraId="206685CC" w14:textId="3122E984" w:rsidR="0041757C" w:rsidRPr="00662906" w:rsidRDefault="0041757C" w:rsidP="00705585">
            <w:pPr>
              <w:spacing w:after="0"/>
              <w:jc w:val="left"/>
              <w:rPr>
                <w:rFonts w:cs="Arial"/>
              </w:rPr>
            </w:pPr>
            <w:r w:rsidRPr="00662906">
              <w:rPr>
                <w:rFonts w:cs="Arial"/>
              </w:rPr>
              <w:t>EASA</w:t>
            </w:r>
          </w:p>
        </w:tc>
        <w:tc>
          <w:tcPr>
            <w:tcW w:w="7415" w:type="dxa"/>
            <w:vAlign w:val="center"/>
          </w:tcPr>
          <w:p w14:paraId="1827A3B3" w14:textId="04FD66DE" w:rsidR="0041757C" w:rsidRPr="00662906" w:rsidRDefault="00C77108" w:rsidP="00674329">
            <w:pPr>
              <w:spacing w:after="0"/>
              <w:rPr>
                <w:rFonts w:cs="Arial"/>
              </w:rPr>
            </w:pPr>
            <w:r w:rsidRPr="00662906">
              <w:rPr>
                <w:rFonts w:cs="Arial"/>
              </w:rPr>
              <w:t>Energy services Companies Association of Southern Africa</w:t>
            </w:r>
          </w:p>
        </w:tc>
      </w:tr>
      <w:tr w:rsidR="0081485A" w:rsidRPr="00662906" w14:paraId="2F40876D" w14:textId="77777777" w:rsidTr="2D9E25B5">
        <w:trPr>
          <w:trHeight w:val="318"/>
        </w:trPr>
        <w:tc>
          <w:tcPr>
            <w:tcW w:w="1620" w:type="dxa"/>
            <w:vAlign w:val="center"/>
          </w:tcPr>
          <w:p w14:paraId="1D9D2EA7" w14:textId="77777777" w:rsidR="0081485A" w:rsidRPr="00662906" w:rsidRDefault="0081485A" w:rsidP="00705585">
            <w:pPr>
              <w:spacing w:after="0"/>
              <w:jc w:val="left"/>
              <w:rPr>
                <w:rFonts w:cs="Arial"/>
              </w:rPr>
            </w:pPr>
            <w:r w:rsidRPr="00662906">
              <w:rPr>
                <w:rFonts w:cs="Arial"/>
              </w:rPr>
              <w:t>EE</w:t>
            </w:r>
          </w:p>
        </w:tc>
        <w:tc>
          <w:tcPr>
            <w:tcW w:w="7415" w:type="dxa"/>
            <w:vAlign w:val="center"/>
          </w:tcPr>
          <w:p w14:paraId="32137371" w14:textId="77777777" w:rsidR="0081485A" w:rsidRPr="00662906" w:rsidRDefault="0081485A" w:rsidP="00674329">
            <w:pPr>
              <w:spacing w:after="0"/>
              <w:rPr>
                <w:rFonts w:cs="Arial"/>
              </w:rPr>
            </w:pPr>
            <w:r w:rsidRPr="00662906">
              <w:rPr>
                <w:rFonts w:cs="Arial"/>
              </w:rPr>
              <w:t>Energy Efficiency</w:t>
            </w:r>
          </w:p>
        </w:tc>
      </w:tr>
      <w:tr w:rsidR="00956AB6" w:rsidRPr="00662906" w14:paraId="321B88D1" w14:textId="77777777" w:rsidTr="2D9E25B5">
        <w:trPr>
          <w:trHeight w:val="318"/>
        </w:trPr>
        <w:tc>
          <w:tcPr>
            <w:tcW w:w="1620" w:type="dxa"/>
            <w:vAlign w:val="center"/>
          </w:tcPr>
          <w:p w14:paraId="520FD2F8" w14:textId="1343F072" w:rsidR="00956AB6" w:rsidRPr="00662906" w:rsidRDefault="00956AB6" w:rsidP="00705585">
            <w:pPr>
              <w:spacing w:after="0"/>
              <w:jc w:val="left"/>
              <w:rPr>
                <w:rFonts w:cs="Arial"/>
              </w:rPr>
            </w:pPr>
            <w:r w:rsidRPr="00662906">
              <w:rPr>
                <w:rFonts w:cs="Arial"/>
              </w:rPr>
              <w:t>ESCO</w:t>
            </w:r>
            <w:r w:rsidR="00383F05" w:rsidRPr="00662906">
              <w:rPr>
                <w:rFonts w:cs="Arial"/>
              </w:rPr>
              <w:t>s</w:t>
            </w:r>
          </w:p>
        </w:tc>
        <w:tc>
          <w:tcPr>
            <w:tcW w:w="7415" w:type="dxa"/>
            <w:vAlign w:val="center"/>
          </w:tcPr>
          <w:p w14:paraId="441D4637" w14:textId="3DA237D0" w:rsidR="00956AB6" w:rsidRPr="00662906" w:rsidRDefault="005B087F" w:rsidP="00674329">
            <w:pPr>
              <w:spacing w:after="0"/>
              <w:rPr>
                <w:rFonts w:cs="Arial"/>
              </w:rPr>
            </w:pPr>
            <w:r w:rsidRPr="00662906">
              <w:rPr>
                <w:rFonts w:cs="Arial"/>
              </w:rPr>
              <w:t xml:space="preserve">Energy </w:t>
            </w:r>
            <w:r w:rsidR="00383F05" w:rsidRPr="00662906">
              <w:rPr>
                <w:rFonts w:cs="Arial"/>
              </w:rPr>
              <w:t>S</w:t>
            </w:r>
            <w:r w:rsidRPr="00662906">
              <w:rPr>
                <w:rFonts w:cs="Arial"/>
              </w:rPr>
              <w:t xml:space="preserve">ervice </w:t>
            </w:r>
            <w:r w:rsidR="00383F05" w:rsidRPr="00662906">
              <w:rPr>
                <w:rFonts w:cs="Arial"/>
              </w:rPr>
              <w:t>C</w:t>
            </w:r>
            <w:r w:rsidRPr="00662906">
              <w:rPr>
                <w:rFonts w:cs="Arial"/>
              </w:rPr>
              <w:t>ompanies</w:t>
            </w:r>
          </w:p>
        </w:tc>
      </w:tr>
      <w:tr w:rsidR="00E77687" w:rsidRPr="00662906" w14:paraId="54220350" w14:textId="77777777" w:rsidTr="2D9E25B5">
        <w:trPr>
          <w:trHeight w:val="318"/>
        </w:trPr>
        <w:tc>
          <w:tcPr>
            <w:tcW w:w="1620" w:type="dxa"/>
            <w:vAlign w:val="center"/>
          </w:tcPr>
          <w:p w14:paraId="47D6017F" w14:textId="60814648" w:rsidR="00E77687" w:rsidRPr="00662906" w:rsidRDefault="00E77687" w:rsidP="00705585">
            <w:pPr>
              <w:spacing w:after="0"/>
              <w:jc w:val="left"/>
              <w:rPr>
                <w:rFonts w:cs="Arial"/>
              </w:rPr>
            </w:pPr>
            <w:r w:rsidRPr="00662906">
              <w:rPr>
                <w:rFonts w:cs="Arial"/>
              </w:rPr>
              <w:t>ESG</w:t>
            </w:r>
          </w:p>
        </w:tc>
        <w:tc>
          <w:tcPr>
            <w:tcW w:w="7415" w:type="dxa"/>
            <w:vAlign w:val="center"/>
          </w:tcPr>
          <w:p w14:paraId="780432E9" w14:textId="4C1FAACD" w:rsidR="00E77687" w:rsidRPr="00662906" w:rsidRDefault="006F6724" w:rsidP="00674329">
            <w:pPr>
              <w:spacing w:after="0"/>
              <w:rPr>
                <w:rFonts w:cs="Arial"/>
              </w:rPr>
            </w:pPr>
            <w:r w:rsidRPr="00662906">
              <w:rPr>
                <w:rFonts w:cs="Arial"/>
              </w:rPr>
              <w:t>Environmental, Social and Governance</w:t>
            </w:r>
          </w:p>
        </w:tc>
      </w:tr>
      <w:tr w:rsidR="00563AD8" w:rsidRPr="00662906" w14:paraId="648822FB" w14:textId="77777777" w:rsidTr="2D9E25B5">
        <w:trPr>
          <w:trHeight w:val="318"/>
        </w:trPr>
        <w:tc>
          <w:tcPr>
            <w:tcW w:w="1620" w:type="dxa"/>
            <w:vAlign w:val="center"/>
          </w:tcPr>
          <w:p w14:paraId="7E63FC41" w14:textId="7D75FDC3" w:rsidR="00563AD8" w:rsidRPr="00662906" w:rsidRDefault="00563AD8" w:rsidP="00705585">
            <w:pPr>
              <w:spacing w:after="0"/>
              <w:jc w:val="left"/>
              <w:rPr>
                <w:rFonts w:cs="Arial"/>
              </w:rPr>
            </w:pPr>
            <w:r w:rsidRPr="00662906">
              <w:rPr>
                <w:rFonts w:cs="Arial"/>
              </w:rPr>
              <w:t>ESS</w:t>
            </w:r>
          </w:p>
        </w:tc>
        <w:tc>
          <w:tcPr>
            <w:tcW w:w="7415" w:type="dxa"/>
            <w:vAlign w:val="center"/>
          </w:tcPr>
          <w:p w14:paraId="5CD14D1C" w14:textId="56D694EA" w:rsidR="00563AD8" w:rsidRPr="00662906" w:rsidRDefault="00563AD8" w:rsidP="00674329">
            <w:pPr>
              <w:spacing w:after="0"/>
              <w:rPr>
                <w:rFonts w:cs="Arial"/>
              </w:rPr>
            </w:pPr>
            <w:r w:rsidRPr="00662906">
              <w:rPr>
                <w:rFonts w:cs="Arial"/>
              </w:rPr>
              <w:t>Energy Storage Systems</w:t>
            </w:r>
          </w:p>
        </w:tc>
      </w:tr>
      <w:tr w:rsidR="0081485A" w:rsidRPr="00662906" w14:paraId="218F6B1E" w14:textId="77777777" w:rsidTr="2D9E25B5">
        <w:trPr>
          <w:trHeight w:val="318"/>
        </w:trPr>
        <w:tc>
          <w:tcPr>
            <w:tcW w:w="1620" w:type="dxa"/>
            <w:vAlign w:val="center"/>
          </w:tcPr>
          <w:p w14:paraId="7780C9DA" w14:textId="77777777" w:rsidR="0081485A" w:rsidRPr="00662906" w:rsidRDefault="0081485A" w:rsidP="00705585">
            <w:pPr>
              <w:spacing w:after="0"/>
              <w:jc w:val="left"/>
              <w:rPr>
                <w:rFonts w:cs="Arial"/>
              </w:rPr>
            </w:pPr>
            <w:r w:rsidRPr="00662906">
              <w:rPr>
                <w:rFonts w:cs="Arial"/>
              </w:rPr>
              <w:t>ET</w:t>
            </w:r>
          </w:p>
        </w:tc>
        <w:tc>
          <w:tcPr>
            <w:tcW w:w="7415" w:type="dxa"/>
            <w:vAlign w:val="center"/>
          </w:tcPr>
          <w:p w14:paraId="22CCB02D" w14:textId="77777777" w:rsidR="0081485A" w:rsidRPr="00662906" w:rsidRDefault="0081485A" w:rsidP="00674329">
            <w:pPr>
              <w:spacing w:after="0"/>
              <w:rPr>
                <w:rFonts w:cs="Arial"/>
              </w:rPr>
            </w:pPr>
            <w:r w:rsidRPr="00662906">
              <w:rPr>
                <w:rFonts w:cs="Arial"/>
              </w:rPr>
              <w:t>Energy Transition</w:t>
            </w:r>
          </w:p>
        </w:tc>
      </w:tr>
      <w:tr w:rsidR="0081485A" w:rsidRPr="00662906" w14:paraId="1EFE6BA8" w14:textId="77777777" w:rsidTr="2D9E25B5">
        <w:trPr>
          <w:trHeight w:val="318"/>
        </w:trPr>
        <w:tc>
          <w:tcPr>
            <w:tcW w:w="1620" w:type="dxa"/>
            <w:vAlign w:val="center"/>
          </w:tcPr>
          <w:p w14:paraId="69FB132D" w14:textId="77777777" w:rsidR="0081485A" w:rsidRPr="00662906" w:rsidRDefault="0081485A" w:rsidP="00705585">
            <w:pPr>
              <w:spacing w:after="0"/>
              <w:jc w:val="left"/>
              <w:rPr>
                <w:rFonts w:cs="Arial"/>
              </w:rPr>
            </w:pPr>
            <w:r w:rsidRPr="00662906">
              <w:rPr>
                <w:rFonts w:cs="Arial"/>
              </w:rPr>
              <w:t>ETSAP</w:t>
            </w:r>
          </w:p>
        </w:tc>
        <w:tc>
          <w:tcPr>
            <w:tcW w:w="7415" w:type="dxa"/>
            <w:vAlign w:val="center"/>
          </w:tcPr>
          <w:p w14:paraId="601BA10D" w14:textId="77777777" w:rsidR="0081485A" w:rsidRPr="00662906" w:rsidRDefault="0081485A" w:rsidP="00674329">
            <w:pPr>
              <w:spacing w:after="0"/>
              <w:rPr>
                <w:rFonts w:cs="Arial"/>
              </w:rPr>
            </w:pPr>
            <w:r w:rsidRPr="00662906">
              <w:rPr>
                <w:rFonts w:cs="Arial"/>
              </w:rPr>
              <w:t>African Energy Transition Strategy and Action Plan</w:t>
            </w:r>
          </w:p>
        </w:tc>
      </w:tr>
      <w:tr w:rsidR="0081485A" w:rsidRPr="00662906" w14:paraId="701A7C80" w14:textId="77777777" w:rsidTr="2D9E25B5">
        <w:trPr>
          <w:trHeight w:val="318"/>
        </w:trPr>
        <w:tc>
          <w:tcPr>
            <w:tcW w:w="1620" w:type="dxa"/>
            <w:vAlign w:val="center"/>
          </w:tcPr>
          <w:p w14:paraId="1E5EDE1A" w14:textId="77777777" w:rsidR="0081485A" w:rsidRPr="00662906" w:rsidRDefault="0081485A" w:rsidP="00705585">
            <w:pPr>
              <w:spacing w:after="0"/>
              <w:jc w:val="left"/>
              <w:rPr>
                <w:rFonts w:cs="Arial"/>
              </w:rPr>
            </w:pPr>
            <w:r w:rsidRPr="00662906">
              <w:rPr>
                <w:rFonts w:cs="Arial"/>
              </w:rPr>
              <w:t>EU</w:t>
            </w:r>
          </w:p>
        </w:tc>
        <w:tc>
          <w:tcPr>
            <w:tcW w:w="7415" w:type="dxa"/>
            <w:vAlign w:val="center"/>
          </w:tcPr>
          <w:p w14:paraId="387B5FE4" w14:textId="77777777" w:rsidR="0081485A" w:rsidRPr="00662906" w:rsidRDefault="0081485A" w:rsidP="00674329">
            <w:pPr>
              <w:spacing w:after="0"/>
              <w:rPr>
                <w:rFonts w:cs="Arial"/>
              </w:rPr>
            </w:pPr>
            <w:r w:rsidRPr="00662906">
              <w:rPr>
                <w:rFonts w:cs="Arial"/>
              </w:rPr>
              <w:t>European Union</w:t>
            </w:r>
          </w:p>
        </w:tc>
      </w:tr>
      <w:tr w:rsidR="0081485A" w:rsidRPr="00662906" w14:paraId="5009384D" w14:textId="77777777" w:rsidTr="2D9E25B5">
        <w:trPr>
          <w:trHeight w:val="318"/>
        </w:trPr>
        <w:tc>
          <w:tcPr>
            <w:tcW w:w="1620" w:type="dxa"/>
            <w:vAlign w:val="center"/>
          </w:tcPr>
          <w:p w14:paraId="381BEE37" w14:textId="77777777" w:rsidR="0081485A" w:rsidRPr="00662906" w:rsidRDefault="0081485A" w:rsidP="00705585">
            <w:pPr>
              <w:spacing w:after="0"/>
              <w:jc w:val="left"/>
              <w:rPr>
                <w:rFonts w:cs="Arial"/>
              </w:rPr>
            </w:pPr>
            <w:r w:rsidRPr="00662906">
              <w:rPr>
                <w:rFonts w:cs="Arial"/>
              </w:rPr>
              <w:t>EVs</w:t>
            </w:r>
          </w:p>
        </w:tc>
        <w:tc>
          <w:tcPr>
            <w:tcW w:w="7415" w:type="dxa"/>
            <w:vAlign w:val="center"/>
          </w:tcPr>
          <w:p w14:paraId="228E8175" w14:textId="77777777" w:rsidR="0081485A" w:rsidRPr="00662906" w:rsidRDefault="0081485A" w:rsidP="00674329">
            <w:pPr>
              <w:spacing w:after="0"/>
              <w:rPr>
                <w:rFonts w:cs="Arial"/>
              </w:rPr>
            </w:pPr>
            <w:r w:rsidRPr="00662906">
              <w:rPr>
                <w:rFonts w:cs="Arial"/>
              </w:rPr>
              <w:t>Electric Vehicles </w:t>
            </w:r>
          </w:p>
        </w:tc>
      </w:tr>
      <w:tr w:rsidR="00EA521B" w:rsidRPr="00662906" w14:paraId="0E81DDD4" w14:textId="77777777" w:rsidTr="2D9E25B5">
        <w:trPr>
          <w:trHeight w:val="318"/>
        </w:trPr>
        <w:tc>
          <w:tcPr>
            <w:tcW w:w="1620" w:type="dxa"/>
            <w:tcBorders>
              <w:top w:val="single" w:sz="4" w:space="0" w:color="871D37"/>
              <w:left w:val="single" w:sz="4" w:space="0" w:color="871D37"/>
              <w:bottom w:val="single" w:sz="4" w:space="0" w:color="871D37"/>
              <w:right w:val="single" w:sz="4" w:space="0" w:color="871D37"/>
            </w:tcBorders>
            <w:vAlign w:val="center"/>
          </w:tcPr>
          <w:p w14:paraId="12468D31" w14:textId="77777777" w:rsidR="00EA521B" w:rsidRPr="00662906" w:rsidRDefault="00EA521B" w:rsidP="00705585">
            <w:pPr>
              <w:spacing w:after="0"/>
              <w:jc w:val="left"/>
              <w:rPr>
                <w:rFonts w:cs="Arial"/>
              </w:rPr>
            </w:pPr>
            <w:r w:rsidRPr="00662906">
              <w:rPr>
                <w:rFonts w:cs="Arial"/>
              </w:rPr>
              <w:t>E&amp;P</w:t>
            </w:r>
          </w:p>
        </w:tc>
        <w:tc>
          <w:tcPr>
            <w:tcW w:w="7415" w:type="dxa"/>
            <w:tcBorders>
              <w:top w:val="single" w:sz="4" w:space="0" w:color="871D37"/>
              <w:left w:val="single" w:sz="4" w:space="0" w:color="871D37"/>
              <w:bottom w:val="single" w:sz="4" w:space="0" w:color="871D37"/>
              <w:right w:val="single" w:sz="4" w:space="0" w:color="871D37"/>
            </w:tcBorders>
            <w:vAlign w:val="center"/>
          </w:tcPr>
          <w:p w14:paraId="37A34B05" w14:textId="77777777" w:rsidR="00EA521B" w:rsidRPr="00662906" w:rsidRDefault="00EA521B" w:rsidP="00674329">
            <w:pPr>
              <w:spacing w:after="0"/>
              <w:rPr>
                <w:rFonts w:cs="Arial"/>
              </w:rPr>
            </w:pPr>
            <w:r w:rsidRPr="00662906">
              <w:rPr>
                <w:rFonts w:cs="Arial"/>
              </w:rPr>
              <w:t>Exploration and Production</w:t>
            </w:r>
          </w:p>
        </w:tc>
      </w:tr>
      <w:tr w:rsidR="0081485A" w:rsidRPr="00662906" w14:paraId="3F5AC542" w14:textId="77777777" w:rsidTr="2D9E25B5">
        <w:trPr>
          <w:trHeight w:val="318"/>
        </w:trPr>
        <w:tc>
          <w:tcPr>
            <w:tcW w:w="1620" w:type="dxa"/>
            <w:vAlign w:val="center"/>
          </w:tcPr>
          <w:p w14:paraId="0CC1B0CD" w14:textId="77777777" w:rsidR="0081485A" w:rsidRPr="00662906" w:rsidRDefault="0081485A" w:rsidP="00705585">
            <w:pPr>
              <w:spacing w:after="0"/>
              <w:jc w:val="left"/>
              <w:rPr>
                <w:rFonts w:cs="Arial"/>
              </w:rPr>
            </w:pPr>
            <w:r w:rsidRPr="00662906">
              <w:rPr>
                <w:rFonts w:cs="Arial"/>
              </w:rPr>
              <w:t>FAO</w:t>
            </w:r>
          </w:p>
        </w:tc>
        <w:tc>
          <w:tcPr>
            <w:tcW w:w="7415" w:type="dxa"/>
            <w:vAlign w:val="center"/>
          </w:tcPr>
          <w:p w14:paraId="7DA85F3E" w14:textId="77777777" w:rsidR="0081485A" w:rsidRPr="00662906" w:rsidRDefault="0081485A" w:rsidP="00674329">
            <w:pPr>
              <w:spacing w:after="0"/>
              <w:rPr>
                <w:rFonts w:cs="Arial"/>
              </w:rPr>
            </w:pPr>
            <w:r w:rsidRPr="00662906">
              <w:rPr>
                <w:rFonts w:cs="Arial"/>
              </w:rPr>
              <w:t>Food and Agriculture Organization</w:t>
            </w:r>
          </w:p>
        </w:tc>
      </w:tr>
      <w:tr w:rsidR="0081485A" w:rsidRPr="00662906" w14:paraId="574B2952" w14:textId="77777777" w:rsidTr="2D9E25B5">
        <w:trPr>
          <w:trHeight w:val="318"/>
        </w:trPr>
        <w:tc>
          <w:tcPr>
            <w:tcW w:w="1620" w:type="dxa"/>
            <w:vAlign w:val="center"/>
          </w:tcPr>
          <w:p w14:paraId="184E58DC" w14:textId="7986D0B8" w:rsidR="0081485A" w:rsidRPr="00662906" w:rsidRDefault="00CB496B" w:rsidP="00705585">
            <w:pPr>
              <w:spacing w:after="0"/>
              <w:jc w:val="left"/>
              <w:rPr>
                <w:rFonts w:cs="Arial"/>
              </w:rPr>
            </w:pPr>
            <w:r w:rsidRPr="00662906">
              <w:rPr>
                <w:rFonts w:cs="Arial"/>
              </w:rPr>
              <w:t>FEC</w:t>
            </w:r>
          </w:p>
        </w:tc>
        <w:tc>
          <w:tcPr>
            <w:tcW w:w="7415" w:type="dxa"/>
            <w:vAlign w:val="center"/>
          </w:tcPr>
          <w:p w14:paraId="10B3A845" w14:textId="3D7CB3FC" w:rsidR="0081485A" w:rsidRPr="00662906" w:rsidRDefault="00CB496B" w:rsidP="00674329">
            <w:pPr>
              <w:spacing w:after="0"/>
              <w:rPr>
                <w:rFonts w:cs="Arial"/>
              </w:rPr>
            </w:pPr>
            <w:r w:rsidRPr="00662906">
              <w:rPr>
                <w:rFonts w:cs="Arial"/>
              </w:rPr>
              <w:t>Final Energy Consumption</w:t>
            </w:r>
          </w:p>
        </w:tc>
      </w:tr>
      <w:tr w:rsidR="007A6525" w:rsidRPr="00662906" w14:paraId="3C1D2F00" w14:textId="77777777" w:rsidTr="2D9E25B5">
        <w:trPr>
          <w:trHeight w:val="318"/>
        </w:trPr>
        <w:tc>
          <w:tcPr>
            <w:tcW w:w="1620" w:type="dxa"/>
            <w:vAlign w:val="center"/>
          </w:tcPr>
          <w:p w14:paraId="498A27F8" w14:textId="26D0788A" w:rsidR="007A6525" w:rsidRPr="00662906" w:rsidRDefault="007A6525" w:rsidP="00705585">
            <w:pPr>
              <w:spacing w:after="0"/>
              <w:jc w:val="left"/>
              <w:rPr>
                <w:rFonts w:cs="Arial"/>
              </w:rPr>
            </w:pPr>
            <w:r w:rsidRPr="00662906">
              <w:rPr>
                <w:rFonts w:cs="Arial"/>
              </w:rPr>
              <w:t>FEWAMA</w:t>
            </w:r>
          </w:p>
        </w:tc>
        <w:tc>
          <w:tcPr>
            <w:tcW w:w="7415" w:type="dxa"/>
            <w:vAlign w:val="center"/>
          </w:tcPr>
          <w:p w14:paraId="542C21E5" w14:textId="26AD1675" w:rsidR="007A6525" w:rsidRPr="00662906" w:rsidRDefault="007A6525" w:rsidP="00674329">
            <w:pPr>
              <w:spacing w:after="0"/>
              <w:rPr>
                <w:rFonts w:cs="Arial"/>
              </w:rPr>
            </w:pPr>
            <w:r w:rsidRPr="00662906">
              <w:rPr>
                <w:rFonts w:cs="Arial"/>
              </w:rPr>
              <w:t xml:space="preserve">Federation of West African Manufacturers Associations </w:t>
            </w:r>
          </w:p>
        </w:tc>
      </w:tr>
      <w:tr w:rsidR="007A6525" w:rsidRPr="00662906" w14:paraId="59ED8581" w14:textId="77777777" w:rsidTr="2D9E25B5">
        <w:trPr>
          <w:trHeight w:val="318"/>
        </w:trPr>
        <w:tc>
          <w:tcPr>
            <w:tcW w:w="1620" w:type="dxa"/>
            <w:vAlign w:val="center"/>
          </w:tcPr>
          <w:p w14:paraId="2F3E208E" w14:textId="77777777" w:rsidR="007A6525" w:rsidRPr="00662906" w:rsidRDefault="007A6525" w:rsidP="00705585">
            <w:pPr>
              <w:spacing w:after="0"/>
              <w:jc w:val="left"/>
              <w:rPr>
                <w:rFonts w:cs="Arial"/>
              </w:rPr>
            </w:pPr>
            <w:r w:rsidRPr="00662906">
              <w:rPr>
                <w:rFonts w:eastAsia="Arial" w:cs="Arial"/>
              </w:rPr>
              <w:t>FIDIC</w:t>
            </w:r>
          </w:p>
        </w:tc>
        <w:tc>
          <w:tcPr>
            <w:tcW w:w="7415" w:type="dxa"/>
            <w:vAlign w:val="center"/>
          </w:tcPr>
          <w:p w14:paraId="7D73AE2A" w14:textId="77777777" w:rsidR="007A6525" w:rsidRPr="00662906" w:rsidRDefault="007A6525" w:rsidP="00674329">
            <w:pPr>
              <w:spacing w:after="0"/>
              <w:rPr>
                <w:rFonts w:cs="Arial"/>
              </w:rPr>
            </w:pPr>
            <w:r w:rsidRPr="00662906">
              <w:rPr>
                <w:rFonts w:eastAsia="Arial" w:cs="Arial"/>
              </w:rPr>
              <w:t xml:space="preserve">International Federation of Consulting Engineers </w:t>
            </w:r>
          </w:p>
        </w:tc>
      </w:tr>
      <w:tr w:rsidR="006C4FF8" w:rsidRPr="00662906" w14:paraId="60BC03A1" w14:textId="77777777" w:rsidTr="2D9E25B5">
        <w:trPr>
          <w:trHeight w:val="318"/>
        </w:trPr>
        <w:tc>
          <w:tcPr>
            <w:tcW w:w="1620" w:type="dxa"/>
            <w:vAlign w:val="center"/>
          </w:tcPr>
          <w:p w14:paraId="3EEC7792" w14:textId="148D9CF6" w:rsidR="006C4FF8" w:rsidRPr="00662906" w:rsidRDefault="006C4FF8" w:rsidP="00705585">
            <w:pPr>
              <w:spacing w:after="0"/>
              <w:jc w:val="left"/>
              <w:rPr>
                <w:rFonts w:eastAsia="Arial" w:cs="Arial"/>
              </w:rPr>
            </w:pPr>
            <w:r w:rsidRPr="00662906">
              <w:rPr>
                <w:rFonts w:eastAsia="Arial" w:cs="Arial"/>
              </w:rPr>
              <w:t>F</w:t>
            </w:r>
            <w:r w:rsidR="001B78EC" w:rsidRPr="00662906">
              <w:rPr>
                <w:rFonts w:eastAsia="Arial" w:cs="Arial"/>
              </w:rPr>
              <w:t>i</w:t>
            </w:r>
            <w:r w:rsidRPr="00662906">
              <w:rPr>
                <w:rFonts w:eastAsia="Arial" w:cs="Arial"/>
              </w:rPr>
              <w:t>Ps</w:t>
            </w:r>
          </w:p>
        </w:tc>
        <w:tc>
          <w:tcPr>
            <w:tcW w:w="7415" w:type="dxa"/>
            <w:vAlign w:val="center"/>
          </w:tcPr>
          <w:p w14:paraId="10B3E745" w14:textId="443C5897" w:rsidR="006C4FF8" w:rsidRPr="00662906" w:rsidRDefault="006C4FF8" w:rsidP="00674329">
            <w:pPr>
              <w:spacing w:after="0"/>
              <w:rPr>
                <w:rFonts w:eastAsia="Arial" w:cs="Arial"/>
              </w:rPr>
            </w:pPr>
            <w:r w:rsidRPr="00662906">
              <w:rPr>
                <w:rFonts w:eastAsia="Arial" w:cs="Arial"/>
              </w:rPr>
              <w:t>Feed-in premiums</w:t>
            </w:r>
          </w:p>
        </w:tc>
      </w:tr>
      <w:tr w:rsidR="00390F0B" w:rsidRPr="00662906" w14:paraId="1A7B1013" w14:textId="77777777" w:rsidTr="2D9E25B5">
        <w:trPr>
          <w:trHeight w:val="318"/>
        </w:trPr>
        <w:tc>
          <w:tcPr>
            <w:tcW w:w="1620" w:type="dxa"/>
            <w:vAlign w:val="center"/>
          </w:tcPr>
          <w:p w14:paraId="1A47AC3E" w14:textId="54B39E81" w:rsidR="00390F0B" w:rsidRPr="00662906" w:rsidRDefault="00390F0B" w:rsidP="00705585">
            <w:pPr>
              <w:spacing w:after="0"/>
              <w:jc w:val="left"/>
              <w:rPr>
                <w:rFonts w:cs="Arial"/>
              </w:rPr>
            </w:pPr>
            <w:r w:rsidRPr="00662906">
              <w:rPr>
                <w:rFonts w:cs="Arial"/>
              </w:rPr>
              <w:t>FT</w:t>
            </w:r>
          </w:p>
        </w:tc>
        <w:tc>
          <w:tcPr>
            <w:tcW w:w="7415" w:type="dxa"/>
            <w:vAlign w:val="center"/>
          </w:tcPr>
          <w:p w14:paraId="4AA797E5" w14:textId="1FC4D543" w:rsidR="00390F0B" w:rsidRPr="00662906" w:rsidRDefault="00390F0B" w:rsidP="00674329">
            <w:pPr>
              <w:spacing w:after="0"/>
              <w:rPr>
                <w:rFonts w:cs="Arial"/>
              </w:rPr>
            </w:pPr>
            <w:r w:rsidRPr="00662906">
              <w:rPr>
                <w:rFonts w:cs="Arial"/>
              </w:rPr>
              <w:t>Fischer – Tropsch</w:t>
            </w:r>
          </w:p>
        </w:tc>
      </w:tr>
      <w:tr w:rsidR="0081485A" w:rsidRPr="00662906" w14:paraId="2C56C80C" w14:textId="77777777" w:rsidTr="2D9E25B5">
        <w:trPr>
          <w:trHeight w:val="318"/>
        </w:trPr>
        <w:tc>
          <w:tcPr>
            <w:tcW w:w="1620" w:type="dxa"/>
            <w:vAlign w:val="center"/>
          </w:tcPr>
          <w:p w14:paraId="2D768998" w14:textId="77777777" w:rsidR="0081485A" w:rsidRPr="00662906" w:rsidRDefault="0081485A" w:rsidP="00705585">
            <w:pPr>
              <w:spacing w:after="0"/>
              <w:jc w:val="left"/>
              <w:rPr>
                <w:rFonts w:cs="Arial"/>
              </w:rPr>
            </w:pPr>
            <w:r w:rsidRPr="00662906">
              <w:rPr>
                <w:rFonts w:cs="Arial"/>
              </w:rPr>
              <w:t>GDP</w:t>
            </w:r>
          </w:p>
        </w:tc>
        <w:tc>
          <w:tcPr>
            <w:tcW w:w="7415" w:type="dxa"/>
            <w:vAlign w:val="center"/>
          </w:tcPr>
          <w:p w14:paraId="378960E3" w14:textId="32841359" w:rsidR="0081485A" w:rsidRPr="00662906" w:rsidRDefault="0081485A" w:rsidP="00674329">
            <w:pPr>
              <w:spacing w:after="0"/>
              <w:rPr>
                <w:rFonts w:cs="Arial"/>
              </w:rPr>
            </w:pPr>
            <w:r w:rsidRPr="00662906">
              <w:rPr>
                <w:rFonts w:cs="Arial"/>
              </w:rPr>
              <w:t xml:space="preserve">Gross </w:t>
            </w:r>
            <w:r w:rsidR="00704B68" w:rsidRPr="00662906">
              <w:rPr>
                <w:rFonts w:cs="Arial"/>
              </w:rPr>
              <w:t>D</w:t>
            </w:r>
            <w:r w:rsidRPr="00662906">
              <w:rPr>
                <w:rFonts w:cs="Arial"/>
              </w:rPr>
              <w:t xml:space="preserve">omestic </w:t>
            </w:r>
            <w:r w:rsidR="00704B68" w:rsidRPr="00662906">
              <w:rPr>
                <w:rFonts w:cs="Arial"/>
              </w:rPr>
              <w:t>P</w:t>
            </w:r>
            <w:r w:rsidRPr="00662906">
              <w:rPr>
                <w:rFonts w:cs="Arial"/>
              </w:rPr>
              <w:t>roduct</w:t>
            </w:r>
          </w:p>
        </w:tc>
      </w:tr>
      <w:tr w:rsidR="0081485A" w:rsidRPr="00662906" w14:paraId="01FA91F2" w14:textId="77777777" w:rsidTr="2D9E25B5">
        <w:trPr>
          <w:trHeight w:val="318"/>
        </w:trPr>
        <w:tc>
          <w:tcPr>
            <w:tcW w:w="1620" w:type="dxa"/>
            <w:vAlign w:val="center"/>
          </w:tcPr>
          <w:p w14:paraId="58246C59" w14:textId="77777777" w:rsidR="0081485A" w:rsidRPr="00662906" w:rsidRDefault="0081485A" w:rsidP="00705585">
            <w:pPr>
              <w:spacing w:after="0"/>
              <w:jc w:val="left"/>
              <w:rPr>
                <w:rFonts w:cs="Arial"/>
              </w:rPr>
            </w:pPr>
            <w:r w:rsidRPr="00662906">
              <w:rPr>
                <w:rFonts w:cs="Arial"/>
              </w:rPr>
              <w:t>GH</w:t>
            </w:r>
            <w:r w:rsidRPr="00662906">
              <w:rPr>
                <w:rFonts w:cs="Arial"/>
                <w:vertAlign w:val="subscript"/>
              </w:rPr>
              <w:t>2</w:t>
            </w:r>
          </w:p>
        </w:tc>
        <w:tc>
          <w:tcPr>
            <w:tcW w:w="7415" w:type="dxa"/>
            <w:vAlign w:val="center"/>
          </w:tcPr>
          <w:p w14:paraId="085D650E" w14:textId="77777777" w:rsidR="0081485A" w:rsidRPr="00662906" w:rsidRDefault="0081485A" w:rsidP="00674329">
            <w:pPr>
              <w:spacing w:after="0"/>
              <w:rPr>
                <w:rFonts w:cs="Arial"/>
              </w:rPr>
            </w:pPr>
            <w:r w:rsidRPr="00662906">
              <w:rPr>
                <w:rFonts w:cs="Arial"/>
              </w:rPr>
              <w:t>Green Hydrogen</w:t>
            </w:r>
          </w:p>
        </w:tc>
      </w:tr>
      <w:tr w:rsidR="0081485A" w:rsidRPr="00662906" w14:paraId="50EF7D90" w14:textId="77777777" w:rsidTr="2D9E25B5">
        <w:trPr>
          <w:trHeight w:val="318"/>
        </w:trPr>
        <w:tc>
          <w:tcPr>
            <w:tcW w:w="1620" w:type="dxa"/>
            <w:vAlign w:val="center"/>
          </w:tcPr>
          <w:p w14:paraId="04BDABD0" w14:textId="77777777" w:rsidR="0081485A" w:rsidRPr="00662906" w:rsidRDefault="0081485A" w:rsidP="00705585">
            <w:pPr>
              <w:spacing w:after="0"/>
              <w:jc w:val="left"/>
              <w:rPr>
                <w:rFonts w:cs="Arial"/>
              </w:rPr>
            </w:pPr>
            <w:r w:rsidRPr="00662906">
              <w:rPr>
                <w:rFonts w:cs="Arial"/>
              </w:rPr>
              <w:t>GHG</w:t>
            </w:r>
          </w:p>
        </w:tc>
        <w:tc>
          <w:tcPr>
            <w:tcW w:w="7415" w:type="dxa"/>
            <w:vAlign w:val="center"/>
          </w:tcPr>
          <w:p w14:paraId="7B74F532" w14:textId="77777777" w:rsidR="0081485A" w:rsidRPr="00662906" w:rsidRDefault="0081485A" w:rsidP="00674329">
            <w:pPr>
              <w:spacing w:after="0"/>
              <w:rPr>
                <w:rFonts w:cs="Arial"/>
              </w:rPr>
            </w:pPr>
            <w:r w:rsidRPr="00662906">
              <w:rPr>
                <w:rFonts w:cs="Arial"/>
              </w:rPr>
              <w:t>Greenhouse Gas</w:t>
            </w:r>
          </w:p>
        </w:tc>
      </w:tr>
      <w:tr w:rsidR="00950B91" w:rsidRPr="00662906" w14:paraId="204452DE" w14:textId="77777777" w:rsidTr="2D9E25B5">
        <w:trPr>
          <w:trHeight w:val="318"/>
        </w:trPr>
        <w:tc>
          <w:tcPr>
            <w:tcW w:w="1620" w:type="dxa"/>
            <w:vAlign w:val="center"/>
          </w:tcPr>
          <w:p w14:paraId="23512102" w14:textId="46D65CD7" w:rsidR="00950B91" w:rsidRPr="00662906" w:rsidRDefault="00950B91" w:rsidP="00705585">
            <w:pPr>
              <w:spacing w:after="0"/>
              <w:jc w:val="left"/>
              <w:rPr>
                <w:rFonts w:cs="Arial"/>
              </w:rPr>
            </w:pPr>
            <w:r w:rsidRPr="00662906">
              <w:rPr>
                <w:rFonts w:cs="Arial"/>
              </w:rPr>
              <w:t>Gt</w:t>
            </w:r>
          </w:p>
        </w:tc>
        <w:tc>
          <w:tcPr>
            <w:tcW w:w="7415" w:type="dxa"/>
            <w:vAlign w:val="center"/>
          </w:tcPr>
          <w:p w14:paraId="7A6C1A92" w14:textId="3A401C34" w:rsidR="00950B91" w:rsidRPr="00662906" w:rsidRDefault="00950B91" w:rsidP="00674329">
            <w:pPr>
              <w:spacing w:after="0"/>
              <w:rPr>
                <w:rFonts w:cs="Arial"/>
              </w:rPr>
            </w:pPr>
            <w:r w:rsidRPr="00662906">
              <w:rPr>
                <w:rFonts w:cs="Arial"/>
              </w:rPr>
              <w:t>Gigaton</w:t>
            </w:r>
          </w:p>
        </w:tc>
      </w:tr>
      <w:tr w:rsidR="0081485A" w:rsidRPr="00662906" w14:paraId="12BEA231" w14:textId="77777777" w:rsidTr="2D9E25B5">
        <w:trPr>
          <w:trHeight w:val="318"/>
        </w:trPr>
        <w:tc>
          <w:tcPr>
            <w:tcW w:w="1620" w:type="dxa"/>
            <w:vAlign w:val="center"/>
          </w:tcPr>
          <w:p w14:paraId="60BE2D39" w14:textId="77777777" w:rsidR="0081485A" w:rsidRPr="00662906" w:rsidRDefault="0081485A" w:rsidP="00705585">
            <w:pPr>
              <w:spacing w:after="0"/>
              <w:jc w:val="left"/>
              <w:rPr>
                <w:rFonts w:cs="Arial"/>
              </w:rPr>
            </w:pPr>
            <w:r w:rsidRPr="00662906">
              <w:rPr>
                <w:rFonts w:cs="Arial"/>
              </w:rPr>
              <w:t>GW</w:t>
            </w:r>
          </w:p>
        </w:tc>
        <w:tc>
          <w:tcPr>
            <w:tcW w:w="7415" w:type="dxa"/>
            <w:vAlign w:val="center"/>
          </w:tcPr>
          <w:p w14:paraId="7AD9DB4A" w14:textId="77777777" w:rsidR="0081485A" w:rsidRPr="00662906" w:rsidRDefault="0081485A" w:rsidP="00674329">
            <w:pPr>
              <w:spacing w:after="0"/>
              <w:rPr>
                <w:rFonts w:cs="Arial"/>
              </w:rPr>
            </w:pPr>
            <w:r w:rsidRPr="00662906">
              <w:rPr>
                <w:rFonts w:cs="Arial"/>
              </w:rPr>
              <w:t>Gigawatt</w:t>
            </w:r>
          </w:p>
        </w:tc>
      </w:tr>
      <w:tr w:rsidR="007E574D" w:rsidRPr="00662906" w14:paraId="4A2A4446" w14:textId="77777777" w:rsidTr="2D9E25B5">
        <w:trPr>
          <w:trHeight w:val="318"/>
        </w:trPr>
        <w:tc>
          <w:tcPr>
            <w:tcW w:w="1620" w:type="dxa"/>
            <w:vAlign w:val="center"/>
          </w:tcPr>
          <w:p w14:paraId="1F37E29F" w14:textId="528A1768" w:rsidR="007E574D" w:rsidRPr="00662906" w:rsidRDefault="007E574D" w:rsidP="00705585">
            <w:pPr>
              <w:spacing w:after="0"/>
              <w:jc w:val="left"/>
              <w:rPr>
                <w:rFonts w:cs="Arial"/>
              </w:rPr>
            </w:pPr>
            <w:r w:rsidRPr="00662906">
              <w:rPr>
                <w:rFonts w:eastAsia="Arial" w:cs="Arial"/>
              </w:rPr>
              <w:lastRenderedPageBreak/>
              <w:t>GWh</w:t>
            </w:r>
          </w:p>
        </w:tc>
        <w:tc>
          <w:tcPr>
            <w:tcW w:w="7415" w:type="dxa"/>
            <w:vAlign w:val="center"/>
          </w:tcPr>
          <w:p w14:paraId="3DFDBC36" w14:textId="03CC7963" w:rsidR="007E574D" w:rsidRPr="00662906" w:rsidRDefault="007E574D" w:rsidP="00674329">
            <w:pPr>
              <w:spacing w:after="0"/>
              <w:rPr>
                <w:rFonts w:cs="Arial"/>
              </w:rPr>
            </w:pPr>
            <w:r w:rsidRPr="00662906">
              <w:rPr>
                <w:rFonts w:cs="Arial"/>
              </w:rPr>
              <w:t>Gigawatt hour</w:t>
            </w:r>
          </w:p>
        </w:tc>
      </w:tr>
      <w:tr w:rsidR="003E3A2C" w:rsidRPr="00662906" w14:paraId="6030B402" w14:textId="77777777" w:rsidTr="2D9E25B5">
        <w:trPr>
          <w:trHeight w:val="318"/>
        </w:trPr>
        <w:tc>
          <w:tcPr>
            <w:tcW w:w="1620" w:type="dxa"/>
            <w:vAlign w:val="center"/>
          </w:tcPr>
          <w:p w14:paraId="76074DC9" w14:textId="5C634FF8" w:rsidR="003E3A2C" w:rsidRPr="00662906" w:rsidRDefault="003E3A2C" w:rsidP="00705585">
            <w:pPr>
              <w:spacing w:after="0"/>
              <w:jc w:val="left"/>
              <w:rPr>
                <w:rFonts w:eastAsia="Arial" w:cs="Arial"/>
              </w:rPr>
            </w:pPr>
            <w:r w:rsidRPr="00662906">
              <w:rPr>
                <w:rFonts w:eastAsia="Arial" w:cs="Arial"/>
              </w:rPr>
              <w:t>HVAC</w:t>
            </w:r>
          </w:p>
        </w:tc>
        <w:tc>
          <w:tcPr>
            <w:tcW w:w="7415" w:type="dxa"/>
            <w:vAlign w:val="center"/>
          </w:tcPr>
          <w:p w14:paraId="114005F1" w14:textId="344DAE18" w:rsidR="003E3A2C" w:rsidRPr="00662906" w:rsidRDefault="003E3A2C" w:rsidP="00674329">
            <w:pPr>
              <w:spacing w:after="0"/>
              <w:rPr>
                <w:rFonts w:cs="Arial"/>
              </w:rPr>
            </w:pPr>
            <w:r w:rsidRPr="00662906">
              <w:rPr>
                <w:rFonts w:cs="Arial"/>
              </w:rPr>
              <w:t>Heating, ventilation, and air conditioning</w:t>
            </w:r>
          </w:p>
        </w:tc>
      </w:tr>
      <w:tr w:rsidR="00232D97" w:rsidRPr="00662906" w14:paraId="3975B3EC" w14:textId="77777777" w:rsidTr="2D9E25B5">
        <w:trPr>
          <w:trHeight w:val="318"/>
        </w:trPr>
        <w:tc>
          <w:tcPr>
            <w:tcW w:w="1620" w:type="dxa"/>
            <w:vAlign w:val="center"/>
          </w:tcPr>
          <w:p w14:paraId="24D3AA96" w14:textId="526EA68E" w:rsidR="00232D97" w:rsidRPr="00662906" w:rsidRDefault="00232D97" w:rsidP="00705585">
            <w:pPr>
              <w:spacing w:after="0"/>
              <w:jc w:val="left"/>
              <w:rPr>
                <w:rFonts w:cs="Arial"/>
              </w:rPr>
            </w:pPr>
            <w:r w:rsidRPr="00662906">
              <w:rPr>
                <w:rFonts w:eastAsia="Arial" w:cs="Arial"/>
              </w:rPr>
              <w:t>ICCT</w:t>
            </w:r>
          </w:p>
        </w:tc>
        <w:tc>
          <w:tcPr>
            <w:tcW w:w="7415" w:type="dxa"/>
          </w:tcPr>
          <w:p w14:paraId="6744120F" w14:textId="780466BB" w:rsidR="00232D97" w:rsidRPr="00662906" w:rsidRDefault="00232D97" w:rsidP="00674329">
            <w:pPr>
              <w:spacing w:after="0"/>
              <w:rPr>
                <w:rFonts w:cs="Arial"/>
              </w:rPr>
            </w:pPr>
            <w:r w:rsidRPr="00662906">
              <w:rPr>
                <w:rFonts w:eastAsia="Arial" w:cs="Arial"/>
              </w:rPr>
              <w:t xml:space="preserve">International Council on Clean Transportation </w:t>
            </w:r>
          </w:p>
        </w:tc>
      </w:tr>
      <w:tr w:rsidR="00232D97" w:rsidRPr="00662906" w14:paraId="14B7DFFB" w14:textId="77777777" w:rsidTr="2D9E25B5">
        <w:trPr>
          <w:trHeight w:val="318"/>
        </w:trPr>
        <w:tc>
          <w:tcPr>
            <w:tcW w:w="1620" w:type="dxa"/>
            <w:vAlign w:val="center"/>
          </w:tcPr>
          <w:p w14:paraId="1F3F039A" w14:textId="50C1CEDC" w:rsidR="00232D97" w:rsidRPr="00662906" w:rsidRDefault="00232D97" w:rsidP="00705585">
            <w:pPr>
              <w:spacing w:after="0"/>
              <w:jc w:val="left"/>
              <w:rPr>
                <w:rFonts w:cs="Arial"/>
              </w:rPr>
            </w:pPr>
            <w:r w:rsidRPr="00662906">
              <w:rPr>
                <w:rFonts w:cs="Arial"/>
              </w:rPr>
              <w:t>ICT</w:t>
            </w:r>
          </w:p>
        </w:tc>
        <w:tc>
          <w:tcPr>
            <w:tcW w:w="7415" w:type="dxa"/>
            <w:vAlign w:val="center"/>
          </w:tcPr>
          <w:p w14:paraId="4F79F4F9" w14:textId="713E2E31" w:rsidR="00232D97" w:rsidRPr="00662906" w:rsidRDefault="00232D97" w:rsidP="00674329">
            <w:pPr>
              <w:spacing w:after="0"/>
              <w:rPr>
                <w:rFonts w:cs="Arial"/>
              </w:rPr>
            </w:pPr>
            <w:r w:rsidRPr="00662906">
              <w:rPr>
                <w:rFonts w:cs="Arial"/>
              </w:rPr>
              <w:t>Information and Communication Technology</w:t>
            </w:r>
          </w:p>
        </w:tc>
      </w:tr>
      <w:tr w:rsidR="00232D97" w:rsidRPr="00662906" w14:paraId="7D42FF85" w14:textId="77777777" w:rsidTr="2D9E25B5">
        <w:trPr>
          <w:trHeight w:val="318"/>
        </w:trPr>
        <w:tc>
          <w:tcPr>
            <w:tcW w:w="1620" w:type="dxa"/>
            <w:vAlign w:val="center"/>
          </w:tcPr>
          <w:p w14:paraId="0AB34035" w14:textId="77777777" w:rsidR="00232D97" w:rsidRPr="00662906" w:rsidRDefault="00232D97" w:rsidP="00705585">
            <w:pPr>
              <w:spacing w:after="0"/>
              <w:jc w:val="left"/>
              <w:rPr>
                <w:rFonts w:cs="Arial"/>
              </w:rPr>
            </w:pPr>
            <w:r w:rsidRPr="00662906">
              <w:rPr>
                <w:rFonts w:cs="Arial"/>
              </w:rPr>
              <w:t>IEA</w:t>
            </w:r>
          </w:p>
        </w:tc>
        <w:tc>
          <w:tcPr>
            <w:tcW w:w="7415" w:type="dxa"/>
            <w:vAlign w:val="center"/>
          </w:tcPr>
          <w:p w14:paraId="19B2D931" w14:textId="77777777" w:rsidR="00232D97" w:rsidRPr="00662906" w:rsidRDefault="00232D97" w:rsidP="00674329">
            <w:pPr>
              <w:spacing w:after="0"/>
              <w:rPr>
                <w:rFonts w:cs="Arial"/>
              </w:rPr>
            </w:pPr>
            <w:r w:rsidRPr="00662906">
              <w:rPr>
                <w:rFonts w:cs="Arial"/>
              </w:rPr>
              <w:t>International Energy Agency</w:t>
            </w:r>
          </w:p>
        </w:tc>
      </w:tr>
      <w:tr w:rsidR="002752BD" w:rsidRPr="00662906" w14:paraId="474103DE" w14:textId="77777777" w:rsidTr="2D9E25B5">
        <w:trPr>
          <w:trHeight w:val="318"/>
        </w:trPr>
        <w:tc>
          <w:tcPr>
            <w:tcW w:w="1620" w:type="dxa"/>
            <w:vAlign w:val="center"/>
          </w:tcPr>
          <w:p w14:paraId="305DEFEC" w14:textId="2EAEE09F" w:rsidR="002752BD" w:rsidRPr="00662906" w:rsidRDefault="002752BD" w:rsidP="00705585">
            <w:pPr>
              <w:spacing w:after="0"/>
              <w:jc w:val="left"/>
              <w:rPr>
                <w:rFonts w:cs="Arial"/>
              </w:rPr>
            </w:pPr>
            <w:r w:rsidRPr="00662906">
              <w:rPr>
                <w:rFonts w:cs="Arial"/>
              </w:rPr>
              <w:t>IEE</w:t>
            </w:r>
          </w:p>
        </w:tc>
        <w:tc>
          <w:tcPr>
            <w:tcW w:w="7415" w:type="dxa"/>
            <w:vAlign w:val="center"/>
          </w:tcPr>
          <w:p w14:paraId="1ECA057B" w14:textId="1CC93A0A" w:rsidR="002752BD" w:rsidRPr="00662906" w:rsidRDefault="002752BD" w:rsidP="00674329">
            <w:pPr>
              <w:spacing w:after="0"/>
              <w:rPr>
                <w:rFonts w:cs="Arial"/>
              </w:rPr>
            </w:pPr>
            <w:r w:rsidRPr="00662906">
              <w:rPr>
                <w:rFonts w:cs="Arial"/>
              </w:rPr>
              <w:t>Industry Energy Efficiency</w:t>
            </w:r>
          </w:p>
        </w:tc>
      </w:tr>
      <w:tr w:rsidR="00366368" w:rsidRPr="00662906" w14:paraId="468909C7" w14:textId="77777777" w:rsidTr="2D9E25B5">
        <w:trPr>
          <w:trHeight w:val="318"/>
        </w:trPr>
        <w:tc>
          <w:tcPr>
            <w:tcW w:w="1620" w:type="dxa"/>
            <w:vAlign w:val="center"/>
          </w:tcPr>
          <w:p w14:paraId="203F24E6" w14:textId="4BB0BE00" w:rsidR="00366368" w:rsidRPr="00662906" w:rsidRDefault="00366368" w:rsidP="00705585">
            <w:pPr>
              <w:spacing w:after="0"/>
              <w:jc w:val="left"/>
              <w:rPr>
                <w:rFonts w:cs="Arial"/>
              </w:rPr>
            </w:pPr>
            <w:r w:rsidRPr="00662906">
              <w:rPr>
                <w:rFonts w:cs="Arial"/>
              </w:rPr>
              <w:t>IFAD</w:t>
            </w:r>
          </w:p>
        </w:tc>
        <w:tc>
          <w:tcPr>
            <w:tcW w:w="7415" w:type="dxa"/>
            <w:vAlign w:val="center"/>
          </w:tcPr>
          <w:p w14:paraId="31773DC2" w14:textId="6F52F48F" w:rsidR="00366368" w:rsidRPr="00662906" w:rsidRDefault="00366368" w:rsidP="00674329">
            <w:pPr>
              <w:spacing w:after="0"/>
              <w:rPr>
                <w:rFonts w:cs="Arial"/>
              </w:rPr>
            </w:pPr>
            <w:r w:rsidRPr="00662906">
              <w:rPr>
                <w:rFonts w:cs="Arial"/>
              </w:rPr>
              <w:t>International Fund for Agricultural Development</w:t>
            </w:r>
          </w:p>
        </w:tc>
      </w:tr>
      <w:tr w:rsidR="00232D97" w:rsidRPr="00662906" w14:paraId="1589996A" w14:textId="77777777" w:rsidTr="2D9E25B5">
        <w:trPr>
          <w:trHeight w:val="318"/>
        </w:trPr>
        <w:tc>
          <w:tcPr>
            <w:tcW w:w="1620" w:type="dxa"/>
            <w:vAlign w:val="center"/>
          </w:tcPr>
          <w:p w14:paraId="0E517F8A" w14:textId="77777777" w:rsidR="00232D97" w:rsidRPr="00662906" w:rsidRDefault="00232D97" w:rsidP="00705585">
            <w:pPr>
              <w:spacing w:after="0"/>
              <w:jc w:val="left"/>
              <w:rPr>
                <w:rFonts w:cs="Arial"/>
              </w:rPr>
            </w:pPr>
            <w:r w:rsidRPr="00662906">
              <w:rPr>
                <w:rFonts w:cs="Arial"/>
              </w:rPr>
              <w:t>IFC</w:t>
            </w:r>
          </w:p>
        </w:tc>
        <w:tc>
          <w:tcPr>
            <w:tcW w:w="7415" w:type="dxa"/>
            <w:vAlign w:val="center"/>
          </w:tcPr>
          <w:p w14:paraId="67968C19" w14:textId="77777777" w:rsidR="00232D97" w:rsidRPr="00662906" w:rsidRDefault="00232D97" w:rsidP="00674329">
            <w:pPr>
              <w:spacing w:after="0"/>
              <w:rPr>
                <w:rFonts w:cs="Arial"/>
              </w:rPr>
            </w:pPr>
            <w:r w:rsidRPr="00662906">
              <w:rPr>
                <w:rFonts w:cs="Arial"/>
              </w:rPr>
              <w:t>International Finance Corporation</w:t>
            </w:r>
          </w:p>
        </w:tc>
      </w:tr>
      <w:tr w:rsidR="00757398" w:rsidRPr="00662906" w14:paraId="528E6F82" w14:textId="77777777" w:rsidTr="2D9E25B5">
        <w:trPr>
          <w:trHeight w:val="318"/>
        </w:trPr>
        <w:tc>
          <w:tcPr>
            <w:tcW w:w="1620" w:type="dxa"/>
            <w:vAlign w:val="center"/>
          </w:tcPr>
          <w:p w14:paraId="571237A2" w14:textId="33F3CB00" w:rsidR="00757398" w:rsidRPr="00662906" w:rsidRDefault="00757398" w:rsidP="00705585">
            <w:pPr>
              <w:spacing w:after="0"/>
              <w:jc w:val="left"/>
              <w:rPr>
                <w:rFonts w:cs="Arial"/>
              </w:rPr>
            </w:pPr>
            <w:r w:rsidRPr="00662906">
              <w:rPr>
                <w:rFonts w:cs="Arial"/>
              </w:rPr>
              <w:t>IFI</w:t>
            </w:r>
            <w:r w:rsidR="000D4C2E" w:rsidRPr="00662906">
              <w:rPr>
                <w:rFonts w:cs="Arial"/>
              </w:rPr>
              <w:t>s</w:t>
            </w:r>
          </w:p>
        </w:tc>
        <w:tc>
          <w:tcPr>
            <w:tcW w:w="7415" w:type="dxa"/>
            <w:vAlign w:val="center"/>
          </w:tcPr>
          <w:p w14:paraId="70ED16BE" w14:textId="2912B804" w:rsidR="00757398" w:rsidRPr="00662906" w:rsidRDefault="00D41CCF" w:rsidP="00674329">
            <w:pPr>
              <w:spacing w:after="0"/>
              <w:rPr>
                <w:rFonts w:cs="Arial"/>
                <w:b/>
                <w:bCs/>
              </w:rPr>
            </w:pPr>
            <w:r w:rsidRPr="00662906">
              <w:rPr>
                <w:rFonts w:cs="Arial"/>
              </w:rPr>
              <w:t>International Financing Institutions</w:t>
            </w:r>
          </w:p>
        </w:tc>
      </w:tr>
      <w:tr w:rsidR="00232D97" w:rsidRPr="00662906" w14:paraId="6854BE83" w14:textId="77777777" w:rsidTr="2D9E25B5">
        <w:trPr>
          <w:trHeight w:val="318"/>
        </w:trPr>
        <w:tc>
          <w:tcPr>
            <w:tcW w:w="1620" w:type="dxa"/>
            <w:vAlign w:val="center"/>
          </w:tcPr>
          <w:p w14:paraId="53116C12" w14:textId="77777777" w:rsidR="00232D97" w:rsidRPr="00662906" w:rsidRDefault="00232D97" w:rsidP="00705585">
            <w:pPr>
              <w:spacing w:after="0"/>
              <w:jc w:val="left"/>
              <w:rPr>
                <w:rFonts w:cs="Arial"/>
              </w:rPr>
            </w:pPr>
            <w:r w:rsidRPr="00662906">
              <w:rPr>
                <w:rFonts w:cs="Arial"/>
              </w:rPr>
              <w:t>IOCs</w:t>
            </w:r>
          </w:p>
        </w:tc>
        <w:tc>
          <w:tcPr>
            <w:tcW w:w="7415" w:type="dxa"/>
            <w:vAlign w:val="center"/>
          </w:tcPr>
          <w:p w14:paraId="5E6BCAED" w14:textId="77777777" w:rsidR="00232D97" w:rsidRPr="00662906" w:rsidRDefault="00232D97" w:rsidP="00674329">
            <w:pPr>
              <w:spacing w:after="0"/>
              <w:rPr>
                <w:rFonts w:cs="Arial"/>
              </w:rPr>
            </w:pPr>
            <w:r w:rsidRPr="00662906">
              <w:rPr>
                <w:rFonts w:cs="Arial"/>
              </w:rPr>
              <w:t xml:space="preserve">International Oil Companies </w:t>
            </w:r>
          </w:p>
        </w:tc>
      </w:tr>
      <w:tr w:rsidR="00232D97" w:rsidRPr="00662906" w14:paraId="504F11FA" w14:textId="77777777" w:rsidTr="2D9E25B5">
        <w:trPr>
          <w:trHeight w:val="318"/>
        </w:trPr>
        <w:tc>
          <w:tcPr>
            <w:tcW w:w="1620" w:type="dxa"/>
            <w:vAlign w:val="center"/>
          </w:tcPr>
          <w:p w14:paraId="48C0A3B3" w14:textId="4A725FA8" w:rsidR="00232D97" w:rsidRPr="00662906" w:rsidRDefault="00232D97" w:rsidP="00705585">
            <w:pPr>
              <w:spacing w:after="0"/>
              <w:jc w:val="left"/>
              <w:rPr>
                <w:rFonts w:cs="Arial"/>
              </w:rPr>
            </w:pPr>
            <w:r w:rsidRPr="00662906">
              <w:rPr>
                <w:rFonts w:cs="Arial"/>
              </w:rPr>
              <w:t>IoT</w:t>
            </w:r>
          </w:p>
        </w:tc>
        <w:tc>
          <w:tcPr>
            <w:tcW w:w="7415" w:type="dxa"/>
            <w:vAlign w:val="center"/>
          </w:tcPr>
          <w:p w14:paraId="2154E12C" w14:textId="664FD852" w:rsidR="00232D97" w:rsidRPr="00662906" w:rsidRDefault="00232D97" w:rsidP="00674329">
            <w:pPr>
              <w:spacing w:after="0"/>
              <w:rPr>
                <w:rFonts w:cs="Arial"/>
              </w:rPr>
            </w:pPr>
            <w:r w:rsidRPr="00662906">
              <w:rPr>
                <w:rFonts w:cs="Arial"/>
              </w:rPr>
              <w:t>Internet of Things</w:t>
            </w:r>
          </w:p>
        </w:tc>
      </w:tr>
      <w:tr w:rsidR="00F35296" w:rsidRPr="00662906" w14:paraId="71CEC4B2" w14:textId="77777777" w:rsidTr="2D9E25B5">
        <w:trPr>
          <w:trHeight w:val="318"/>
        </w:trPr>
        <w:tc>
          <w:tcPr>
            <w:tcW w:w="1620" w:type="dxa"/>
            <w:vAlign w:val="center"/>
          </w:tcPr>
          <w:p w14:paraId="7FC57A2A" w14:textId="72C79E41" w:rsidR="00F35296" w:rsidRPr="00662906" w:rsidRDefault="00F35296" w:rsidP="00705585">
            <w:pPr>
              <w:spacing w:after="0"/>
              <w:jc w:val="left"/>
              <w:rPr>
                <w:rFonts w:cs="Arial"/>
              </w:rPr>
            </w:pPr>
            <w:r w:rsidRPr="00662906">
              <w:rPr>
                <w:rFonts w:cs="Arial"/>
              </w:rPr>
              <w:t>IPP</w:t>
            </w:r>
          </w:p>
        </w:tc>
        <w:tc>
          <w:tcPr>
            <w:tcW w:w="7415" w:type="dxa"/>
            <w:vAlign w:val="center"/>
          </w:tcPr>
          <w:p w14:paraId="55ECA04E" w14:textId="15308BD1" w:rsidR="00F35296" w:rsidRPr="00662906" w:rsidRDefault="00AB79DA" w:rsidP="00674329">
            <w:pPr>
              <w:spacing w:after="0"/>
              <w:rPr>
                <w:rFonts w:cs="Arial"/>
              </w:rPr>
            </w:pPr>
            <w:r w:rsidRPr="00662906">
              <w:rPr>
                <w:rFonts w:cs="Arial"/>
              </w:rPr>
              <w:t>Independent Power Producer</w:t>
            </w:r>
          </w:p>
        </w:tc>
      </w:tr>
      <w:tr w:rsidR="00F44162" w:rsidRPr="00662906" w14:paraId="45C7B31F" w14:textId="77777777" w:rsidTr="2D9E25B5">
        <w:trPr>
          <w:trHeight w:val="318"/>
        </w:trPr>
        <w:tc>
          <w:tcPr>
            <w:tcW w:w="1620" w:type="dxa"/>
            <w:vAlign w:val="center"/>
          </w:tcPr>
          <w:p w14:paraId="38E94B72" w14:textId="3D91DBF8" w:rsidR="00F44162" w:rsidRPr="00662906" w:rsidRDefault="00F44162" w:rsidP="00705585">
            <w:pPr>
              <w:spacing w:after="0"/>
              <w:jc w:val="left"/>
              <w:rPr>
                <w:rFonts w:cs="Arial"/>
              </w:rPr>
            </w:pPr>
            <w:r w:rsidRPr="00662906">
              <w:rPr>
                <w:rFonts w:cs="Arial"/>
              </w:rPr>
              <w:t>IRENA</w:t>
            </w:r>
          </w:p>
        </w:tc>
        <w:tc>
          <w:tcPr>
            <w:tcW w:w="7415" w:type="dxa"/>
            <w:vAlign w:val="center"/>
          </w:tcPr>
          <w:p w14:paraId="6900263C" w14:textId="18E95E4B" w:rsidR="00F44162" w:rsidRPr="00662906" w:rsidRDefault="00F44162" w:rsidP="00674329">
            <w:pPr>
              <w:spacing w:after="0"/>
              <w:rPr>
                <w:rFonts w:cs="Arial"/>
              </w:rPr>
            </w:pPr>
            <w:r w:rsidRPr="00662906">
              <w:rPr>
                <w:rFonts w:cs="Arial"/>
              </w:rPr>
              <w:t>International Renewable Energy Agency</w:t>
            </w:r>
          </w:p>
        </w:tc>
      </w:tr>
      <w:tr w:rsidR="00780B75" w:rsidRPr="00662906" w14:paraId="039EBACB" w14:textId="77777777" w:rsidTr="2D9E25B5">
        <w:trPr>
          <w:trHeight w:val="318"/>
        </w:trPr>
        <w:tc>
          <w:tcPr>
            <w:tcW w:w="1620" w:type="dxa"/>
            <w:vAlign w:val="center"/>
          </w:tcPr>
          <w:p w14:paraId="351935C1" w14:textId="05F1A7C7" w:rsidR="00780B75" w:rsidRPr="00662906" w:rsidRDefault="00780B75" w:rsidP="00705585">
            <w:pPr>
              <w:spacing w:after="0"/>
              <w:jc w:val="left"/>
              <w:rPr>
                <w:rFonts w:cs="Arial"/>
              </w:rPr>
            </w:pPr>
            <w:r w:rsidRPr="00662906">
              <w:rPr>
                <w:rFonts w:cs="Arial"/>
              </w:rPr>
              <w:t>ISO</w:t>
            </w:r>
          </w:p>
        </w:tc>
        <w:tc>
          <w:tcPr>
            <w:tcW w:w="7415" w:type="dxa"/>
            <w:vAlign w:val="center"/>
          </w:tcPr>
          <w:p w14:paraId="233000E3" w14:textId="3DB7949D" w:rsidR="00780B75" w:rsidRPr="00662906" w:rsidRDefault="00780B75" w:rsidP="00674329">
            <w:pPr>
              <w:spacing w:after="0"/>
              <w:rPr>
                <w:rFonts w:cs="Arial"/>
              </w:rPr>
            </w:pPr>
            <w:r w:rsidRPr="00662906">
              <w:rPr>
                <w:rFonts w:cs="Arial"/>
              </w:rPr>
              <w:t>International Standards Organization</w:t>
            </w:r>
          </w:p>
        </w:tc>
      </w:tr>
      <w:tr w:rsidR="00AE0C44" w:rsidRPr="00662906" w14:paraId="234431E0" w14:textId="77777777" w:rsidTr="2D9E25B5">
        <w:trPr>
          <w:trHeight w:val="318"/>
        </w:trPr>
        <w:tc>
          <w:tcPr>
            <w:tcW w:w="1620" w:type="dxa"/>
            <w:vAlign w:val="center"/>
          </w:tcPr>
          <w:p w14:paraId="46618CB5" w14:textId="72AE9423" w:rsidR="00AE0C44" w:rsidRPr="00662906" w:rsidRDefault="00AE0C44" w:rsidP="00705585">
            <w:pPr>
              <w:spacing w:after="0"/>
              <w:jc w:val="left"/>
              <w:rPr>
                <w:rFonts w:cs="Arial"/>
              </w:rPr>
            </w:pPr>
            <w:r w:rsidRPr="00662906">
              <w:rPr>
                <w:rFonts w:cs="Arial"/>
              </w:rPr>
              <w:t>IT</w:t>
            </w:r>
          </w:p>
        </w:tc>
        <w:tc>
          <w:tcPr>
            <w:tcW w:w="7415" w:type="dxa"/>
            <w:vAlign w:val="center"/>
          </w:tcPr>
          <w:p w14:paraId="275FDA3E" w14:textId="1F04E21F" w:rsidR="00AE0C44" w:rsidRPr="00662906" w:rsidRDefault="00AE0C44" w:rsidP="00674329">
            <w:pPr>
              <w:spacing w:after="0"/>
              <w:rPr>
                <w:rFonts w:cs="Arial"/>
              </w:rPr>
            </w:pPr>
            <w:r w:rsidRPr="00662906">
              <w:rPr>
                <w:rFonts w:cs="Arial"/>
              </w:rPr>
              <w:t xml:space="preserve">Information Technology </w:t>
            </w:r>
          </w:p>
        </w:tc>
      </w:tr>
      <w:tr w:rsidR="006C4FF8" w:rsidRPr="00662906" w14:paraId="5679449E" w14:textId="77777777" w:rsidTr="2D9E25B5">
        <w:trPr>
          <w:trHeight w:val="318"/>
        </w:trPr>
        <w:tc>
          <w:tcPr>
            <w:tcW w:w="1620" w:type="dxa"/>
            <w:vAlign w:val="center"/>
          </w:tcPr>
          <w:p w14:paraId="153486FA" w14:textId="3D498619" w:rsidR="006C4FF8" w:rsidRPr="00662906" w:rsidRDefault="006C4FF8" w:rsidP="00705585">
            <w:pPr>
              <w:spacing w:after="0"/>
              <w:jc w:val="left"/>
              <w:rPr>
                <w:rFonts w:cs="Arial"/>
              </w:rPr>
            </w:pPr>
            <w:r w:rsidRPr="00662906">
              <w:rPr>
                <w:rFonts w:cs="Arial"/>
              </w:rPr>
              <w:t>KPIs</w:t>
            </w:r>
          </w:p>
        </w:tc>
        <w:tc>
          <w:tcPr>
            <w:tcW w:w="7415" w:type="dxa"/>
            <w:vAlign w:val="center"/>
          </w:tcPr>
          <w:p w14:paraId="1B2ADD52" w14:textId="1001115E" w:rsidR="006C4FF8" w:rsidRPr="00662906" w:rsidRDefault="006C4FF8" w:rsidP="00674329">
            <w:pPr>
              <w:spacing w:after="0"/>
              <w:rPr>
                <w:rFonts w:cs="Arial"/>
              </w:rPr>
            </w:pPr>
            <w:r w:rsidRPr="00662906">
              <w:rPr>
                <w:rFonts w:cs="Arial"/>
              </w:rPr>
              <w:t>Key Performance Indicators</w:t>
            </w:r>
          </w:p>
        </w:tc>
      </w:tr>
      <w:tr w:rsidR="00401830" w:rsidRPr="00662906" w14:paraId="7AC50FD6" w14:textId="77777777" w:rsidTr="2D9E25B5">
        <w:trPr>
          <w:trHeight w:val="318"/>
        </w:trPr>
        <w:tc>
          <w:tcPr>
            <w:tcW w:w="1620" w:type="dxa"/>
            <w:vAlign w:val="center"/>
          </w:tcPr>
          <w:p w14:paraId="19C72A02" w14:textId="1785500B" w:rsidR="00401830" w:rsidRPr="00662906" w:rsidRDefault="00401830" w:rsidP="00705585">
            <w:pPr>
              <w:spacing w:after="0"/>
              <w:jc w:val="left"/>
              <w:rPr>
                <w:rFonts w:cs="Arial"/>
              </w:rPr>
            </w:pPr>
            <w:r w:rsidRPr="00662906">
              <w:rPr>
                <w:rFonts w:cs="Arial"/>
              </w:rPr>
              <w:t>LCAF</w:t>
            </w:r>
          </w:p>
        </w:tc>
        <w:tc>
          <w:tcPr>
            <w:tcW w:w="7415" w:type="dxa"/>
            <w:vAlign w:val="center"/>
          </w:tcPr>
          <w:p w14:paraId="08A3461A" w14:textId="36167C67" w:rsidR="00401830" w:rsidRPr="00662906" w:rsidRDefault="00401830" w:rsidP="00674329">
            <w:pPr>
              <w:spacing w:after="0"/>
              <w:rPr>
                <w:rFonts w:cs="Arial"/>
              </w:rPr>
            </w:pPr>
            <w:r w:rsidRPr="00662906">
              <w:rPr>
                <w:rFonts w:cs="Arial"/>
              </w:rPr>
              <w:t>Low Carbon Aviation Fuels</w:t>
            </w:r>
          </w:p>
        </w:tc>
      </w:tr>
      <w:tr w:rsidR="00F35296" w:rsidRPr="00662906" w14:paraId="41D5003B" w14:textId="77777777" w:rsidTr="2D9E25B5">
        <w:trPr>
          <w:trHeight w:val="318"/>
        </w:trPr>
        <w:tc>
          <w:tcPr>
            <w:tcW w:w="1620" w:type="dxa"/>
            <w:vAlign w:val="center"/>
          </w:tcPr>
          <w:p w14:paraId="7204E198" w14:textId="72D0152C" w:rsidR="00F35296" w:rsidRPr="00662906" w:rsidRDefault="00F35296" w:rsidP="00705585">
            <w:pPr>
              <w:spacing w:after="0"/>
              <w:jc w:val="left"/>
              <w:rPr>
                <w:rFonts w:cs="Arial"/>
              </w:rPr>
            </w:pPr>
            <w:r w:rsidRPr="00662906">
              <w:rPr>
                <w:rFonts w:cs="Arial"/>
              </w:rPr>
              <w:t>LCOE</w:t>
            </w:r>
          </w:p>
        </w:tc>
        <w:tc>
          <w:tcPr>
            <w:tcW w:w="7415" w:type="dxa"/>
            <w:vAlign w:val="center"/>
          </w:tcPr>
          <w:p w14:paraId="404F6B52" w14:textId="5CE8D2B7" w:rsidR="00F35296" w:rsidRPr="00662906" w:rsidRDefault="00F35296" w:rsidP="00674329">
            <w:pPr>
              <w:spacing w:after="0"/>
              <w:rPr>
                <w:rFonts w:cs="Arial"/>
              </w:rPr>
            </w:pPr>
            <w:r w:rsidRPr="00662906">
              <w:rPr>
                <w:rFonts w:cs="Arial"/>
              </w:rPr>
              <w:t>Levelized cost of electricity</w:t>
            </w:r>
          </w:p>
        </w:tc>
      </w:tr>
      <w:tr w:rsidR="00232D97" w:rsidRPr="00662906" w14:paraId="0D9833EF" w14:textId="77777777" w:rsidTr="2D9E25B5">
        <w:trPr>
          <w:trHeight w:val="318"/>
        </w:trPr>
        <w:tc>
          <w:tcPr>
            <w:tcW w:w="1620" w:type="dxa"/>
            <w:vAlign w:val="center"/>
          </w:tcPr>
          <w:p w14:paraId="199F851B" w14:textId="77777777" w:rsidR="00232D97" w:rsidRPr="00662906" w:rsidRDefault="00232D97" w:rsidP="00705585">
            <w:pPr>
              <w:spacing w:after="0"/>
              <w:jc w:val="left"/>
              <w:rPr>
                <w:rFonts w:cs="Arial"/>
              </w:rPr>
            </w:pPr>
            <w:r w:rsidRPr="00662906">
              <w:rPr>
                <w:rFonts w:cs="Arial"/>
              </w:rPr>
              <w:t>LNG</w:t>
            </w:r>
          </w:p>
        </w:tc>
        <w:tc>
          <w:tcPr>
            <w:tcW w:w="7415" w:type="dxa"/>
            <w:vAlign w:val="center"/>
          </w:tcPr>
          <w:p w14:paraId="17C221D2" w14:textId="77777777" w:rsidR="00232D97" w:rsidRPr="00662906" w:rsidRDefault="00232D97" w:rsidP="00674329">
            <w:pPr>
              <w:spacing w:after="0"/>
              <w:rPr>
                <w:rFonts w:cs="Arial"/>
              </w:rPr>
            </w:pPr>
            <w:bookmarkStart w:id="28" w:name="_Hlk171454411"/>
            <w:r w:rsidRPr="00662906">
              <w:rPr>
                <w:rFonts w:cs="Arial"/>
              </w:rPr>
              <w:t>Liquified Natural Gas</w:t>
            </w:r>
            <w:bookmarkEnd w:id="28"/>
          </w:p>
        </w:tc>
      </w:tr>
      <w:tr w:rsidR="00232D97" w:rsidRPr="00662906" w14:paraId="2EF5D5A4" w14:textId="77777777" w:rsidTr="2D9E25B5">
        <w:trPr>
          <w:trHeight w:val="318"/>
        </w:trPr>
        <w:tc>
          <w:tcPr>
            <w:tcW w:w="1620" w:type="dxa"/>
            <w:vAlign w:val="center"/>
          </w:tcPr>
          <w:p w14:paraId="230D059C" w14:textId="77777777" w:rsidR="00232D97" w:rsidRPr="00662906" w:rsidRDefault="00232D97" w:rsidP="00705585">
            <w:pPr>
              <w:spacing w:after="0"/>
              <w:jc w:val="left"/>
              <w:rPr>
                <w:rFonts w:cs="Arial"/>
              </w:rPr>
            </w:pPr>
            <w:r w:rsidRPr="00662906">
              <w:rPr>
                <w:rFonts w:cs="Arial"/>
              </w:rPr>
              <w:t>LPG</w:t>
            </w:r>
          </w:p>
        </w:tc>
        <w:tc>
          <w:tcPr>
            <w:tcW w:w="7415" w:type="dxa"/>
            <w:vAlign w:val="center"/>
          </w:tcPr>
          <w:p w14:paraId="459CE479" w14:textId="77777777" w:rsidR="00232D97" w:rsidRPr="00662906" w:rsidRDefault="00232D97" w:rsidP="00674329">
            <w:pPr>
              <w:spacing w:after="0"/>
              <w:rPr>
                <w:rFonts w:cs="Arial"/>
              </w:rPr>
            </w:pPr>
            <w:r w:rsidRPr="00662906">
              <w:rPr>
                <w:rFonts w:cs="Arial"/>
              </w:rPr>
              <w:t>Liquefied Petroleum Gas</w:t>
            </w:r>
          </w:p>
        </w:tc>
      </w:tr>
      <w:tr w:rsidR="001F5D44" w:rsidRPr="00662906" w14:paraId="5E13055A" w14:textId="77777777" w:rsidTr="2D9E25B5">
        <w:trPr>
          <w:trHeight w:val="318"/>
        </w:trPr>
        <w:tc>
          <w:tcPr>
            <w:tcW w:w="1620" w:type="dxa"/>
            <w:vAlign w:val="center"/>
          </w:tcPr>
          <w:p w14:paraId="0EF32BE8" w14:textId="40EB72B8" w:rsidR="001F5D44" w:rsidRPr="00662906" w:rsidRDefault="001F5D44" w:rsidP="00705585">
            <w:pPr>
              <w:spacing w:after="0"/>
              <w:jc w:val="left"/>
              <w:rPr>
                <w:rFonts w:cs="Arial"/>
              </w:rPr>
            </w:pPr>
            <w:r w:rsidRPr="00662906">
              <w:t>LULUCF</w:t>
            </w:r>
          </w:p>
        </w:tc>
        <w:tc>
          <w:tcPr>
            <w:tcW w:w="7415" w:type="dxa"/>
            <w:vAlign w:val="center"/>
          </w:tcPr>
          <w:p w14:paraId="21E80BA2" w14:textId="4F22D402" w:rsidR="001F5D44" w:rsidRPr="00662906" w:rsidRDefault="001F5D44" w:rsidP="00674329">
            <w:pPr>
              <w:spacing w:after="0"/>
              <w:rPr>
                <w:rFonts w:cs="Arial"/>
              </w:rPr>
            </w:pPr>
            <w:r w:rsidRPr="00662906">
              <w:t>Land Use, Land Use Change and Forestry</w:t>
            </w:r>
          </w:p>
        </w:tc>
      </w:tr>
      <w:tr w:rsidR="00232D97" w:rsidRPr="00662906" w14:paraId="1D8B8222" w14:textId="77777777" w:rsidTr="2D9E25B5">
        <w:trPr>
          <w:trHeight w:val="318"/>
        </w:trPr>
        <w:tc>
          <w:tcPr>
            <w:tcW w:w="1620" w:type="dxa"/>
            <w:vAlign w:val="center"/>
          </w:tcPr>
          <w:p w14:paraId="0000DD39" w14:textId="77777777" w:rsidR="00232D97" w:rsidRPr="00662906" w:rsidRDefault="00232D97" w:rsidP="00705585">
            <w:pPr>
              <w:spacing w:after="0"/>
              <w:jc w:val="left"/>
              <w:rPr>
                <w:rFonts w:cs="Arial"/>
              </w:rPr>
            </w:pPr>
            <w:r w:rsidRPr="00662906">
              <w:rPr>
                <w:rFonts w:cs="Arial"/>
              </w:rPr>
              <w:t>MDBs</w:t>
            </w:r>
          </w:p>
        </w:tc>
        <w:tc>
          <w:tcPr>
            <w:tcW w:w="7415" w:type="dxa"/>
            <w:vAlign w:val="center"/>
          </w:tcPr>
          <w:p w14:paraId="3C3377E6" w14:textId="77777777" w:rsidR="00232D97" w:rsidRPr="00662906" w:rsidRDefault="00232D97" w:rsidP="00674329">
            <w:pPr>
              <w:spacing w:after="0"/>
              <w:rPr>
                <w:rFonts w:cs="Arial"/>
              </w:rPr>
            </w:pPr>
            <w:r w:rsidRPr="00662906">
              <w:rPr>
                <w:rFonts w:cs="Arial"/>
              </w:rPr>
              <w:t xml:space="preserve">Multilateral Development Banks </w:t>
            </w:r>
          </w:p>
        </w:tc>
      </w:tr>
      <w:tr w:rsidR="00D03E36" w:rsidRPr="00662906" w14:paraId="0CB65151" w14:textId="77777777" w:rsidTr="2D9E25B5">
        <w:trPr>
          <w:trHeight w:val="318"/>
        </w:trPr>
        <w:tc>
          <w:tcPr>
            <w:tcW w:w="1620" w:type="dxa"/>
            <w:vAlign w:val="center"/>
          </w:tcPr>
          <w:p w14:paraId="028292C5" w14:textId="2816B924" w:rsidR="00D03E36" w:rsidRPr="00662906" w:rsidRDefault="00D03E36" w:rsidP="00705585">
            <w:pPr>
              <w:spacing w:after="0"/>
              <w:jc w:val="left"/>
              <w:rPr>
                <w:rFonts w:cs="Arial"/>
              </w:rPr>
            </w:pPr>
            <w:r w:rsidRPr="00662906">
              <w:rPr>
                <w:rFonts w:cs="Arial"/>
              </w:rPr>
              <w:t>ME</w:t>
            </w:r>
          </w:p>
        </w:tc>
        <w:tc>
          <w:tcPr>
            <w:tcW w:w="7415" w:type="dxa"/>
            <w:vAlign w:val="center"/>
          </w:tcPr>
          <w:p w14:paraId="6645540D" w14:textId="5DF68751" w:rsidR="00D03E36" w:rsidRPr="00662906" w:rsidRDefault="00D03E36" w:rsidP="00674329">
            <w:pPr>
              <w:spacing w:after="0"/>
              <w:rPr>
                <w:rFonts w:cs="Arial"/>
              </w:rPr>
            </w:pPr>
            <w:r w:rsidRPr="00662906">
              <w:rPr>
                <w:rFonts w:cs="Arial"/>
              </w:rPr>
              <w:t>Ministries in charge of Energy</w:t>
            </w:r>
          </w:p>
        </w:tc>
      </w:tr>
      <w:tr w:rsidR="00C016F8" w:rsidRPr="00662906" w14:paraId="1EE63D45" w14:textId="77777777" w:rsidTr="2D9E25B5">
        <w:trPr>
          <w:trHeight w:val="318"/>
        </w:trPr>
        <w:tc>
          <w:tcPr>
            <w:tcW w:w="1620" w:type="dxa"/>
            <w:vAlign w:val="center"/>
          </w:tcPr>
          <w:p w14:paraId="45E5E689" w14:textId="3D6715BD" w:rsidR="00C016F8" w:rsidRPr="00662906" w:rsidRDefault="00C016F8" w:rsidP="00705585">
            <w:pPr>
              <w:spacing w:after="0"/>
              <w:jc w:val="left"/>
              <w:rPr>
                <w:rFonts w:cs="Arial"/>
              </w:rPr>
            </w:pPr>
            <w:r w:rsidRPr="00662906">
              <w:rPr>
                <w:rFonts w:cs="Arial"/>
              </w:rPr>
              <w:t>MEP</w:t>
            </w:r>
          </w:p>
        </w:tc>
        <w:tc>
          <w:tcPr>
            <w:tcW w:w="7415" w:type="dxa"/>
            <w:vAlign w:val="center"/>
          </w:tcPr>
          <w:p w14:paraId="1FC9E1C0" w14:textId="50AE3CF4" w:rsidR="00C016F8" w:rsidRPr="00662906" w:rsidRDefault="00C016F8" w:rsidP="00674329">
            <w:pPr>
              <w:spacing w:after="0"/>
              <w:rPr>
                <w:rFonts w:cs="Arial"/>
              </w:rPr>
            </w:pPr>
            <w:r w:rsidRPr="00662906">
              <w:rPr>
                <w:rFonts w:cs="Arial"/>
              </w:rPr>
              <w:t>Ministry in charge of Energy and Petroleum</w:t>
            </w:r>
          </w:p>
        </w:tc>
      </w:tr>
      <w:tr w:rsidR="00185071" w:rsidRPr="00662906" w14:paraId="67BFA818" w14:textId="77777777" w:rsidTr="2D9E25B5">
        <w:trPr>
          <w:trHeight w:val="318"/>
        </w:trPr>
        <w:tc>
          <w:tcPr>
            <w:tcW w:w="1620" w:type="dxa"/>
            <w:vAlign w:val="center"/>
          </w:tcPr>
          <w:p w14:paraId="1CC9BB9D" w14:textId="17EB3F06" w:rsidR="00185071" w:rsidRPr="00662906" w:rsidRDefault="00185071" w:rsidP="00705585">
            <w:pPr>
              <w:spacing w:after="0"/>
              <w:jc w:val="left"/>
              <w:rPr>
                <w:rFonts w:cs="Arial"/>
              </w:rPr>
            </w:pPr>
            <w:r w:rsidRPr="00662906">
              <w:rPr>
                <w:rFonts w:cs="Arial"/>
              </w:rPr>
              <w:t>MEPS</w:t>
            </w:r>
          </w:p>
        </w:tc>
        <w:tc>
          <w:tcPr>
            <w:tcW w:w="7415" w:type="dxa"/>
            <w:vAlign w:val="center"/>
          </w:tcPr>
          <w:p w14:paraId="022F32E2" w14:textId="6A4D6DEF" w:rsidR="00185071" w:rsidRPr="00662906" w:rsidRDefault="00185071" w:rsidP="00674329">
            <w:pPr>
              <w:spacing w:after="0"/>
              <w:rPr>
                <w:rFonts w:cs="Arial"/>
              </w:rPr>
            </w:pPr>
            <w:r w:rsidRPr="00662906">
              <w:rPr>
                <w:rFonts w:cs="Arial"/>
              </w:rPr>
              <w:t>Minimum Energy Performance Standards</w:t>
            </w:r>
          </w:p>
        </w:tc>
      </w:tr>
      <w:tr w:rsidR="009C796A" w:rsidRPr="00662906" w14:paraId="0E856791" w14:textId="77777777" w:rsidTr="2D9E25B5">
        <w:trPr>
          <w:trHeight w:val="318"/>
        </w:trPr>
        <w:tc>
          <w:tcPr>
            <w:tcW w:w="1620" w:type="dxa"/>
            <w:vAlign w:val="center"/>
          </w:tcPr>
          <w:p w14:paraId="3058BEF4" w14:textId="4DDFD3CA" w:rsidR="009C796A" w:rsidRPr="00662906" w:rsidRDefault="009C796A" w:rsidP="00705585">
            <w:pPr>
              <w:spacing w:after="0"/>
              <w:jc w:val="left"/>
              <w:rPr>
                <w:rFonts w:cs="Arial"/>
              </w:rPr>
            </w:pPr>
            <w:r w:rsidRPr="00662906">
              <w:rPr>
                <w:rFonts w:cs="Arial"/>
              </w:rPr>
              <w:t>MF</w:t>
            </w:r>
          </w:p>
        </w:tc>
        <w:tc>
          <w:tcPr>
            <w:tcW w:w="7415" w:type="dxa"/>
            <w:vAlign w:val="center"/>
          </w:tcPr>
          <w:p w14:paraId="57A27593" w14:textId="30D2CCB2" w:rsidR="009C796A" w:rsidRPr="00662906" w:rsidRDefault="009C796A" w:rsidP="00674329">
            <w:pPr>
              <w:spacing w:after="0"/>
              <w:rPr>
                <w:rFonts w:cs="Arial"/>
              </w:rPr>
            </w:pPr>
            <w:r w:rsidRPr="00662906">
              <w:rPr>
                <w:rFonts w:cs="Arial"/>
              </w:rPr>
              <w:t>Ministry of Finance</w:t>
            </w:r>
          </w:p>
        </w:tc>
      </w:tr>
      <w:tr w:rsidR="00FB2BC6" w:rsidRPr="00662906" w14:paraId="78BCCC19" w14:textId="77777777" w:rsidTr="2D9E25B5">
        <w:trPr>
          <w:trHeight w:val="318"/>
        </w:trPr>
        <w:tc>
          <w:tcPr>
            <w:tcW w:w="1620" w:type="dxa"/>
            <w:vAlign w:val="center"/>
          </w:tcPr>
          <w:p w14:paraId="702CE118" w14:textId="293BAC78" w:rsidR="00FB2BC6" w:rsidRPr="00662906" w:rsidRDefault="00FB2BC6" w:rsidP="00705585">
            <w:pPr>
              <w:spacing w:after="0"/>
              <w:jc w:val="left"/>
              <w:rPr>
                <w:rFonts w:cs="Arial"/>
              </w:rPr>
            </w:pPr>
            <w:r w:rsidRPr="00662906">
              <w:rPr>
                <w:rFonts w:cs="Arial"/>
              </w:rPr>
              <w:t>MI</w:t>
            </w:r>
          </w:p>
        </w:tc>
        <w:tc>
          <w:tcPr>
            <w:tcW w:w="7415" w:type="dxa"/>
            <w:vAlign w:val="center"/>
          </w:tcPr>
          <w:p w14:paraId="04C445F7" w14:textId="00523EB4" w:rsidR="00FB2BC6" w:rsidRPr="00662906" w:rsidRDefault="00FB2BC6" w:rsidP="00674329">
            <w:pPr>
              <w:spacing w:after="0"/>
              <w:rPr>
                <w:rFonts w:cs="Arial"/>
              </w:rPr>
            </w:pPr>
            <w:r w:rsidRPr="00662906">
              <w:rPr>
                <w:rFonts w:cs="Arial"/>
              </w:rPr>
              <w:t>Ministry of In</w:t>
            </w:r>
            <w:r w:rsidR="00102E4F" w:rsidRPr="00662906">
              <w:rPr>
                <w:rFonts w:cs="Arial"/>
              </w:rPr>
              <w:t>dustry</w:t>
            </w:r>
          </w:p>
        </w:tc>
      </w:tr>
      <w:tr w:rsidR="00DE412D" w:rsidRPr="00662906" w14:paraId="611FB3BA" w14:textId="77777777" w:rsidTr="2D9E25B5">
        <w:trPr>
          <w:trHeight w:val="318"/>
        </w:trPr>
        <w:tc>
          <w:tcPr>
            <w:tcW w:w="1620" w:type="dxa"/>
            <w:vAlign w:val="center"/>
          </w:tcPr>
          <w:p w14:paraId="46DC9A06" w14:textId="0EF521EC" w:rsidR="00DE412D" w:rsidRPr="00662906" w:rsidRDefault="00DE412D" w:rsidP="00705585">
            <w:pPr>
              <w:spacing w:after="0"/>
              <w:jc w:val="left"/>
              <w:rPr>
                <w:rFonts w:cs="Arial"/>
              </w:rPr>
            </w:pPr>
            <w:r w:rsidRPr="00662906">
              <w:rPr>
                <w:rFonts w:cs="Arial"/>
              </w:rPr>
              <w:t>MoL</w:t>
            </w:r>
          </w:p>
        </w:tc>
        <w:tc>
          <w:tcPr>
            <w:tcW w:w="7415" w:type="dxa"/>
            <w:vAlign w:val="center"/>
          </w:tcPr>
          <w:p w14:paraId="180DB684" w14:textId="318FA3C7" w:rsidR="00DE412D" w:rsidRPr="00662906" w:rsidRDefault="00DE412D" w:rsidP="00674329">
            <w:pPr>
              <w:spacing w:after="0"/>
              <w:rPr>
                <w:rFonts w:cs="Arial"/>
              </w:rPr>
            </w:pPr>
            <w:r w:rsidRPr="00662906">
              <w:rPr>
                <w:rFonts w:cs="Arial"/>
              </w:rPr>
              <w:t xml:space="preserve">Ministry of </w:t>
            </w:r>
            <w:r w:rsidR="00C7683A" w:rsidRPr="00662906">
              <w:rPr>
                <w:rFonts w:cs="Arial"/>
              </w:rPr>
              <w:t>Labour</w:t>
            </w:r>
          </w:p>
        </w:tc>
      </w:tr>
      <w:tr w:rsidR="00FA7109" w:rsidRPr="00662906" w14:paraId="61182C55" w14:textId="77777777" w:rsidTr="2D9E25B5">
        <w:trPr>
          <w:trHeight w:val="318"/>
        </w:trPr>
        <w:tc>
          <w:tcPr>
            <w:tcW w:w="1620" w:type="dxa"/>
            <w:vAlign w:val="center"/>
          </w:tcPr>
          <w:p w14:paraId="19ACEDAE" w14:textId="72CF04F4" w:rsidR="00FA7109" w:rsidRPr="00662906" w:rsidRDefault="00FA7109" w:rsidP="00705585">
            <w:pPr>
              <w:spacing w:after="0"/>
              <w:jc w:val="left"/>
              <w:rPr>
                <w:rFonts w:cs="Arial"/>
              </w:rPr>
            </w:pPr>
            <w:r w:rsidRPr="00662906">
              <w:rPr>
                <w:rFonts w:cs="Arial"/>
              </w:rPr>
              <w:t>MoUs</w:t>
            </w:r>
          </w:p>
        </w:tc>
        <w:tc>
          <w:tcPr>
            <w:tcW w:w="7415" w:type="dxa"/>
            <w:vAlign w:val="center"/>
          </w:tcPr>
          <w:p w14:paraId="1A26E47C" w14:textId="189F552F" w:rsidR="00FA7109" w:rsidRPr="00662906" w:rsidRDefault="00FA7109" w:rsidP="00674329">
            <w:pPr>
              <w:spacing w:after="0"/>
              <w:rPr>
                <w:rFonts w:cs="Arial"/>
              </w:rPr>
            </w:pPr>
            <w:r w:rsidRPr="00662906">
              <w:rPr>
                <w:rFonts w:cs="Arial"/>
              </w:rPr>
              <w:t>Memorandums of Understanding</w:t>
            </w:r>
          </w:p>
        </w:tc>
      </w:tr>
      <w:tr w:rsidR="00232D97" w:rsidRPr="00662906" w14:paraId="08640FD0" w14:textId="77777777" w:rsidTr="2D9E25B5">
        <w:trPr>
          <w:trHeight w:val="318"/>
        </w:trPr>
        <w:tc>
          <w:tcPr>
            <w:tcW w:w="1620" w:type="dxa"/>
            <w:vAlign w:val="center"/>
          </w:tcPr>
          <w:p w14:paraId="6EA4F3E9" w14:textId="77777777" w:rsidR="00232D97" w:rsidRPr="00662906" w:rsidRDefault="00232D97" w:rsidP="00705585">
            <w:pPr>
              <w:spacing w:after="0"/>
              <w:jc w:val="left"/>
              <w:rPr>
                <w:rFonts w:cs="Arial"/>
              </w:rPr>
            </w:pPr>
            <w:r w:rsidRPr="00662906">
              <w:rPr>
                <w:rFonts w:cs="Arial"/>
              </w:rPr>
              <w:t>MS</w:t>
            </w:r>
          </w:p>
        </w:tc>
        <w:tc>
          <w:tcPr>
            <w:tcW w:w="7415" w:type="dxa"/>
            <w:vAlign w:val="center"/>
          </w:tcPr>
          <w:p w14:paraId="492E1839" w14:textId="77777777" w:rsidR="00232D97" w:rsidRPr="00662906" w:rsidRDefault="00232D97" w:rsidP="00674329">
            <w:pPr>
              <w:spacing w:after="0"/>
              <w:rPr>
                <w:rFonts w:cs="Arial"/>
              </w:rPr>
            </w:pPr>
            <w:r w:rsidRPr="00662906">
              <w:rPr>
                <w:rFonts w:cs="Arial"/>
              </w:rPr>
              <w:t>Member States</w:t>
            </w:r>
          </w:p>
        </w:tc>
      </w:tr>
      <w:tr w:rsidR="00C7683A" w:rsidRPr="00662906" w14:paraId="7A18FCB1" w14:textId="77777777" w:rsidTr="2D9E25B5">
        <w:trPr>
          <w:trHeight w:val="318"/>
        </w:trPr>
        <w:tc>
          <w:tcPr>
            <w:tcW w:w="1620" w:type="dxa"/>
            <w:vAlign w:val="center"/>
          </w:tcPr>
          <w:p w14:paraId="7AC46A06" w14:textId="184DFAE0" w:rsidR="00C7683A" w:rsidRPr="00662906" w:rsidRDefault="00C7683A" w:rsidP="00705585">
            <w:pPr>
              <w:spacing w:after="0"/>
              <w:jc w:val="left"/>
              <w:rPr>
                <w:rFonts w:cs="Arial"/>
              </w:rPr>
            </w:pPr>
            <w:r w:rsidRPr="00662906">
              <w:rPr>
                <w:rFonts w:cs="Arial"/>
              </w:rPr>
              <w:t>MSA</w:t>
            </w:r>
          </w:p>
        </w:tc>
        <w:tc>
          <w:tcPr>
            <w:tcW w:w="7415" w:type="dxa"/>
            <w:vAlign w:val="center"/>
          </w:tcPr>
          <w:p w14:paraId="5C245D37" w14:textId="4635E4EF" w:rsidR="00C7683A" w:rsidRPr="00662906" w:rsidRDefault="00C7683A" w:rsidP="00674329">
            <w:pPr>
              <w:spacing w:after="0"/>
              <w:rPr>
                <w:rFonts w:cs="Arial"/>
              </w:rPr>
            </w:pPr>
            <w:r w:rsidRPr="00662906">
              <w:rPr>
                <w:rFonts w:cs="Arial"/>
              </w:rPr>
              <w:t>Ministry of Social Affairs</w:t>
            </w:r>
          </w:p>
        </w:tc>
      </w:tr>
      <w:tr w:rsidR="00F504D0" w:rsidRPr="00662906" w14:paraId="19E8AB66" w14:textId="77777777" w:rsidTr="2D9E25B5">
        <w:trPr>
          <w:trHeight w:val="318"/>
        </w:trPr>
        <w:tc>
          <w:tcPr>
            <w:tcW w:w="1620" w:type="dxa"/>
            <w:vAlign w:val="center"/>
          </w:tcPr>
          <w:p w14:paraId="6A179F11" w14:textId="0E311724" w:rsidR="00F504D0" w:rsidRPr="00662906" w:rsidRDefault="00F504D0" w:rsidP="00705585">
            <w:pPr>
              <w:spacing w:after="0"/>
              <w:jc w:val="left"/>
              <w:rPr>
                <w:rFonts w:cs="Arial"/>
              </w:rPr>
            </w:pPr>
            <w:r w:rsidRPr="00662906">
              <w:rPr>
                <w:rFonts w:cs="Arial"/>
              </w:rPr>
              <w:t>Mtce</w:t>
            </w:r>
          </w:p>
        </w:tc>
        <w:tc>
          <w:tcPr>
            <w:tcW w:w="7415" w:type="dxa"/>
            <w:vAlign w:val="center"/>
          </w:tcPr>
          <w:p w14:paraId="273E3E4C" w14:textId="58BD1B4C" w:rsidR="00F504D0" w:rsidRPr="00662906" w:rsidRDefault="00CA4B3F" w:rsidP="00674329">
            <w:pPr>
              <w:spacing w:after="0"/>
              <w:rPr>
                <w:rFonts w:cs="Arial"/>
              </w:rPr>
            </w:pPr>
            <w:r w:rsidRPr="00662906">
              <w:rPr>
                <w:rFonts w:cs="Arial"/>
              </w:rPr>
              <w:t>Megaton</w:t>
            </w:r>
            <w:r w:rsidR="00950B91" w:rsidRPr="00662906">
              <w:rPr>
                <w:rFonts w:cs="Arial"/>
              </w:rPr>
              <w:t xml:space="preserve"> of Coal Equivalent</w:t>
            </w:r>
          </w:p>
        </w:tc>
      </w:tr>
      <w:tr w:rsidR="00D85A20" w:rsidRPr="00662906" w14:paraId="04B87979" w14:textId="77777777" w:rsidTr="2D9E25B5">
        <w:trPr>
          <w:trHeight w:val="318"/>
        </w:trPr>
        <w:tc>
          <w:tcPr>
            <w:tcW w:w="1620" w:type="dxa"/>
            <w:vAlign w:val="center"/>
          </w:tcPr>
          <w:p w14:paraId="0B9B8502" w14:textId="37056743" w:rsidR="00D85A20" w:rsidRPr="00662906" w:rsidRDefault="00D85A20" w:rsidP="00705585">
            <w:pPr>
              <w:spacing w:after="0"/>
              <w:jc w:val="left"/>
              <w:rPr>
                <w:rFonts w:cs="Arial"/>
                <w:vertAlign w:val="subscript"/>
              </w:rPr>
            </w:pPr>
            <w:r w:rsidRPr="00662906">
              <w:rPr>
                <w:rFonts w:cs="Arial"/>
              </w:rPr>
              <w:t>MtCO</w:t>
            </w:r>
            <w:r w:rsidRPr="00662906">
              <w:rPr>
                <w:rFonts w:cs="Arial"/>
                <w:vertAlign w:val="subscript"/>
              </w:rPr>
              <w:t>2</w:t>
            </w:r>
          </w:p>
        </w:tc>
        <w:tc>
          <w:tcPr>
            <w:tcW w:w="7415" w:type="dxa"/>
            <w:vAlign w:val="center"/>
          </w:tcPr>
          <w:p w14:paraId="684A47FC" w14:textId="39214C62" w:rsidR="00D85A20" w:rsidRPr="00662906" w:rsidRDefault="00D85A20" w:rsidP="00674329">
            <w:pPr>
              <w:spacing w:after="0"/>
              <w:rPr>
                <w:rFonts w:cs="Arial"/>
              </w:rPr>
            </w:pPr>
            <w:r w:rsidRPr="00662906">
              <w:rPr>
                <w:rFonts w:cs="Arial"/>
              </w:rPr>
              <w:t>Metric tonnes of carbon dioxide</w:t>
            </w:r>
          </w:p>
        </w:tc>
      </w:tr>
      <w:tr w:rsidR="00661686" w:rsidRPr="00662906" w14:paraId="61944C91" w14:textId="77777777" w:rsidTr="2D9E25B5">
        <w:trPr>
          <w:trHeight w:val="318"/>
        </w:trPr>
        <w:tc>
          <w:tcPr>
            <w:tcW w:w="1620" w:type="dxa"/>
            <w:vAlign w:val="center"/>
          </w:tcPr>
          <w:p w14:paraId="45B54264" w14:textId="76BBD7F2" w:rsidR="00661686" w:rsidRPr="00662906" w:rsidRDefault="00661686" w:rsidP="00705585">
            <w:pPr>
              <w:spacing w:after="0"/>
              <w:jc w:val="left"/>
              <w:rPr>
                <w:rFonts w:cs="Arial"/>
              </w:rPr>
            </w:pPr>
            <w:r w:rsidRPr="00662906">
              <w:rPr>
                <w:rFonts w:cs="Arial"/>
              </w:rPr>
              <w:t>Mton</w:t>
            </w:r>
          </w:p>
        </w:tc>
        <w:tc>
          <w:tcPr>
            <w:tcW w:w="7415" w:type="dxa"/>
            <w:vAlign w:val="center"/>
          </w:tcPr>
          <w:p w14:paraId="55C0D410" w14:textId="173DC5E2" w:rsidR="00661686" w:rsidRPr="00662906" w:rsidRDefault="00F504D0" w:rsidP="00674329">
            <w:pPr>
              <w:spacing w:after="0"/>
              <w:rPr>
                <w:rFonts w:cs="Arial"/>
              </w:rPr>
            </w:pPr>
            <w:r w:rsidRPr="00662906">
              <w:rPr>
                <w:rFonts w:cs="Arial"/>
              </w:rPr>
              <w:t>Metric ton</w:t>
            </w:r>
          </w:p>
        </w:tc>
      </w:tr>
      <w:tr w:rsidR="00232D97" w:rsidRPr="00662906" w14:paraId="12211159" w14:textId="77777777" w:rsidTr="2D9E25B5">
        <w:trPr>
          <w:trHeight w:val="318"/>
        </w:trPr>
        <w:tc>
          <w:tcPr>
            <w:tcW w:w="1620" w:type="dxa"/>
            <w:vAlign w:val="center"/>
          </w:tcPr>
          <w:p w14:paraId="2931AD76" w14:textId="256EF564" w:rsidR="00232D97" w:rsidRPr="00662906" w:rsidRDefault="00232D97" w:rsidP="00705585">
            <w:pPr>
              <w:spacing w:after="0"/>
              <w:jc w:val="left"/>
              <w:rPr>
                <w:rFonts w:cs="Arial"/>
              </w:rPr>
            </w:pPr>
            <w:r w:rsidRPr="00662906">
              <w:rPr>
                <w:rFonts w:cs="Arial"/>
              </w:rPr>
              <w:t>MW</w:t>
            </w:r>
          </w:p>
        </w:tc>
        <w:tc>
          <w:tcPr>
            <w:tcW w:w="7415" w:type="dxa"/>
            <w:vAlign w:val="center"/>
          </w:tcPr>
          <w:p w14:paraId="71D84D79" w14:textId="1910CDDA" w:rsidR="00232D97" w:rsidRPr="00662906" w:rsidRDefault="00232D97" w:rsidP="00674329">
            <w:pPr>
              <w:spacing w:after="0"/>
              <w:rPr>
                <w:rFonts w:cs="Arial"/>
              </w:rPr>
            </w:pPr>
            <w:r w:rsidRPr="00662906">
              <w:rPr>
                <w:rFonts w:cs="Arial"/>
              </w:rPr>
              <w:t>Megawatt</w:t>
            </w:r>
          </w:p>
        </w:tc>
      </w:tr>
      <w:tr w:rsidR="00232D97" w:rsidRPr="00662906" w14:paraId="00EA1042" w14:textId="77777777" w:rsidTr="2D9E25B5">
        <w:trPr>
          <w:trHeight w:val="318"/>
        </w:trPr>
        <w:tc>
          <w:tcPr>
            <w:tcW w:w="1620" w:type="dxa"/>
            <w:vAlign w:val="center"/>
          </w:tcPr>
          <w:p w14:paraId="545AC5AF" w14:textId="073ADE02" w:rsidR="00232D97" w:rsidRPr="00662906" w:rsidRDefault="00232D97" w:rsidP="00705585">
            <w:pPr>
              <w:spacing w:after="0"/>
              <w:jc w:val="left"/>
              <w:rPr>
                <w:rFonts w:cs="Arial"/>
              </w:rPr>
            </w:pPr>
            <w:r w:rsidRPr="00662906">
              <w:rPr>
                <w:rFonts w:cs="Arial"/>
              </w:rPr>
              <w:t>MWh</w:t>
            </w:r>
          </w:p>
        </w:tc>
        <w:tc>
          <w:tcPr>
            <w:tcW w:w="7415" w:type="dxa"/>
            <w:vAlign w:val="center"/>
          </w:tcPr>
          <w:p w14:paraId="395EB247" w14:textId="40E77C15" w:rsidR="00232D97" w:rsidRPr="00662906" w:rsidRDefault="00232D97" w:rsidP="00674329">
            <w:pPr>
              <w:spacing w:after="0"/>
              <w:rPr>
                <w:rFonts w:cs="Arial"/>
              </w:rPr>
            </w:pPr>
            <w:r w:rsidRPr="00662906">
              <w:rPr>
                <w:rFonts w:cs="Arial"/>
              </w:rPr>
              <w:t>Megawatt hour</w:t>
            </w:r>
          </w:p>
        </w:tc>
      </w:tr>
      <w:tr w:rsidR="00185071" w:rsidRPr="00662906" w14:paraId="7E2A856F" w14:textId="77777777" w:rsidTr="2D9E25B5">
        <w:trPr>
          <w:trHeight w:val="318"/>
        </w:trPr>
        <w:tc>
          <w:tcPr>
            <w:tcW w:w="1620" w:type="dxa"/>
            <w:tcBorders>
              <w:top w:val="single" w:sz="4" w:space="0" w:color="871D37"/>
              <w:left w:val="single" w:sz="4" w:space="0" w:color="871D37"/>
              <w:bottom w:val="single" w:sz="4" w:space="0" w:color="871D37"/>
              <w:right w:val="single" w:sz="4" w:space="0" w:color="871D37"/>
            </w:tcBorders>
            <w:vAlign w:val="center"/>
          </w:tcPr>
          <w:p w14:paraId="0575D890" w14:textId="77777777" w:rsidR="00185071" w:rsidRPr="00662906" w:rsidRDefault="00185071" w:rsidP="00705585">
            <w:pPr>
              <w:spacing w:after="0"/>
              <w:jc w:val="left"/>
              <w:rPr>
                <w:rFonts w:cs="Arial"/>
              </w:rPr>
            </w:pPr>
            <w:r w:rsidRPr="00662906">
              <w:rPr>
                <w:rFonts w:cs="Arial"/>
              </w:rPr>
              <w:lastRenderedPageBreak/>
              <w:t>M&amp;E</w:t>
            </w:r>
          </w:p>
        </w:tc>
        <w:tc>
          <w:tcPr>
            <w:tcW w:w="7415" w:type="dxa"/>
            <w:tcBorders>
              <w:top w:val="single" w:sz="4" w:space="0" w:color="871D37"/>
              <w:left w:val="single" w:sz="4" w:space="0" w:color="871D37"/>
              <w:bottom w:val="single" w:sz="4" w:space="0" w:color="871D37"/>
              <w:right w:val="single" w:sz="4" w:space="0" w:color="871D37"/>
            </w:tcBorders>
            <w:vAlign w:val="center"/>
          </w:tcPr>
          <w:p w14:paraId="1501B933" w14:textId="77777777" w:rsidR="00185071" w:rsidRPr="00662906" w:rsidRDefault="00185071" w:rsidP="00674329">
            <w:pPr>
              <w:spacing w:after="0"/>
              <w:rPr>
                <w:rFonts w:cs="Arial"/>
              </w:rPr>
            </w:pPr>
            <w:r w:rsidRPr="00662906">
              <w:rPr>
                <w:rFonts w:cs="Arial"/>
              </w:rPr>
              <w:t>Monitoring and evaluation</w:t>
            </w:r>
          </w:p>
        </w:tc>
      </w:tr>
      <w:tr w:rsidR="00232D97" w:rsidRPr="00662906" w14:paraId="67C9DC49" w14:textId="77777777" w:rsidTr="2D9E25B5">
        <w:trPr>
          <w:trHeight w:val="318"/>
        </w:trPr>
        <w:tc>
          <w:tcPr>
            <w:tcW w:w="1620" w:type="dxa"/>
            <w:vAlign w:val="center"/>
          </w:tcPr>
          <w:p w14:paraId="4E6CC31F" w14:textId="330DA331" w:rsidR="00232D97" w:rsidRPr="00662906" w:rsidRDefault="00232D97" w:rsidP="00705585">
            <w:pPr>
              <w:spacing w:after="0"/>
              <w:jc w:val="left"/>
              <w:rPr>
                <w:rFonts w:cs="Arial"/>
              </w:rPr>
            </w:pPr>
            <w:r w:rsidRPr="00662906">
              <w:rPr>
                <w:rFonts w:cs="Arial"/>
              </w:rPr>
              <w:t>NDCs</w:t>
            </w:r>
          </w:p>
        </w:tc>
        <w:tc>
          <w:tcPr>
            <w:tcW w:w="7415" w:type="dxa"/>
            <w:vAlign w:val="center"/>
          </w:tcPr>
          <w:p w14:paraId="3D86647D" w14:textId="77777777" w:rsidR="00232D97" w:rsidRPr="00662906" w:rsidRDefault="00232D97" w:rsidP="00674329">
            <w:pPr>
              <w:spacing w:after="0"/>
              <w:rPr>
                <w:rFonts w:cs="Arial"/>
              </w:rPr>
            </w:pPr>
            <w:r w:rsidRPr="00662906">
              <w:rPr>
                <w:rFonts w:cs="Arial"/>
              </w:rPr>
              <w:t>Nationally Determined Contributions</w:t>
            </w:r>
          </w:p>
        </w:tc>
      </w:tr>
      <w:tr w:rsidR="00232D97" w:rsidRPr="00662906" w14:paraId="39D6418D" w14:textId="77777777" w:rsidTr="2D9E25B5">
        <w:trPr>
          <w:trHeight w:val="318"/>
        </w:trPr>
        <w:tc>
          <w:tcPr>
            <w:tcW w:w="1620" w:type="dxa"/>
            <w:vAlign w:val="center"/>
          </w:tcPr>
          <w:p w14:paraId="57289019" w14:textId="77777777" w:rsidR="00232D97" w:rsidRPr="00662906" w:rsidRDefault="00232D97" w:rsidP="00705585">
            <w:pPr>
              <w:spacing w:after="0"/>
              <w:jc w:val="left"/>
              <w:rPr>
                <w:rFonts w:cs="Arial"/>
              </w:rPr>
            </w:pPr>
            <w:r w:rsidRPr="00662906">
              <w:rPr>
                <w:rFonts w:cs="Arial"/>
              </w:rPr>
              <w:t>NEV</w:t>
            </w:r>
          </w:p>
        </w:tc>
        <w:tc>
          <w:tcPr>
            <w:tcW w:w="7415" w:type="dxa"/>
            <w:vAlign w:val="center"/>
          </w:tcPr>
          <w:p w14:paraId="4A2CF595" w14:textId="77777777" w:rsidR="00232D97" w:rsidRPr="00662906" w:rsidRDefault="00232D97" w:rsidP="00674329">
            <w:pPr>
              <w:spacing w:after="0"/>
              <w:rPr>
                <w:rFonts w:cs="Arial"/>
              </w:rPr>
            </w:pPr>
            <w:r w:rsidRPr="00662906">
              <w:rPr>
                <w:rFonts w:cs="Arial"/>
              </w:rPr>
              <w:t>New Energy Vehicle</w:t>
            </w:r>
          </w:p>
        </w:tc>
      </w:tr>
      <w:tr w:rsidR="009C796A" w:rsidRPr="00662906" w14:paraId="2EF6762B" w14:textId="77777777" w:rsidTr="2D9E25B5">
        <w:trPr>
          <w:trHeight w:val="318"/>
        </w:trPr>
        <w:tc>
          <w:tcPr>
            <w:tcW w:w="1620" w:type="dxa"/>
            <w:vAlign w:val="center"/>
          </w:tcPr>
          <w:p w14:paraId="060C3467" w14:textId="29656DC3" w:rsidR="009C796A" w:rsidRPr="00662906" w:rsidRDefault="009C796A" w:rsidP="00705585">
            <w:pPr>
              <w:spacing w:after="0"/>
              <w:jc w:val="left"/>
              <w:rPr>
                <w:rFonts w:cs="Arial"/>
              </w:rPr>
            </w:pPr>
            <w:r w:rsidRPr="00662906">
              <w:rPr>
                <w:rFonts w:cs="Arial"/>
              </w:rPr>
              <w:t>NG</w:t>
            </w:r>
          </w:p>
        </w:tc>
        <w:tc>
          <w:tcPr>
            <w:tcW w:w="7415" w:type="dxa"/>
            <w:vAlign w:val="center"/>
          </w:tcPr>
          <w:p w14:paraId="1D4303D3" w14:textId="109EAC75" w:rsidR="009C796A" w:rsidRPr="00662906" w:rsidRDefault="009C796A" w:rsidP="00674329">
            <w:pPr>
              <w:spacing w:after="0"/>
              <w:rPr>
                <w:rFonts w:cs="Arial"/>
              </w:rPr>
            </w:pPr>
            <w:r w:rsidRPr="00662906">
              <w:rPr>
                <w:rFonts w:cs="Arial"/>
              </w:rPr>
              <w:t>Natural Gas</w:t>
            </w:r>
          </w:p>
        </w:tc>
      </w:tr>
      <w:tr w:rsidR="00232D97" w:rsidRPr="00662906" w14:paraId="546398CE" w14:textId="77777777" w:rsidTr="2D9E25B5">
        <w:trPr>
          <w:trHeight w:val="318"/>
        </w:trPr>
        <w:tc>
          <w:tcPr>
            <w:tcW w:w="1620" w:type="dxa"/>
            <w:vAlign w:val="center"/>
          </w:tcPr>
          <w:p w14:paraId="6B9D91B1" w14:textId="77777777" w:rsidR="00232D97" w:rsidRPr="00662906" w:rsidRDefault="00232D97" w:rsidP="00705585">
            <w:pPr>
              <w:spacing w:after="0"/>
              <w:jc w:val="left"/>
              <w:rPr>
                <w:rFonts w:cs="Arial"/>
              </w:rPr>
            </w:pPr>
            <w:r w:rsidRPr="00662906">
              <w:rPr>
                <w:rFonts w:cs="Arial"/>
              </w:rPr>
              <w:t>NGOs</w:t>
            </w:r>
          </w:p>
        </w:tc>
        <w:tc>
          <w:tcPr>
            <w:tcW w:w="7415" w:type="dxa"/>
            <w:vAlign w:val="center"/>
          </w:tcPr>
          <w:p w14:paraId="16EB1A7B" w14:textId="77777777" w:rsidR="00232D97" w:rsidRPr="00662906" w:rsidRDefault="00232D97" w:rsidP="00674329">
            <w:pPr>
              <w:spacing w:after="0"/>
              <w:rPr>
                <w:rFonts w:cs="Arial"/>
              </w:rPr>
            </w:pPr>
            <w:r w:rsidRPr="00662906">
              <w:rPr>
                <w:rFonts w:cs="Arial"/>
              </w:rPr>
              <w:t>Non-governmental Organizations</w:t>
            </w:r>
          </w:p>
        </w:tc>
      </w:tr>
      <w:tr w:rsidR="00232D97" w:rsidRPr="00662906" w14:paraId="0B8339A3" w14:textId="77777777" w:rsidTr="2D9E25B5">
        <w:trPr>
          <w:trHeight w:val="318"/>
        </w:trPr>
        <w:tc>
          <w:tcPr>
            <w:tcW w:w="1620" w:type="dxa"/>
            <w:vAlign w:val="center"/>
          </w:tcPr>
          <w:p w14:paraId="660626BB" w14:textId="42D14A00" w:rsidR="00232D97" w:rsidRPr="00662906" w:rsidRDefault="00232D97" w:rsidP="00705585">
            <w:pPr>
              <w:spacing w:after="0"/>
              <w:jc w:val="left"/>
              <w:rPr>
                <w:rFonts w:cs="Arial"/>
              </w:rPr>
            </w:pPr>
            <w:r w:rsidRPr="00662906">
              <w:rPr>
                <w:rFonts w:cs="Arial"/>
              </w:rPr>
              <w:t>NKE</w:t>
            </w:r>
          </w:p>
        </w:tc>
        <w:tc>
          <w:tcPr>
            <w:tcW w:w="7415" w:type="dxa"/>
            <w:vAlign w:val="center"/>
          </w:tcPr>
          <w:p w14:paraId="1508BE8F" w14:textId="50A14183" w:rsidR="00232D97" w:rsidRPr="00662906" w:rsidRDefault="00232D97" w:rsidP="00674329">
            <w:pPr>
              <w:spacing w:after="0"/>
              <w:rPr>
                <w:rFonts w:cs="Arial"/>
              </w:rPr>
            </w:pPr>
            <w:r w:rsidRPr="00662906">
              <w:rPr>
                <w:rFonts w:cs="Arial"/>
              </w:rPr>
              <w:t>Non-Key Expert</w:t>
            </w:r>
          </w:p>
        </w:tc>
      </w:tr>
      <w:tr w:rsidR="00E948FC" w:rsidRPr="00662906" w14:paraId="01D1201E" w14:textId="77777777" w:rsidTr="2D9E25B5">
        <w:trPr>
          <w:trHeight w:val="318"/>
        </w:trPr>
        <w:tc>
          <w:tcPr>
            <w:tcW w:w="1620" w:type="dxa"/>
            <w:vAlign w:val="center"/>
          </w:tcPr>
          <w:p w14:paraId="22C07E92" w14:textId="5E78474E" w:rsidR="00E948FC" w:rsidRPr="00662906" w:rsidRDefault="00E948FC" w:rsidP="00705585">
            <w:pPr>
              <w:spacing w:after="0"/>
              <w:jc w:val="left"/>
              <w:rPr>
                <w:rFonts w:cs="Arial"/>
              </w:rPr>
            </w:pPr>
            <w:r w:rsidRPr="00662906">
              <w:rPr>
                <w:rFonts w:cs="Arial"/>
              </w:rPr>
              <w:t>NMT</w:t>
            </w:r>
          </w:p>
        </w:tc>
        <w:tc>
          <w:tcPr>
            <w:tcW w:w="7415" w:type="dxa"/>
            <w:vAlign w:val="center"/>
          </w:tcPr>
          <w:p w14:paraId="4DC4612F" w14:textId="0FBECD4B" w:rsidR="00E948FC" w:rsidRPr="00662906" w:rsidRDefault="00E948FC" w:rsidP="00674329">
            <w:pPr>
              <w:spacing w:after="0"/>
              <w:rPr>
                <w:rFonts w:cs="Arial"/>
              </w:rPr>
            </w:pPr>
            <w:r w:rsidRPr="00662906">
              <w:rPr>
                <w:rFonts w:cs="Arial"/>
              </w:rPr>
              <w:t>Non-motorised transport</w:t>
            </w:r>
          </w:p>
        </w:tc>
      </w:tr>
      <w:tr w:rsidR="00232D97" w:rsidRPr="00662906" w14:paraId="1E2594FA" w14:textId="77777777" w:rsidTr="2D9E25B5">
        <w:trPr>
          <w:trHeight w:val="318"/>
        </w:trPr>
        <w:tc>
          <w:tcPr>
            <w:tcW w:w="1620" w:type="dxa"/>
            <w:vAlign w:val="center"/>
          </w:tcPr>
          <w:p w14:paraId="0BE9F28D" w14:textId="2DA34AB0" w:rsidR="00232D97" w:rsidRPr="00662906" w:rsidRDefault="00232D97" w:rsidP="00705585">
            <w:pPr>
              <w:spacing w:after="0"/>
              <w:jc w:val="left"/>
              <w:rPr>
                <w:rFonts w:cs="Arial"/>
              </w:rPr>
            </w:pPr>
            <w:r w:rsidRPr="00662906">
              <w:rPr>
                <w:rFonts w:cs="Arial"/>
              </w:rPr>
              <w:t>NOC</w:t>
            </w:r>
            <w:r w:rsidR="007B45FD" w:rsidRPr="00662906">
              <w:rPr>
                <w:rFonts w:cs="Arial"/>
              </w:rPr>
              <w:t>s</w:t>
            </w:r>
          </w:p>
        </w:tc>
        <w:tc>
          <w:tcPr>
            <w:tcW w:w="7415" w:type="dxa"/>
            <w:vAlign w:val="center"/>
          </w:tcPr>
          <w:p w14:paraId="290ACB4A" w14:textId="77777777" w:rsidR="00232D97" w:rsidRPr="00662906" w:rsidRDefault="00232D97" w:rsidP="00674329">
            <w:pPr>
              <w:spacing w:after="0"/>
              <w:rPr>
                <w:rFonts w:cs="Arial"/>
              </w:rPr>
            </w:pPr>
            <w:r w:rsidRPr="00662906">
              <w:rPr>
                <w:rFonts w:cs="Arial"/>
              </w:rPr>
              <w:t>National Oil Companies</w:t>
            </w:r>
          </w:p>
        </w:tc>
      </w:tr>
      <w:tr w:rsidR="002752BD" w:rsidRPr="00662906" w14:paraId="5FAD1AAC" w14:textId="77777777" w:rsidTr="2D9E25B5">
        <w:trPr>
          <w:trHeight w:val="318"/>
        </w:trPr>
        <w:tc>
          <w:tcPr>
            <w:tcW w:w="1620" w:type="dxa"/>
            <w:vAlign w:val="center"/>
          </w:tcPr>
          <w:p w14:paraId="2D672828" w14:textId="04E3CE53" w:rsidR="002752BD" w:rsidRPr="00662906" w:rsidRDefault="002752BD" w:rsidP="00705585">
            <w:pPr>
              <w:spacing w:after="0"/>
              <w:jc w:val="left"/>
              <w:rPr>
                <w:rFonts w:cs="Arial"/>
              </w:rPr>
            </w:pPr>
            <w:r w:rsidRPr="00662906">
              <w:rPr>
                <w:rFonts w:cs="Arial"/>
              </w:rPr>
              <w:t>O&amp;G</w:t>
            </w:r>
          </w:p>
        </w:tc>
        <w:tc>
          <w:tcPr>
            <w:tcW w:w="7415" w:type="dxa"/>
            <w:vAlign w:val="center"/>
          </w:tcPr>
          <w:p w14:paraId="697C4698" w14:textId="33FF0AC6" w:rsidR="002752BD" w:rsidRPr="00662906" w:rsidRDefault="002752BD" w:rsidP="00674329">
            <w:pPr>
              <w:spacing w:after="0"/>
              <w:rPr>
                <w:rFonts w:cs="Arial"/>
              </w:rPr>
            </w:pPr>
            <w:r w:rsidRPr="00662906">
              <w:rPr>
                <w:rFonts w:cs="Arial"/>
              </w:rPr>
              <w:t>Oil and Gas</w:t>
            </w:r>
          </w:p>
        </w:tc>
      </w:tr>
      <w:tr w:rsidR="0003764E" w:rsidRPr="00662906" w14:paraId="54ED5255" w14:textId="77777777" w:rsidTr="2D9E25B5">
        <w:trPr>
          <w:trHeight w:val="318"/>
        </w:trPr>
        <w:tc>
          <w:tcPr>
            <w:tcW w:w="1620" w:type="dxa"/>
            <w:vAlign w:val="center"/>
          </w:tcPr>
          <w:p w14:paraId="1A90E5ED" w14:textId="281E9187" w:rsidR="0003764E" w:rsidRPr="00662906" w:rsidRDefault="0003764E" w:rsidP="00705585">
            <w:pPr>
              <w:spacing w:after="0"/>
              <w:jc w:val="left"/>
              <w:rPr>
                <w:rFonts w:cs="Arial"/>
              </w:rPr>
            </w:pPr>
            <w:r w:rsidRPr="00662906">
              <w:rPr>
                <w:rFonts w:cs="Arial"/>
              </w:rPr>
              <w:t>PAMA</w:t>
            </w:r>
          </w:p>
        </w:tc>
        <w:tc>
          <w:tcPr>
            <w:tcW w:w="7415" w:type="dxa"/>
            <w:vAlign w:val="center"/>
          </w:tcPr>
          <w:p w14:paraId="43D1711E" w14:textId="5221D75F" w:rsidR="0003764E" w:rsidRPr="00662906" w:rsidRDefault="0003764E" w:rsidP="00674329">
            <w:pPr>
              <w:spacing w:after="0"/>
              <w:rPr>
                <w:rFonts w:cs="Arial"/>
              </w:rPr>
            </w:pPr>
            <w:r w:rsidRPr="00662906">
              <w:rPr>
                <w:rFonts w:cs="Arial"/>
              </w:rPr>
              <w:t>Pan-African Manufacturers Association</w:t>
            </w:r>
          </w:p>
        </w:tc>
      </w:tr>
      <w:tr w:rsidR="00780B75" w:rsidRPr="00662906" w14:paraId="1FE3AA15" w14:textId="77777777" w:rsidTr="2D9E25B5">
        <w:trPr>
          <w:trHeight w:val="318"/>
        </w:trPr>
        <w:tc>
          <w:tcPr>
            <w:tcW w:w="1620" w:type="dxa"/>
            <w:vAlign w:val="center"/>
          </w:tcPr>
          <w:p w14:paraId="19C93F42" w14:textId="08DCA9A0" w:rsidR="00780B75" w:rsidRPr="00662906" w:rsidRDefault="00780B75" w:rsidP="00705585">
            <w:pPr>
              <w:spacing w:after="0"/>
              <w:jc w:val="left"/>
              <w:rPr>
                <w:rFonts w:cs="Arial"/>
              </w:rPr>
            </w:pPr>
            <w:r w:rsidRPr="00662906">
              <w:rPr>
                <w:rFonts w:cs="Arial"/>
              </w:rPr>
              <w:t>PAQI</w:t>
            </w:r>
          </w:p>
        </w:tc>
        <w:tc>
          <w:tcPr>
            <w:tcW w:w="7415" w:type="dxa"/>
            <w:vAlign w:val="center"/>
          </w:tcPr>
          <w:p w14:paraId="588C77FA" w14:textId="1CEEFDEF" w:rsidR="00780B75" w:rsidRPr="00662906" w:rsidRDefault="000E0E24" w:rsidP="00674329">
            <w:pPr>
              <w:spacing w:after="0"/>
              <w:rPr>
                <w:rFonts w:cs="Arial"/>
              </w:rPr>
            </w:pPr>
            <w:r w:rsidRPr="00662906">
              <w:rPr>
                <w:rFonts w:cs="Arial"/>
              </w:rPr>
              <w:t>Pan-African Quality Infrastructures</w:t>
            </w:r>
          </w:p>
        </w:tc>
      </w:tr>
      <w:tr w:rsidR="001F5D44" w:rsidRPr="00662906" w14:paraId="153B2387" w14:textId="77777777" w:rsidTr="2D9E25B5">
        <w:trPr>
          <w:trHeight w:val="318"/>
        </w:trPr>
        <w:tc>
          <w:tcPr>
            <w:tcW w:w="1620" w:type="dxa"/>
            <w:vAlign w:val="center"/>
          </w:tcPr>
          <w:p w14:paraId="5BABCFDE" w14:textId="7D94B6CF" w:rsidR="001F5D44" w:rsidRPr="00662906" w:rsidRDefault="001F5D44" w:rsidP="00705585">
            <w:pPr>
              <w:spacing w:after="0"/>
              <w:jc w:val="left"/>
              <w:rPr>
                <w:rFonts w:cs="Arial"/>
              </w:rPr>
            </w:pPr>
            <w:r w:rsidRPr="00662906">
              <w:rPr>
                <w:rFonts w:cs="Arial"/>
              </w:rPr>
              <w:t>PBL</w:t>
            </w:r>
          </w:p>
        </w:tc>
        <w:tc>
          <w:tcPr>
            <w:tcW w:w="7415" w:type="dxa"/>
            <w:vAlign w:val="center"/>
          </w:tcPr>
          <w:p w14:paraId="69524C04" w14:textId="00962233" w:rsidR="001F5D44" w:rsidRPr="00662906" w:rsidRDefault="001F5D44" w:rsidP="00674329">
            <w:pPr>
              <w:spacing w:after="0"/>
              <w:rPr>
                <w:rFonts w:cs="Arial"/>
              </w:rPr>
            </w:pPr>
            <w:r w:rsidRPr="00662906">
              <w:rPr>
                <w:rFonts w:cs="Arial"/>
              </w:rPr>
              <w:t>Netherlands Environmental Assessment Agency</w:t>
            </w:r>
          </w:p>
        </w:tc>
      </w:tr>
      <w:tr w:rsidR="00232D97" w:rsidRPr="00662906" w14:paraId="6CB64EEB" w14:textId="77777777" w:rsidTr="2D9E25B5">
        <w:trPr>
          <w:trHeight w:val="318"/>
        </w:trPr>
        <w:tc>
          <w:tcPr>
            <w:tcW w:w="1620" w:type="dxa"/>
            <w:vAlign w:val="center"/>
          </w:tcPr>
          <w:p w14:paraId="1108BA70" w14:textId="04F41F27" w:rsidR="00232D97" w:rsidRPr="00662906" w:rsidRDefault="00232D97" w:rsidP="00705585">
            <w:pPr>
              <w:spacing w:after="0"/>
              <w:jc w:val="left"/>
              <w:rPr>
                <w:rFonts w:cs="Arial"/>
              </w:rPr>
            </w:pPr>
            <w:r w:rsidRPr="00662906">
              <w:rPr>
                <w:rFonts w:cs="Arial"/>
              </w:rPr>
              <w:t>PEST</w:t>
            </w:r>
            <w:r w:rsidR="00471EC0" w:rsidRPr="00662906">
              <w:rPr>
                <w:rFonts w:cs="Arial"/>
              </w:rPr>
              <w:t>EL</w:t>
            </w:r>
          </w:p>
        </w:tc>
        <w:tc>
          <w:tcPr>
            <w:tcW w:w="7415" w:type="dxa"/>
            <w:vAlign w:val="center"/>
          </w:tcPr>
          <w:p w14:paraId="16E5107D" w14:textId="729C981B" w:rsidR="00232D97" w:rsidRPr="00662906" w:rsidRDefault="00232D97" w:rsidP="00674329">
            <w:pPr>
              <w:spacing w:after="0"/>
              <w:rPr>
                <w:rFonts w:cs="Arial"/>
              </w:rPr>
            </w:pPr>
            <w:r w:rsidRPr="00662906">
              <w:rPr>
                <w:rFonts w:cs="Arial"/>
              </w:rPr>
              <w:t xml:space="preserve">Political, economic, social, technological, </w:t>
            </w:r>
            <w:r w:rsidR="00ED3537" w:rsidRPr="00662906">
              <w:rPr>
                <w:rFonts w:cs="Arial"/>
              </w:rPr>
              <w:t>environmental,</w:t>
            </w:r>
            <w:r w:rsidR="00471EC0" w:rsidRPr="00662906">
              <w:rPr>
                <w:rFonts w:cs="Arial"/>
              </w:rPr>
              <w:t xml:space="preserve"> and legal</w:t>
            </w:r>
          </w:p>
        </w:tc>
      </w:tr>
      <w:tr w:rsidR="00232D97" w:rsidRPr="00662906" w14:paraId="4E001BD7" w14:textId="77777777" w:rsidTr="2D9E25B5">
        <w:trPr>
          <w:trHeight w:val="318"/>
        </w:trPr>
        <w:tc>
          <w:tcPr>
            <w:tcW w:w="1620" w:type="dxa"/>
            <w:vAlign w:val="center"/>
          </w:tcPr>
          <w:p w14:paraId="6BA2E6F8" w14:textId="23428844" w:rsidR="00232D97" w:rsidRPr="00662906" w:rsidRDefault="00232D97" w:rsidP="00705585">
            <w:pPr>
              <w:spacing w:after="0"/>
              <w:jc w:val="left"/>
              <w:rPr>
                <w:rFonts w:cs="Arial"/>
              </w:rPr>
            </w:pPr>
            <w:r w:rsidRPr="00662906">
              <w:rPr>
                <w:rFonts w:cs="Arial"/>
              </w:rPr>
              <w:t>PM</w:t>
            </w:r>
          </w:p>
        </w:tc>
        <w:tc>
          <w:tcPr>
            <w:tcW w:w="7415" w:type="dxa"/>
            <w:vAlign w:val="center"/>
          </w:tcPr>
          <w:p w14:paraId="6383AFE7" w14:textId="69072C5F" w:rsidR="00232D97" w:rsidRPr="00662906" w:rsidRDefault="00232D97" w:rsidP="00674329">
            <w:pPr>
              <w:spacing w:after="0"/>
              <w:rPr>
                <w:rFonts w:cs="Arial"/>
              </w:rPr>
            </w:pPr>
            <w:r w:rsidRPr="00662906">
              <w:rPr>
                <w:rFonts w:cs="Arial"/>
              </w:rPr>
              <w:t>Project Managers</w:t>
            </w:r>
          </w:p>
        </w:tc>
      </w:tr>
      <w:tr w:rsidR="00232D97" w:rsidRPr="00662906" w14:paraId="5B2FBF41" w14:textId="77777777" w:rsidTr="2D9E25B5">
        <w:trPr>
          <w:trHeight w:val="318"/>
        </w:trPr>
        <w:tc>
          <w:tcPr>
            <w:tcW w:w="1620" w:type="dxa"/>
            <w:vAlign w:val="center"/>
          </w:tcPr>
          <w:p w14:paraId="0DE5F093" w14:textId="03E8CE08" w:rsidR="00232D97" w:rsidRPr="00662906" w:rsidRDefault="006E3EF7" w:rsidP="00705585">
            <w:pPr>
              <w:spacing w:after="0"/>
              <w:jc w:val="left"/>
              <w:rPr>
                <w:rFonts w:cs="Arial"/>
              </w:rPr>
            </w:pPr>
            <w:r w:rsidRPr="00662906">
              <w:rPr>
                <w:rFonts w:cs="Arial"/>
              </w:rPr>
              <w:t>PPP</w:t>
            </w:r>
          </w:p>
        </w:tc>
        <w:tc>
          <w:tcPr>
            <w:tcW w:w="7415" w:type="dxa"/>
            <w:vAlign w:val="center"/>
          </w:tcPr>
          <w:p w14:paraId="494AF1EC" w14:textId="3B6909F1" w:rsidR="00232D97" w:rsidRPr="00662906" w:rsidRDefault="00C56C11" w:rsidP="00674329">
            <w:pPr>
              <w:spacing w:after="0"/>
              <w:rPr>
                <w:rFonts w:cs="Arial"/>
              </w:rPr>
            </w:pPr>
            <w:r w:rsidRPr="00662906">
              <w:rPr>
                <w:rFonts w:cs="Arial"/>
              </w:rPr>
              <w:t>Private-Public Partnerships</w:t>
            </w:r>
          </w:p>
        </w:tc>
      </w:tr>
      <w:tr w:rsidR="00D916EA" w:rsidRPr="00662906" w14:paraId="7BDCF876" w14:textId="77777777" w:rsidTr="2D9E25B5">
        <w:trPr>
          <w:trHeight w:val="318"/>
        </w:trPr>
        <w:tc>
          <w:tcPr>
            <w:tcW w:w="1620" w:type="dxa"/>
            <w:vAlign w:val="center"/>
          </w:tcPr>
          <w:p w14:paraId="437FA0E1" w14:textId="35DB1E1A" w:rsidR="00D916EA" w:rsidRPr="00662906" w:rsidRDefault="00D916EA" w:rsidP="00705585">
            <w:pPr>
              <w:spacing w:after="0"/>
              <w:jc w:val="left"/>
              <w:rPr>
                <w:rFonts w:cs="Arial"/>
              </w:rPr>
            </w:pPr>
            <w:r w:rsidRPr="00662906">
              <w:rPr>
                <w:rFonts w:cs="Arial"/>
              </w:rPr>
              <w:t>PSP</w:t>
            </w:r>
          </w:p>
        </w:tc>
        <w:tc>
          <w:tcPr>
            <w:tcW w:w="7415" w:type="dxa"/>
            <w:vAlign w:val="center"/>
          </w:tcPr>
          <w:p w14:paraId="124BAA9D" w14:textId="50CFBF6E" w:rsidR="00D916EA" w:rsidRPr="00662906" w:rsidRDefault="00D916EA" w:rsidP="00674329">
            <w:pPr>
              <w:spacing w:after="0"/>
              <w:rPr>
                <w:rFonts w:cs="Arial"/>
              </w:rPr>
            </w:pPr>
            <w:r w:rsidRPr="00662906">
              <w:rPr>
                <w:rFonts w:cs="Arial"/>
              </w:rPr>
              <w:t>Pumped Storage Hydro Power Plants</w:t>
            </w:r>
          </w:p>
        </w:tc>
      </w:tr>
      <w:tr w:rsidR="00900B7D" w:rsidRPr="00662906" w14:paraId="14E18A97" w14:textId="77777777" w:rsidTr="2D9E25B5">
        <w:trPr>
          <w:trHeight w:val="318"/>
        </w:trPr>
        <w:tc>
          <w:tcPr>
            <w:tcW w:w="1620" w:type="dxa"/>
            <w:vAlign w:val="center"/>
          </w:tcPr>
          <w:p w14:paraId="625881C5" w14:textId="7F1123FC" w:rsidR="00900B7D" w:rsidRPr="00662906" w:rsidRDefault="00900B7D" w:rsidP="00705585">
            <w:pPr>
              <w:spacing w:after="0"/>
              <w:jc w:val="left"/>
              <w:rPr>
                <w:rFonts w:cs="Arial"/>
              </w:rPr>
            </w:pPr>
            <w:r w:rsidRPr="00662906">
              <w:rPr>
                <w:rFonts w:cs="Arial"/>
              </w:rPr>
              <w:t>PtX</w:t>
            </w:r>
          </w:p>
        </w:tc>
        <w:tc>
          <w:tcPr>
            <w:tcW w:w="7415" w:type="dxa"/>
            <w:vAlign w:val="center"/>
          </w:tcPr>
          <w:p w14:paraId="78775414" w14:textId="76F03139" w:rsidR="00900B7D" w:rsidRPr="00662906" w:rsidRDefault="00900B7D" w:rsidP="00674329">
            <w:pPr>
              <w:spacing w:after="0"/>
              <w:rPr>
                <w:rFonts w:cs="Arial"/>
              </w:rPr>
            </w:pPr>
            <w:r w:rsidRPr="00662906">
              <w:rPr>
                <w:rFonts w:cs="Arial"/>
              </w:rPr>
              <w:t>Power-to-X</w:t>
            </w:r>
          </w:p>
        </w:tc>
      </w:tr>
      <w:tr w:rsidR="00232D97" w:rsidRPr="00662906" w14:paraId="6EADAC13" w14:textId="77777777" w:rsidTr="2D9E25B5">
        <w:trPr>
          <w:trHeight w:val="318"/>
        </w:trPr>
        <w:tc>
          <w:tcPr>
            <w:tcW w:w="1620" w:type="dxa"/>
            <w:vAlign w:val="center"/>
          </w:tcPr>
          <w:p w14:paraId="51C8F641" w14:textId="77777777" w:rsidR="00232D97" w:rsidRPr="00662906" w:rsidRDefault="00232D97" w:rsidP="00705585">
            <w:pPr>
              <w:spacing w:after="0"/>
              <w:jc w:val="left"/>
              <w:rPr>
                <w:rFonts w:cs="Arial"/>
              </w:rPr>
            </w:pPr>
            <w:r w:rsidRPr="00662906">
              <w:rPr>
                <w:rFonts w:cs="Arial"/>
              </w:rPr>
              <w:t>PV</w:t>
            </w:r>
          </w:p>
        </w:tc>
        <w:tc>
          <w:tcPr>
            <w:tcW w:w="7415" w:type="dxa"/>
            <w:vAlign w:val="center"/>
          </w:tcPr>
          <w:p w14:paraId="259C0D0F" w14:textId="77777777" w:rsidR="00232D97" w:rsidRPr="00662906" w:rsidRDefault="00232D97" w:rsidP="00674329">
            <w:pPr>
              <w:spacing w:after="0"/>
              <w:rPr>
                <w:rFonts w:cs="Arial"/>
              </w:rPr>
            </w:pPr>
            <w:r w:rsidRPr="00662906">
              <w:rPr>
                <w:rFonts w:cs="Arial"/>
              </w:rPr>
              <w:t>Photovoltaic</w:t>
            </w:r>
          </w:p>
        </w:tc>
      </w:tr>
      <w:tr w:rsidR="00F504D0" w:rsidRPr="00662906" w14:paraId="4D149A75" w14:textId="77777777" w:rsidTr="2D9E25B5">
        <w:trPr>
          <w:trHeight w:val="318"/>
        </w:trPr>
        <w:tc>
          <w:tcPr>
            <w:tcW w:w="1620" w:type="dxa"/>
            <w:vAlign w:val="center"/>
          </w:tcPr>
          <w:p w14:paraId="06B474DC" w14:textId="6743F0FC" w:rsidR="00F504D0" w:rsidRPr="00662906" w:rsidRDefault="00F504D0" w:rsidP="00705585">
            <w:pPr>
              <w:spacing w:after="0"/>
              <w:jc w:val="left"/>
              <w:rPr>
                <w:rFonts w:cs="Arial"/>
              </w:rPr>
            </w:pPr>
            <w:r w:rsidRPr="00662906">
              <w:rPr>
                <w:rFonts w:cs="Arial"/>
              </w:rPr>
              <w:t>PWh</w:t>
            </w:r>
          </w:p>
        </w:tc>
        <w:tc>
          <w:tcPr>
            <w:tcW w:w="7415" w:type="dxa"/>
            <w:vAlign w:val="center"/>
          </w:tcPr>
          <w:p w14:paraId="53F3DA90" w14:textId="3201D9EA" w:rsidR="00F504D0" w:rsidRPr="00662906" w:rsidRDefault="00F504D0" w:rsidP="00674329">
            <w:pPr>
              <w:spacing w:after="0"/>
              <w:rPr>
                <w:rFonts w:cs="Arial"/>
              </w:rPr>
            </w:pPr>
            <w:r w:rsidRPr="00662906">
              <w:rPr>
                <w:rFonts w:cs="Arial"/>
              </w:rPr>
              <w:t>Petawatt hour</w:t>
            </w:r>
          </w:p>
        </w:tc>
      </w:tr>
      <w:tr w:rsidR="007505D7" w:rsidRPr="00662906" w14:paraId="1AA38A8A" w14:textId="77777777" w:rsidTr="0044361B">
        <w:trPr>
          <w:trHeight w:val="318"/>
        </w:trPr>
        <w:tc>
          <w:tcPr>
            <w:tcW w:w="1620" w:type="dxa"/>
            <w:vAlign w:val="center"/>
          </w:tcPr>
          <w:p w14:paraId="2BF3A165" w14:textId="77777777" w:rsidR="007505D7" w:rsidRPr="00662906" w:rsidRDefault="007505D7" w:rsidP="0044361B">
            <w:pPr>
              <w:spacing w:after="0"/>
              <w:jc w:val="left"/>
              <w:rPr>
                <w:rFonts w:cs="Arial"/>
              </w:rPr>
            </w:pPr>
            <w:r w:rsidRPr="00662906">
              <w:rPr>
                <w:rFonts w:cs="Arial"/>
              </w:rPr>
              <w:t>RCREEEs</w:t>
            </w:r>
          </w:p>
        </w:tc>
        <w:tc>
          <w:tcPr>
            <w:tcW w:w="7415" w:type="dxa"/>
            <w:vAlign w:val="center"/>
          </w:tcPr>
          <w:p w14:paraId="3C83781B" w14:textId="77777777" w:rsidR="007505D7" w:rsidRPr="00662906" w:rsidRDefault="007505D7" w:rsidP="0044361B">
            <w:pPr>
              <w:spacing w:after="0"/>
              <w:rPr>
                <w:rFonts w:cs="Arial"/>
              </w:rPr>
            </w:pPr>
            <w:r w:rsidRPr="00662906">
              <w:rPr>
                <w:rFonts w:eastAsia="Arial" w:cs="Arial"/>
              </w:rPr>
              <w:t>Regional Centres for Renewable Energy and Energy Efficiency</w:t>
            </w:r>
          </w:p>
        </w:tc>
      </w:tr>
      <w:tr w:rsidR="00232D97" w:rsidRPr="00662906" w14:paraId="26ED023E" w14:textId="77777777" w:rsidTr="2D9E25B5">
        <w:trPr>
          <w:trHeight w:val="318"/>
        </w:trPr>
        <w:tc>
          <w:tcPr>
            <w:tcW w:w="1620" w:type="dxa"/>
            <w:vAlign w:val="center"/>
          </w:tcPr>
          <w:p w14:paraId="07DCC4C6" w14:textId="2D3A6E1C" w:rsidR="00232D97" w:rsidRPr="00662906" w:rsidRDefault="00232D97" w:rsidP="00705585">
            <w:pPr>
              <w:spacing w:after="0"/>
              <w:jc w:val="left"/>
              <w:rPr>
                <w:rFonts w:cs="Arial"/>
              </w:rPr>
            </w:pPr>
            <w:r w:rsidRPr="00662906">
              <w:rPr>
                <w:rFonts w:cs="Arial"/>
              </w:rPr>
              <w:t>RE</w:t>
            </w:r>
          </w:p>
        </w:tc>
        <w:tc>
          <w:tcPr>
            <w:tcW w:w="7415" w:type="dxa"/>
            <w:vAlign w:val="center"/>
          </w:tcPr>
          <w:p w14:paraId="3B7587F1" w14:textId="77777777" w:rsidR="00232D97" w:rsidRPr="00662906" w:rsidRDefault="00232D97" w:rsidP="00674329">
            <w:pPr>
              <w:spacing w:after="0"/>
              <w:rPr>
                <w:rFonts w:cs="Arial"/>
              </w:rPr>
            </w:pPr>
            <w:r w:rsidRPr="00662906">
              <w:rPr>
                <w:rFonts w:cs="Arial"/>
              </w:rPr>
              <w:t>Renewable Energy</w:t>
            </w:r>
          </w:p>
        </w:tc>
      </w:tr>
      <w:tr w:rsidR="00232D97" w:rsidRPr="00662906" w14:paraId="647FC739" w14:textId="77777777" w:rsidTr="2D9E25B5">
        <w:trPr>
          <w:trHeight w:val="318"/>
        </w:trPr>
        <w:tc>
          <w:tcPr>
            <w:tcW w:w="1620" w:type="dxa"/>
            <w:vAlign w:val="center"/>
          </w:tcPr>
          <w:p w14:paraId="6D7BC842" w14:textId="359F03CF" w:rsidR="00232D97" w:rsidRPr="00662906" w:rsidRDefault="00232D97" w:rsidP="00705585">
            <w:pPr>
              <w:spacing w:after="0"/>
              <w:jc w:val="left"/>
              <w:rPr>
                <w:rFonts w:cs="Arial"/>
              </w:rPr>
            </w:pPr>
            <w:r w:rsidRPr="00662906">
              <w:rPr>
                <w:rFonts w:cs="Arial"/>
              </w:rPr>
              <w:t>RECs</w:t>
            </w:r>
          </w:p>
        </w:tc>
        <w:tc>
          <w:tcPr>
            <w:tcW w:w="7415" w:type="dxa"/>
            <w:vAlign w:val="center"/>
          </w:tcPr>
          <w:p w14:paraId="40BE6D9C" w14:textId="77777777" w:rsidR="00232D97" w:rsidRPr="00662906" w:rsidRDefault="00232D97" w:rsidP="00674329">
            <w:pPr>
              <w:spacing w:after="0"/>
              <w:rPr>
                <w:rFonts w:cs="Arial"/>
              </w:rPr>
            </w:pPr>
            <w:r w:rsidRPr="00662906">
              <w:rPr>
                <w:rFonts w:cs="Arial"/>
              </w:rPr>
              <w:t>Regional Economic Communities</w:t>
            </w:r>
          </w:p>
        </w:tc>
      </w:tr>
      <w:tr w:rsidR="00F35296" w:rsidRPr="00662906" w14:paraId="6D934215" w14:textId="77777777" w:rsidTr="2D9E25B5">
        <w:trPr>
          <w:trHeight w:val="256"/>
        </w:trPr>
        <w:tc>
          <w:tcPr>
            <w:tcW w:w="1620" w:type="dxa"/>
            <w:vAlign w:val="center"/>
          </w:tcPr>
          <w:p w14:paraId="071F987C" w14:textId="356DA904" w:rsidR="00F35296" w:rsidRPr="00662906" w:rsidRDefault="00F35296" w:rsidP="00705585">
            <w:pPr>
              <w:spacing w:after="0"/>
              <w:jc w:val="left"/>
              <w:rPr>
                <w:rFonts w:cs="Arial"/>
              </w:rPr>
            </w:pPr>
            <w:r w:rsidRPr="00662906">
              <w:rPr>
                <w:rFonts w:cs="Arial"/>
              </w:rPr>
              <w:t>RES</w:t>
            </w:r>
          </w:p>
        </w:tc>
        <w:tc>
          <w:tcPr>
            <w:tcW w:w="7415" w:type="dxa"/>
            <w:vAlign w:val="center"/>
          </w:tcPr>
          <w:p w14:paraId="622982FE" w14:textId="29FBFF31" w:rsidR="00F35296" w:rsidRPr="00662906" w:rsidRDefault="00F35296" w:rsidP="00674329">
            <w:pPr>
              <w:spacing w:after="0"/>
              <w:rPr>
                <w:rFonts w:cs="Arial"/>
              </w:rPr>
            </w:pPr>
            <w:r w:rsidRPr="00662906">
              <w:rPr>
                <w:rFonts w:cs="Arial"/>
              </w:rPr>
              <w:t>Renewable Energy Sources</w:t>
            </w:r>
          </w:p>
        </w:tc>
      </w:tr>
      <w:tr w:rsidR="00E87869" w:rsidRPr="00662906" w14:paraId="46F3E0F4" w14:textId="77777777" w:rsidTr="2D9E25B5">
        <w:trPr>
          <w:trHeight w:val="256"/>
        </w:trPr>
        <w:tc>
          <w:tcPr>
            <w:tcW w:w="1620" w:type="dxa"/>
            <w:vAlign w:val="center"/>
          </w:tcPr>
          <w:p w14:paraId="0ABB9B80" w14:textId="0B62FDF6" w:rsidR="00E87869" w:rsidRPr="00662906" w:rsidRDefault="00E87869" w:rsidP="00705585">
            <w:pPr>
              <w:spacing w:after="0"/>
              <w:jc w:val="left"/>
              <w:rPr>
                <w:rFonts w:cs="Arial"/>
              </w:rPr>
            </w:pPr>
            <w:r w:rsidRPr="00662906">
              <w:rPr>
                <w:rFonts w:cs="Arial"/>
              </w:rPr>
              <w:t>ROI</w:t>
            </w:r>
          </w:p>
        </w:tc>
        <w:tc>
          <w:tcPr>
            <w:tcW w:w="7415" w:type="dxa"/>
            <w:vAlign w:val="center"/>
          </w:tcPr>
          <w:p w14:paraId="5A493E9D" w14:textId="2D38A20B" w:rsidR="00E87869" w:rsidRPr="00662906" w:rsidRDefault="00E87869" w:rsidP="00674329">
            <w:pPr>
              <w:spacing w:after="0"/>
              <w:rPr>
                <w:rFonts w:cs="Arial"/>
              </w:rPr>
            </w:pPr>
            <w:r w:rsidRPr="00662906">
              <w:rPr>
                <w:rFonts w:cs="Arial"/>
              </w:rPr>
              <w:t>Return on Investment</w:t>
            </w:r>
          </w:p>
        </w:tc>
      </w:tr>
      <w:tr w:rsidR="005E62F1" w:rsidRPr="00662906" w14:paraId="2DE4D8D4" w14:textId="77777777" w:rsidTr="2D9E25B5">
        <w:trPr>
          <w:trHeight w:val="318"/>
        </w:trPr>
        <w:tc>
          <w:tcPr>
            <w:tcW w:w="1620" w:type="dxa"/>
            <w:tcBorders>
              <w:top w:val="single" w:sz="4" w:space="0" w:color="871D37"/>
              <w:left w:val="single" w:sz="4" w:space="0" w:color="871D37"/>
              <w:bottom w:val="single" w:sz="4" w:space="0" w:color="871D37"/>
              <w:right w:val="single" w:sz="4" w:space="0" w:color="871D37"/>
            </w:tcBorders>
            <w:vAlign w:val="center"/>
          </w:tcPr>
          <w:p w14:paraId="76D5F059" w14:textId="77777777" w:rsidR="005E62F1" w:rsidRPr="00662906" w:rsidRDefault="005E62F1" w:rsidP="00705585">
            <w:pPr>
              <w:spacing w:after="0"/>
              <w:jc w:val="left"/>
              <w:rPr>
                <w:rFonts w:cs="Arial"/>
              </w:rPr>
            </w:pPr>
            <w:r w:rsidRPr="00662906">
              <w:rPr>
                <w:rFonts w:cs="Arial"/>
              </w:rPr>
              <w:t>R&amp;D</w:t>
            </w:r>
          </w:p>
        </w:tc>
        <w:tc>
          <w:tcPr>
            <w:tcW w:w="7415" w:type="dxa"/>
            <w:tcBorders>
              <w:top w:val="single" w:sz="4" w:space="0" w:color="871D37"/>
              <w:left w:val="single" w:sz="4" w:space="0" w:color="871D37"/>
              <w:bottom w:val="single" w:sz="4" w:space="0" w:color="871D37"/>
              <w:right w:val="single" w:sz="4" w:space="0" w:color="871D37"/>
            </w:tcBorders>
            <w:vAlign w:val="center"/>
          </w:tcPr>
          <w:p w14:paraId="08728F01" w14:textId="77777777" w:rsidR="005E62F1" w:rsidRPr="00662906" w:rsidRDefault="005E62F1" w:rsidP="00674329">
            <w:pPr>
              <w:spacing w:after="0"/>
              <w:rPr>
                <w:rFonts w:cs="Arial"/>
              </w:rPr>
            </w:pPr>
            <w:r w:rsidRPr="00662906">
              <w:rPr>
                <w:rFonts w:cs="Arial"/>
              </w:rPr>
              <w:t>Research and Development</w:t>
            </w:r>
          </w:p>
        </w:tc>
      </w:tr>
      <w:tr w:rsidR="0041757C" w:rsidRPr="00662906" w14:paraId="776FB055" w14:textId="77777777" w:rsidTr="2D9E25B5">
        <w:trPr>
          <w:trHeight w:val="318"/>
        </w:trPr>
        <w:tc>
          <w:tcPr>
            <w:tcW w:w="1620" w:type="dxa"/>
            <w:vAlign w:val="center"/>
          </w:tcPr>
          <w:p w14:paraId="3A2B8547" w14:textId="407B47A9" w:rsidR="0041757C" w:rsidRPr="00662906" w:rsidRDefault="0041757C" w:rsidP="00705585">
            <w:pPr>
              <w:spacing w:after="0"/>
              <w:jc w:val="left"/>
              <w:rPr>
                <w:rFonts w:cs="Arial"/>
              </w:rPr>
            </w:pPr>
            <w:r w:rsidRPr="00662906">
              <w:rPr>
                <w:rFonts w:cs="Arial"/>
              </w:rPr>
              <w:t>SAEEC</w:t>
            </w:r>
          </w:p>
        </w:tc>
        <w:tc>
          <w:tcPr>
            <w:tcW w:w="7415" w:type="dxa"/>
            <w:vAlign w:val="center"/>
          </w:tcPr>
          <w:p w14:paraId="32A4CD96" w14:textId="3E3BF405" w:rsidR="0041757C" w:rsidRPr="00662906" w:rsidRDefault="0041757C" w:rsidP="00674329">
            <w:pPr>
              <w:spacing w:after="0"/>
              <w:rPr>
                <w:rFonts w:cs="Arial"/>
              </w:rPr>
            </w:pPr>
            <w:r w:rsidRPr="00662906">
              <w:rPr>
                <w:rFonts w:cs="Arial"/>
              </w:rPr>
              <w:t>Southern African Energy Efficiency Confederation</w:t>
            </w:r>
          </w:p>
        </w:tc>
      </w:tr>
      <w:tr w:rsidR="00232D97" w:rsidRPr="00662906" w14:paraId="26FE8C92" w14:textId="77777777" w:rsidTr="2D9E25B5">
        <w:trPr>
          <w:trHeight w:val="318"/>
        </w:trPr>
        <w:tc>
          <w:tcPr>
            <w:tcW w:w="1620" w:type="dxa"/>
            <w:vAlign w:val="center"/>
          </w:tcPr>
          <w:p w14:paraId="7F523A52" w14:textId="6108A1B1" w:rsidR="00232D97" w:rsidRPr="00662906" w:rsidRDefault="00232D97" w:rsidP="00705585">
            <w:pPr>
              <w:spacing w:after="0"/>
              <w:jc w:val="left"/>
              <w:rPr>
                <w:rFonts w:cs="Arial"/>
              </w:rPr>
            </w:pPr>
            <w:r w:rsidRPr="00662906">
              <w:rPr>
                <w:rFonts w:cs="Arial"/>
              </w:rPr>
              <w:t>SAF</w:t>
            </w:r>
          </w:p>
        </w:tc>
        <w:tc>
          <w:tcPr>
            <w:tcW w:w="7415" w:type="dxa"/>
            <w:vAlign w:val="center"/>
          </w:tcPr>
          <w:p w14:paraId="10945E9E" w14:textId="39B0F72A" w:rsidR="00232D97" w:rsidRPr="00662906" w:rsidRDefault="00232D97" w:rsidP="00674329">
            <w:pPr>
              <w:spacing w:after="0"/>
              <w:rPr>
                <w:rFonts w:cs="Arial"/>
              </w:rPr>
            </w:pPr>
            <w:r w:rsidRPr="00662906">
              <w:rPr>
                <w:rFonts w:cs="Arial"/>
              </w:rPr>
              <w:t>Sustainable Aviation Fuels</w:t>
            </w:r>
          </w:p>
        </w:tc>
      </w:tr>
      <w:tr w:rsidR="00381442" w:rsidRPr="00662906" w14:paraId="09816918" w14:textId="77777777" w:rsidTr="2D9E25B5">
        <w:trPr>
          <w:trHeight w:val="318"/>
        </w:trPr>
        <w:tc>
          <w:tcPr>
            <w:tcW w:w="1620" w:type="dxa"/>
            <w:vAlign w:val="center"/>
          </w:tcPr>
          <w:p w14:paraId="053E6440" w14:textId="75836E1C" w:rsidR="00381442" w:rsidRPr="00662906" w:rsidRDefault="00381442" w:rsidP="00705585">
            <w:pPr>
              <w:spacing w:after="0"/>
              <w:jc w:val="left"/>
              <w:rPr>
                <w:rFonts w:cs="Arial"/>
              </w:rPr>
            </w:pPr>
            <w:r w:rsidRPr="00662906">
              <w:rPr>
                <w:rFonts w:cs="Arial"/>
              </w:rPr>
              <w:t>SAPP</w:t>
            </w:r>
          </w:p>
        </w:tc>
        <w:tc>
          <w:tcPr>
            <w:tcW w:w="7415" w:type="dxa"/>
            <w:vAlign w:val="center"/>
          </w:tcPr>
          <w:p w14:paraId="45989463" w14:textId="5C8C0D1D" w:rsidR="00381442" w:rsidRPr="00662906" w:rsidRDefault="00381442" w:rsidP="00674329">
            <w:pPr>
              <w:spacing w:after="0"/>
              <w:rPr>
                <w:rFonts w:cs="Arial"/>
              </w:rPr>
            </w:pPr>
            <w:r w:rsidRPr="00662906">
              <w:rPr>
                <w:rFonts w:cs="Arial"/>
              </w:rPr>
              <w:t>Southern Africa Power Pool</w:t>
            </w:r>
          </w:p>
        </w:tc>
      </w:tr>
      <w:tr w:rsidR="00232D97" w:rsidRPr="00662906" w14:paraId="65A482EC" w14:textId="77777777" w:rsidTr="2D9E25B5">
        <w:trPr>
          <w:trHeight w:val="318"/>
        </w:trPr>
        <w:tc>
          <w:tcPr>
            <w:tcW w:w="1620" w:type="dxa"/>
            <w:vAlign w:val="center"/>
          </w:tcPr>
          <w:p w14:paraId="757FDC7A" w14:textId="3061FBA9" w:rsidR="00232D97" w:rsidRPr="00662906" w:rsidRDefault="00232D97" w:rsidP="00705585">
            <w:pPr>
              <w:spacing w:after="0"/>
              <w:jc w:val="left"/>
              <w:rPr>
                <w:rFonts w:cs="Arial"/>
              </w:rPr>
            </w:pPr>
            <w:r w:rsidRPr="00662906">
              <w:rPr>
                <w:rFonts w:cs="Arial"/>
              </w:rPr>
              <w:t>SDGs</w:t>
            </w:r>
          </w:p>
        </w:tc>
        <w:tc>
          <w:tcPr>
            <w:tcW w:w="7415" w:type="dxa"/>
            <w:vAlign w:val="center"/>
          </w:tcPr>
          <w:p w14:paraId="453A38DE" w14:textId="77777777" w:rsidR="00232D97" w:rsidRPr="00662906" w:rsidRDefault="00232D97" w:rsidP="00674329">
            <w:pPr>
              <w:spacing w:after="0"/>
              <w:rPr>
                <w:rFonts w:cs="Arial"/>
              </w:rPr>
            </w:pPr>
            <w:r w:rsidRPr="00662906">
              <w:rPr>
                <w:rFonts w:cs="Arial"/>
              </w:rPr>
              <w:t>Sustainable Development Goals</w:t>
            </w:r>
          </w:p>
        </w:tc>
      </w:tr>
      <w:tr w:rsidR="0003764E" w:rsidRPr="00662906" w14:paraId="1273153C" w14:textId="77777777" w:rsidTr="2D9E25B5">
        <w:trPr>
          <w:trHeight w:val="318"/>
        </w:trPr>
        <w:tc>
          <w:tcPr>
            <w:tcW w:w="1620" w:type="dxa"/>
            <w:vAlign w:val="center"/>
          </w:tcPr>
          <w:p w14:paraId="75524797" w14:textId="075A8AD7" w:rsidR="0003764E" w:rsidRPr="00662906" w:rsidRDefault="0003764E" w:rsidP="00705585">
            <w:pPr>
              <w:spacing w:after="0"/>
              <w:jc w:val="left"/>
              <w:rPr>
                <w:rFonts w:cs="Arial"/>
              </w:rPr>
            </w:pPr>
            <w:r w:rsidRPr="00662906">
              <w:rPr>
                <w:rFonts w:cs="Arial"/>
              </w:rPr>
              <w:t>SEA</w:t>
            </w:r>
          </w:p>
        </w:tc>
        <w:tc>
          <w:tcPr>
            <w:tcW w:w="7415" w:type="dxa"/>
            <w:vAlign w:val="center"/>
          </w:tcPr>
          <w:p w14:paraId="709154E7" w14:textId="3DE222DE" w:rsidR="0003764E" w:rsidRPr="00662906" w:rsidRDefault="0003764E" w:rsidP="00674329">
            <w:pPr>
              <w:spacing w:after="0"/>
              <w:rPr>
                <w:rFonts w:cs="Arial"/>
              </w:rPr>
            </w:pPr>
            <w:r w:rsidRPr="00662906">
              <w:rPr>
                <w:rFonts w:cs="Arial"/>
              </w:rPr>
              <w:t xml:space="preserve">Sustainable Energy Africa </w:t>
            </w:r>
          </w:p>
        </w:tc>
      </w:tr>
      <w:tr w:rsidR="00232D97" w:rsidRPr="00662906" w14:paraId="105ACCAE" w14:textId="77777777" w:rsidTr="2D9E25B5">
        <w:trPr>
          <w:trHeight w:val="318"/>
        </w:trPr>
        <w:tc>
          <w:tcPr>
            <w:tcW w:w="1620" w:type="dxa"/>
            <w:vAlign w:val="center"/>
          </w:tcPr>
          <w:p w14:paraId="1523EF0D" w14:textId="77777777" w:rsidR="00232D97" w:rsidRPr="00662906" w:rsidRDefault="00232D97" w:rsidP="00705585">
            <w:pPr>
              <w:spacing w:after="0"/>
              <w:jc w:val="left"/>
              <w:rPr>
                <w:rFonts w:cs="Arial"/>
              </w:rPr>
            </w:pPr>
            <w:r w:rsidRPr="00662906">
              <w:rPr>
                <w:rFonts w:cs="Arial"/>
              </w:rPr>
              <w:t>SME</w:t>
            </w:r>
          </w:p>
        </w:tc>
        <w:tc>
          <w:tcPr>
            <w:tcW w:w="7415" w:type="dxa"/>
            <w:vAlign w:val="center"/>
          </w:tcPr>
          <w:p w14:paraId="1E968AE2" w14:textId="77777777" w:rsidR="00232D97" w:rsidRPr="00662906" w:rsidRDefault="00232D97" w:rsidP="00674329">
            <w:pPr>
              <w:spacing w:after="0"/>
              <w:rPr>
                <w:rFonts w:cs="Arial"/>
              </w:rPr>
            </w:pPr>
            <w:r w:rsidRPr="00662906">
              <w:rPr>
                <w:rFonts w:cs="Arial"/>
              </w:rPr>
              <w:t>Small-medium enterprise</w:t>
            </w:r>
          </w:p>
        </w:tc>
      </w:tr>
      <w:tr w:rsidR="00AC3781" w:rsidRPr="00662906" w14:paraId="6C60C50B" w14:textId="77777777" w:rsidTr="2D9E25B5">
        <w:trPr>
          <w:trHeight w:val="318"/>
        </w:trPr>
        <w:tc>
          <w:tcPr>
            <w:tcW w:w="1620" w:type="dxa"/>
            <w:vAlign w:val="center"/>
          </w:tcPr>
          <w:p w14:paraId="67DC0DC2" w14:textId="2827DE41" w:rsidR="00AC3781" w:rsidRPr="00662906" w:rsidRDefault="00AC3781" w:rsidP="00705585">
            <w:pPr>
              <w:spacing w:after="0"/>
              <w:jc w:val="left"/>
              <w:rPr>
                <w:rFonts w:cs="Arial"/>
              </w:rPr>
            </w:pPr>
            <w:r w:rsidRPr="00662906">
              <w:rPr>
                <w:rFonts w:eastAsia="Arial" w:cs="Arial"/>
              </w:rPr>
              <w:t>SSATP</w:t>
            </w:r>
          </w:p>
        </w:tc>
        <w:tc>
          <w:tcPr>
            <w:tcW w:w="7415" w:type="dxa"/>
          </w:tcPr>
          <w:p w14:paraId="0008CB02" w14:textId="4BE772BF" w:rsidR="00AC3781" w:rsidRPr="00662906" w:rsidRDefault="00AC3781" w:rsidP="00674329">
            <w:pPr>
              <w:spacing w:after="0"/>
              <w:rPr>
                <w:rFonts w:cs="Arial"/>
              </w:rPr>
            </w:pPr>
            <w:r w:rsidRPr="00662906">
              <w:rPr>
                <w:rFonts w:eastAsia="Arial" w:cs="Arial"/>
              </w:rPr>
              <w:t xml:space="preserve">Africa Transport Policy Program </w:t>
            </w:r>
          </w:p>
        </w:tc>
      </w:tr>
      <w:tr w:rsidR="00F35296" w:rsidRPr="00662906" w14:paraId="6E31D248" w14:textId="77777777" w:rsidTr="2D9E25B5">
        <w:trPr>
          <w:trHeight w:val="318"/>
        </w:trPr>
        <w:tc>
          <w:tcPr>
            <w:tcW w:w="1620" w:type="dxa"/>
            <w:vAlign w:val="center"/>
          </w:tcPr>
          <w:p w14:paraId="63E6C7D5" w14:textId="5EFC0D50" w:rsidR="00F35296" w:rsidRPr="00662906" w:rsidRDefault="00F35296" w:rsidP="00705585">
            <w:pPr>
              <w:spacing w:after="0"/>
              <w:jc w:val="left"/>
              <w:rPr>
                <w:rFonts w:eastAsia="Arial" w:cs="Arial"/>
              </w:rPr>
            </w:pPr>
            <w:r w:rsidRPr="00662906">
              <w:rPr>
                <w:rFonts w:eastAsia="Arial" w:cs="Arial"/>
              </w:rPr>
              <w:t>SSDG</w:t>
            </w:r>
          </w:p>
        </w:tc>
        <w:tc>
          <w:tcPr>
            <w:tcW w:w="7415" w:type="dxa"/>
          </w:tcPr>
          <w:p w14:paraId="278D2E31" w14:textId="177A4106" w:rsidR="00F35296" w:rsidRPr="00662906" w:rsidRDefault="00F35296" w:rsidP="00674329">
            <w:pPr>
              <w:spacing w:after="0"/>
              <w:rPr>
                <w:rFonts w:eastAsia="Arial" w:cs="Arial"/>
              </w:rPr>
            </w:pPr>
            <w:r w:rsidRPr="00662906">
              <w:rPr>
                <w:rFonts w:eastAsia="Arial" w:cs="Arial"/>
              </w:rPr>
              <w:t>Small-Scale Distributed Generation</w:t>
            </w:r>
          </w:p>
        </w:tc>
      </w:tr>
      <w:tr w:rsidR="004C0FA4" w:rsidRPr="00662906" w14:paraId="1D3DF648" w14:textId="77777777" w:rsidTr="2D9E25B5">
        <w:trPr>
          <w:trHeight w:val="318"/>
        </w:trPr>
        <w:tc>
          <w:tcPr>
            <w:tcW w:w="1620" w:type="dxa"/>
            <w:vAlign w:val="center"/>
          </w:tcPr>
          <w:p w14:paraId="440E8FF0" w14:textId="00B380D1" w:rsidR="004C0FA4" w:rsidRPr="00662906" w:rsidRDefault="004C0FA4" w:rsidP="00705585">
            <w:pPr>
              <w:spacing w:after="0"/>
              <w:jc w:val="left"/>
              <w:rPr>
                <w:rFonts w:eastAsia="Arial" w:cs="Arial"/>
              </w:rPr>
            </w:pPr>
            <w:r w:rsidRPr="00662906">
              <w:rPr>
                <w:rFonts w:eastAsia="Arial" w:cs="Arial"/>
              </w:rPr>
              <w:t>STEPS</w:t>
            </w:r>
          </w:p>
        </w:tc>
        <w:tc>
          <w:tcPr>
            <w:tcW w:w="7415" w:type="dxa"/>
          </w:tcPr>
          <w:p w14:paraId="7DB4D435" w14:textId="135C0835" w:rsidR="004C0FA4" w:rsidRPr="00662906" w:rsidRDefault="004C0FA4" w:rsidP="00674329">
            <w:pPr>
              <w:spacing w:after="0"/>
              <w:rPr>
                <w:rFonts w:eastAsia="Arial" w:cs="Arial"/>
              </w:rPr>
            </w:pPr>
            <w:r w:rsidRPr="00662906">
              <w:rPr>
                <w:lang w:eastAsia="fr-FR"/>
              </w:rPr>
              <w:t>Stated Policies Scenario</w:t>
            </w:r>
          </w:p>
        </w:tc>
      </w:tr>
      <w:tr w:rsidR="00AC3781" w:rsidRPr="00662906" w14:paraId="65031D35" w14:textId="77777777" w:rsidTr="2D9E25B5">
        <w:trPr>
          <w:trHeight w:val="318"/>
        </w:trPr>
        <w:tc>
          <w:tcPr>
            <w:tcW w:w="1620" w:type="dxa"/>
            <w:vAlign w:val="center"/>
          </w:tcPr>
          <w:p w14:paraId="2186E7BF" w14:textId="77777777" w:rsidR="00AC3781" w:rsidRPr="00662906" w:rsidRDefault="00AC3781" w:rsidP="00705585">
            <w:pPr>
              <w:spacing w:after="0"/>
              <w:jc w:val="left"/>
              <w:rPr>
                <w:rFonts w:cs="Arial"/>
              </w:rPr>
            </w:pPr>
            <w:bookmarkStart w:id="29" w:name="_Hlk190342978"/>
            <w:r w:rsidRPr="00662906">
              <w:rPr>
                <w:rFonts w:cs="Arial"/>
              </w:rPr>
              <w:t>SWOT</w:t>
            </w:r>
          </w:p>
        </w:tc>
        <w:tc>
          <w:tcPr>
            <w:tcW w:w="7415" w:type="dxa"/>
            <w:vAlign w:val="center"/>
          </w:tcPr>
          <w:p w14:paraId="4F75607B" w14:textId="77777777" w:rsidR="00AC3781" w:rsidRPr="00662906" w:rsidRDefault="00AC3781" w:rsidP="00674329">
            <w:pPr>
              <w:spacing w:after="0"/>
              <w:rPr>
                <w:rFonts w:cs="Arial"/>
              </w:rPr>
            </w:pPr>
            <w:r w:rsidRPr="00662906">
              <w:rPr>
                <w:rFonts w:cs="Arial"/>
              </w:rPr>
              <w:t>Strengths, Weaknesses, Opportunities, and Threats</w:t>
            </w:r>
          </w:p>
        </w:tc>
      </w:tr>
      <w:bookmarkEnd w:id="29"/>
      <w:tr w:rsidR="00AC3781" w:rsidRPr="00662906" w14:paraId="0F532081" w14:textId="77777777" w:rsidTr="2D9E25B5">
        <w:trPr>
          <w:trHeight w:val="318"/>
        </w:trPr>
        <w:tc>
          <w:tcPr>
            <w:tcW w:w="1620" w:type="dxa"/>
            <w:vAlign w:val="center"/>
          </w:tcPr>
          <w:p w14:paraId="129C437B" w14:textId="65DD78D9" w:rsidR="00AC3781" w:rsidRPr="00662906" w:rsidRDefault="00AC3781" w:rsidP="00705585">
            <w:pPr>
              <w:spacing w:after="0"/>
              <w:jc w:val="left"/>
              <w:rPr>
                <w:rFonts w:cs="Arial"/>
              </w:rPr>
            </w:pPr>
            <w:r w:rsidRPr="00662906">
              <w:rPr>
                <w:rFonts w:cs="Arial"/>
              </w:rPr>
              <w:t>TA</w:t>
            </w:r>
          </w:p>
        </w:tc>
        <w:tc>
          <w:tcPr>
            <w:tcW w:w="7415" w:type="dxa"/>
            <w:vAlign w:val="center"/>
          </w:tcPr>
          <w:p w14:paraId="0FD5921D" w14:textId="0B9904D3" w:rsidR="00AC3781" w:rsidRPr="00662906" w:rsidRDefault="00AC3781" w:rsidP="00674329">
            <w:pPr>
              <w:spacing w:after="0"/>
              <w:rPr>
                <w:rFonts w:cs="Arial"/>
              </w:rPr>
            </w:pPr>
            <w:r w:rsidRPr="00662906">
              <w:rPr>
                <w:rFonts w:cs="Arial"/>
              </w:rPr>
              <w:t>Technical Assistance</w:t>
            </w:r>
          </w:p>
        </w:tc>
      </w:tr>
      <w:tr w:rsidR="000058BC" w:rsidRPr="00662906" w14:paraId="4EB1A223" w14:textId="77777777" w:rsidTr="2D9E25B5">
        <w:trPr>
          <w:trHeight w:val="318"/>
        </w:trPr>
        <w:tc>
          <w:tcPr>
            <w:tcW w:w="1620" w:type="dxa"/>
            <w:vAlign w:val="center"/>
          </w:tcPr>
          <w:p w14:paraId="7BE77FF5" w14:textId="62914D27" w:rsidR="000058BC" w:rsidRPr="00662906" w:rsidRDefault="000058BC" w:rsidP="00705585">
            <w:pPr>
              <w:spacing w:after="0"/>
              <w:jc w:val="left"/>
              <w:rPr>
                <w:rFonts w:cs="Arial"/>
              </w:rPr>
            </w:pPr>
            <w:r w:rsidRPr="00662906">
              <w:rPr>
                <w:rFonts w:cs="Arial"/>
              </w:rPr>
              <w:lastRenderedPageBreak/>
              <w:t>TCF</w:t>
            </w:r>
          </w:p>
        </w:tc>
        <w:tc>
          <w:tcPr>
            <w:tcW w:w="7415" w:type="dxa"/>
            <w:vAlign w:val="center"/>
          </w:tcPr>
          <w:p w14:paraId="7B24D2A3" w14:textId="4461CAB1" w:rsidR="000058BC" w:rsidRPr="00662906" w:rsidRDefault="000058BC" w:rsidP="00674329">
            <w:pPr>
              <w:spacing w:after="0"/>
              <w:rPr>
                <w:rFonts w:cs="Arial"/>
              </w:rPr>
            </w:pPr>
            <w:r w:rsidRPr="00662906">
              <w:rPr>
                <w:rFonts w:cs="Arial"/>
              </w:rPr>
              <w:t xml:space="preserve">Trillion Cubic Feet </w:t>
            </w:r>
          </w:p>
        </w:tc>
      </w:tr>
      <w:tr w:rsidR="42F087AC" w:rsidRPr="00662906" w14:paraId="27A979D9" w14:textId="77777777" w:rsidTr="2D9E25B5">
        <w:trPr>
          <w:trHeight w:val="318"/>
        </w:trPr>
        <w:tc>
          <w:tcPr>
            <w:tcW w:w="1620" w:type="dxa"/>
            <w:vAlign w:val="center"/>
          </w:tcPr>
          <w:p w14:paraId="630CA158" w14:textId="3411DFB4" w:rsidR="42F087AC" w:rsidRPr="00662906" w:rsidRDefault="05671DF3" w:rsidP="00E678F4">
            <w:pPr>
              <w:spacing w:after="0"/>
              <w:rPr>
                <w:rFonts w:cs="Arial"/>
              </w:rPr>
            </w:pPr>
            <w:r w:rsidRPr="00662906">
              <w:rPr>
                <w:rFonts w:cs="Arial"/>
              </w:rPr>
              <w:t>TFEC</w:t>
            </w:r>
          </w:p>
        </w:tc>
        <w:tc>
          <w:tcPr>
            <w:tcW w:w="7415" w:type="dxa"/>
            <w:vAlign w:val="center"/>
          </w:tcPr>
          <w:p w14:paraId="05474B50" w14:textId="7CA090AB" w:rsidR="2F5A9534" w:rsidRPr="00662906" w:rsidRDefault="05671DF3" w:rsidP="00E678F4">
            <w:pPr>
              <w:spacing w:after="0"/>
              <w:rPr>
                <w:rFonts w:cs="Arial"/>
              </w:rPr>
            </w:pPr>
            <w:r w:rsidRPr="00662906">
              <w:rPr>
                <w:rFonts w:cs="Arial"/>
              </w:rPr>
              <w:t>Total Final Energy Consumption</w:t>
            </w:r>
          </w:p>
        </w:tc>
      </w:tr>
      <w:tr w:rsidR="00DF34CC" w:rsidRPr="00662906" w14:paraId="1DD2855D" w14:textId="77777777" w:rsidTr="2D9E25B5">
        <w:trPr>
          <w:trHeight w:val="318"/>
        </w:trPr>
        <w:tc>
          <w:tcPr>
            <w:tcW w:w="1620" w:type="dxa"/>
            <w:vAlign w:val="center"/>
          </w:tcPr>
          <w:p w14:paraId="2C976E3F" w14:textId="55C9A8E0" w:rsidR="00DF34CC" w:rsidRPr="00662906" w:rsidRDefault="00DF34CC" w:rsidP="00E678F4">
            <w:pPr>
              <w:spacing w:after="0"/>
              <w:rPr>
                <w:rFonts w:cs="Arial"/>
              </w:rPr>
            </w:pPr>
            <w:r w:rsidRPr="00662906">
              <w:rPr>
                <w:rFonts w:cs="Arial"/>
              </w:rPr>
              <w:t>ToC</w:t>
            </w:r>
          </w:p>
        </w:tc>
        <w:tc>
          <w:tcPr>
            <w:tcW w:w="7415" w:type="dxa"/>
            <w:vAlign w:val="center"/>
          </w:tcPr>
          <w:p w14:paraId="486D2288" w14:textId="7C14F982" w:rsidR="00DF34CC" w:rsidRPr="00662906" w:rsidRDefault="00DF34CC" w:rsidP="00E678F4">
            <w:pPr>
              <w:spacing w:after="0"/>
              <w:rPr>
                <w:rFonts w:cs="Arial"/>
              </w:rPr>
            </w:pPr>
            <w:r w:rsidRPr="00662906">
              <w:rPr>
                <w:rFonts w:cs="Arial"/>
              </w:rPr>
              <w:t>Theory of Change</w:t>
            </w:r>
          </w:p>
        </w:tc>
      </w:tr>
      <w:tr w:rsidR="00F44162" w:rsidRPr="00662906" w14:paraId="34BB14C5" w14:textId="77777777" w:rsidTr="2D9E25B5">
        <w:trPr>
          <w:trHeight w:val="318"/>
        </w:trPr>
        <w:tc>
          <w:tcPr>
            <w:tcW w:w="1620" w:type="dxa"/>
            <w:vAlign w:val="center"/>
          </w:tcPr>
          <w:p w14:paraId="18F0CF46" w14:textId="24D5B24B" w:rsidR="00F44162" w:rsidRPr="00662906" w:rsidRDefault="00F44162" w:rsidP="00E678F4">
            <w:pPr>
              <w:spacing w:after="0"/>
              <w:rPr>
                <w:rFonts w:cs="Arial"/>
              </w:rPr>
            </w:pPr>
            <w:r w:rsidRPr="00662906">
              <w:rPr>
                <w:rFonts w:cs="Arial"/>
              </w:rPr>
              <w:t>ToRs</w:t>
            </w:r>
          </w:p>
        </w:tc>
        <w:tc>
          <w:tcPr>
            <w:tcW w:w="7415" w:type="dxa"/>
            <w:vAlign w:val="center"/>
          </w:tcPr>
          <w:p w14:paraId="694C71EA" w14:textId="73C238A6" w:rsidR="00F44162" w:rsidRPr="00662906" w:rsidRDefault="00F44162" w:rsidP="00E678F4">
            <w:pPr>
              <w:spacing w:after="0"/>
              <w:rPr>
                <w:rFonts w:cs="Arial"/>
              </w:rPr>
            </w:pPr>
            <w:r w:rsidRPr="00662906">
              <w:rPr>
                <w:rFonts w:cs="Arial"/>
              </w:rPr>
              <w:t xml:space="preserve">Terms of Reference </w:t>
            </w:r>
          </w:p>
        </w:tc>
      </w:tr>
      <w:tr w:rsidR="00AC3781" w:rsidRPr="00662906" w14:paraId="566F9D03" w14:textId="77777777" w:rsidTr="2D9E25B5">
        <w:trPr>
          <w:trHeight w:val="318"/>
        </w:trPr>
        <w:tc>
          <w:tcPr>
            <w:tcW w:w="1620" w:type="dxa"/>
            <w:vAlign w:val="center"/>
          </w:tcPr>
          <w:p w14:paraId="58174560" w14:textId="77777777" w:rsidR="00AC3781" w:rsidRPr="00662906" w:rsidRDefault="00AC3781" w:rsidP="00705585">
            <w:pPr>
              <w:spacing w:after="0"/>
              <w:jc w:val="left"/>
              <w:rPr>
                <w:rFonts w:cs="Arial"/>
              </w:rPr>
            </w:pPr>
            <w:r w:rsidRPr="00662906">
              <w:rPr>
                <w:rFonts w:cs="Arial"/>
              </w:rPr>
              <w:t>TPES</w:t>
            </w:r>
          </w:p>
        </w:tc>
        <w:tc>
          <w:tcPr>
            <w:tcW w:w="7415" w:type="dxa"/>
            <w:vAlign w:val="center"/>
          </w:tcPr>
          <w:p w14:paraId="0FCD6A31" w14:textId="398DE4F1" w:rsidR="00AC3781" w:rsidRPr="00662906" w:rsidRDefault="00AC3781" w:rsidP="00674329">
            <w:pPr>
              <w:spacing w:after="0"/>
              <w:rPr>
                <w:rFonts w:cs="Arial"/>
              </w:rPr>
            </w:pPr>
            <w:r w:rsidRPr="00662906">
              <w:rPr>
                <w:rFonts w:cs="Arial"/>
              </w:rPr>
              <w:t>Total Primary Energy Supply</w:t>
            </w:r>
          </w:p>
        </w:tc>
      </w:tr>
      <w:tr w:rsidR="00E948FC" w:rsidRPr="00662906" w14:paraId="311A9539" w14:textId="77777777" w:rsidTr="2D9E25B5">
        <w:trPr>
          <w:trHeight w:val="318"/>
        </w:trPr>
        <w:tc>
          <w:tcPr>
            <w:tcW w:w="1620" w:type="dxa"/>
            <w:vAlign w:val="center"/>
          </w:tcPr>
          <w:p w14:paraId="7A10E898" w14:textId="707330D8" w:rsidR="00E948FC" w:rsidRPr="00662906" w:rsidRDefault="00E948FC" w:rsidP="00705585">
            <w:pPr>
              <w:spacing w:after="0"/>
              <w:jc w:val="left"/>
              <w:rPr>
                <w:rFonts w:cs="Arial"/>
              </w:rPr>
            </w:pPr>
            <w:r w:rsidRPr="00662906">
              <w:rPr>
                <w:rFonts w:cs="Arial"/>
              </w:rPr>
              <w:t>TVET</w:t>
            </w:r>
          </w:p>
        </w:tc>
        <w:tc>
          <w:tcPr>
            <w:tcW w:w="7415" w:type="dxa"/>
            <w:vAlign w:val="center"/>
          </w:tcPr>
          <w:p w14:paraId="75B80EBE" w14:textId="6D1EE2FF" w:rsidR="00E948FC" w:rsidRPr="00662906" w:rsidRDefault="00E948FC" w:rsidP="00674329">
            <w:pPr>
              <w:spacing w:after="0"/>
              <w:rPr>
                <w:rFonts w:cs="Arial"/>
              </w:rPr>
            </w:pPr>
            <w:r w:rsidRPr="00662906">
              <w:rPr>
                <w:rFonts w:cs="Arial"/>
              </w:rPr>
              <w:t>Technical Vocational Education and Training</w:t>
            </w:r>
          </w:p>
        </w:tc>
      </w:tr>
      <w:tr w:rsidR="00661686" w:rsidRPr="00662906" w14:paraId="6FA74190" w14:textId="77777777" w:rsidTr="2D9E25B5">
        <w:trPr>
          <w:trHeight w:val="318"/>
        </w:trPr>
        <w:tc>
          <w:tcPr>
            <w:tcW w:w="1620" w:type="dxa"/>
            <w:vAlign w:val="center"/>
          </w:tcPr>
          <w:p w14:paraId="35321E6D" w14:textId="5A865D5E" w:rsidR="00661686" w:rsidRPr="00662906" w:rsidRDefault="00661686" w:rsidP="00705585">
            <w:pPr>
              <w:spacing w:after="0"/>
              <w:jc w:val="left"/>
              <w:rPr>
                <w:rFonts w:cs="Arial"/>
              </w:rPr>
            </w:pPr>
            <w:r w:rsidRPr="00662906">
              <w:rPr>
                <w:rFonts w:cs="Arial"/>
              </w:rPr>
              <w:t>TWh</w:t>
            </w:r>
          </w:p>
        </w:tc>
        <w:tc>
          <w:tcPr>
            <w:tcW w:w="7415" w:type="dxa"/>
            <w:vAlign w:val="center"/>
          </w:tcPr>
          <w:p w14:paraId="5EC611D7" w14:textId="07A4B5CB" w:rsidR="00661686" w:rsidRPr="00662906" w:rsidRDefault="00661686" w:rsidP="00674329">
            <w:pPr>
              <w:spacing w:after="0"/>
              <w:rPr>
                <w:rFonts w:cs="Arial"/>
              </w:rPr>
            </w:pPr>
            <w:r w:rsidRPr="00662906">
              <w:rPr>
                <w:rFonts w:cs="Arial"/>
              </w:rPr>
              <w:t>Terawatt-hour</w:t>
            </w:r>
          </w:p>
        </w:tc>
      </w:tr>
      <w:tr w:rsidR="00AC3781" w:rsidRPr="00662906" w14:paraId="0F9B8A0A" w14:textId="77777777" w:rsidTr="2D9E25B5">
        <w:trPr>
          <w:trHeight w:val="318"/>
        </w:trPr>
        <w:tc>
          <w:tcPr>
            <w:tcW w:w="1620" w:type="dxa"/>
            <w:vAlign w:val="center"/>
          </w:tcPr>
          <w:p w14:paraId="400A2CCD" w14:textId="70CF9FE5" w:rsidR="00AC3781" w:rsidRPr="00662906" w:rsidRDefault="00AC3781" w:rsidP="00705585">
            <w:pPr>
              <w:spacing w:after="0"/>
              <w:jc w:val="left"/>
              <w:rPr>
                <w:rFonts w:cs="Arial"/>
              </w:rPr>
            </w:pPr>
            <w:r w:rsidRPr="00662906">
              <w:rPr>
                <w:rFonts w:cs="Arial"/>
              </w:rPr>
              <w:t>T&amp;D</w:t>
            </w:r>
          </w:p>
        </w:tc>
        <w:tc>
          <w:tcPr>
            <w:tcW w:w="7415" w:type="dxa"/>
            <w:vAlign w:val="center"/>
          </w:tcPr>
          <w:p w14:paraId="61658B3D" w14:textId="057D9E22" w:rsidR="00AC3781" w:rsidRPr="00662906" w:rsidRDefault="432E3FDE" w:rsidP="00674329">
            <w:pPr>
              <w:spacing w:after="0"/>
              <w:rPr>
                <w:rFonts w:cs="Arial"/>
              </w:rPr>
            </w:pPr>
            <w:r w:rsidRPr="00662906">
              <w:rPr>
                <w:rFonts w:cs="Arial"/>
              </w:rPr>
              <w:t>Transmission and Distribution</w:t>
            </w:r>
          </w:p>
        </w:tc>
      </w:tr>
      <w:tr w:rsidR="00FE70AA" w:rsidRPr="00662906" w14:paraId="5149779D" w14:textId="77777777" w:rsidTr="2D9E25B5">
        <w:trPr>
          <w:trHeight w:val="318"/>
        </w:trPr>
        <w:tc>
          <w:tcPr>
            <w:tcW w:w="1620" w:type="dxa"/>
            <w:vAlign w:val="center"/>
          </w:tcPr>
          <w:p w14:paraId="212BB349" w14:textId="0588C8CF" w:rsidR="00FE70AA" w:rsidRPr="00662906" w:rsidRDefault="00FE70AA" w:rsidP="00705585">
            <w:pPr>
              <w:spacing w:after="0"/>
              <w:jc w:val="left"/>
              <w:rPr>
                <w:rFonts w:cs="Arial"/>
              </w:rPr>
            </w:pPr>
            <w:r w:rsidRPr="00662906">
              <w:rPr>
                <w:rFonts w:cs="Arial"/>
              </w:rPr>
              <w:t>U4E</w:t>
            </w:r>
          </w:p>
        </w:tc>
        <w:tc>
          <w:tcPr>
            <w:tcW w:w="7415" w:type="dxa"/>
            <w:vAlign w:val="center"/>
          </w:tcPr>
          <w:p w14:paraId="2489B09F" w14:textId="21641614" w:rsidR="00FE70AA" w:rsidRPr="00662906" w:rsidRDefault="00FE70AA" w:rsidP="00674329">
            <w:pPr>
              <w:spacing w:after="0"/>
              <w:rPr>
                <w:rFonts w:cs="Arial"/>
              </w:rPr>
            </w:pPr>
            <w:r w:rsidRPr="00662906">
              <w:rPr>
                <w:rFonts w:cs="Arial"/>
              </w:rPr>
              <w:t xml:space="preserve">United for Efficiency </w:t>
            </w:r>
          </w:p>
        </w:tc>
      </w:tr>
      <w:tr w:rsidR="00AC3781" w:rsidRPr="00662906" w14:paraId="5E8C20D9" w14:textId="77777777" w:rsidTr="2D9E25B5">
        <w:trPr>
          <w:trHeight w:val="318"/>
        </w:trPr>
        <w:tc>
          <w:tcPr>
            <w:tcW w:w="1620" w:type="dxa"/>
            <w:vAlign w:val="center"/>
          </w:tcPr>
          <w:p w14:paraId="54B0BD87" w14:textId="3BA710EC" w:rsidR="00AC3781" w:rsidRPr="00662906" w:rsidRDefault="00AC3781" w:rsidP="00705585">
            <w:pPr>
              <w:spacing w:after="0"/>
              <w:jc w:val="left"/>
              <w:rPr>
                <w:rFonts w:cs="Arial"/>
              </w:rPr>
            </w:pPr>
            <w:r w:rsidRPr="00662906">
              <w:rPr>
                <w:rFonts w:cs="Arial"/>
              </w:rPr>
              <w:t>UATP</w:t>
            </w:r>
          </w:p>
        </w:tc>
        <w:tc>
          <w:tcPr>
            <w:tcW w:w="7415" w:type="dxa"/>
            <w:vAlign w:val="center"/>
          </w:tcPr>
          <w:p w14:paraId="1B63CBBF" w14:textId="149CFFFB" w:rsidR="00AC3781" w:rsidRPr="00662906" w:rsidRDefault="00AC3781" w:rsidP="00674329">
            <w:pPr>
              <w:spacing w:after="0"/>
              <w:rPr>
                <w:rFonts w:cs="Arial"/>
              </w:rPr>
            </w:pPr>
            <w:r w:rsidRPr="00662906">
              <w:rPr>
                <w:rFonts w:eastAsia="Arial" w:cs="Arial"/>
              </w:rPr>
              <w:t>African Association for Public Transport</w:t>
            </w:r>
          </w:p>
        </w:tc>
      </w:tr>
      <w:tr w:rsidR="00AC3781" w:rsidRPr="00662906" w14:paraId="4191E06B" w14:textId="77777777" w:rsidTr="2D9E25B5">
        <w:trPr>
          <w:trHeight w:val="318"/>
        </w:trPr>
        <w:tc>
          <w:tcPr>
            <w:tcW w:w="1620" w:type="dxa"/>
            <w:vAlign w:val="center"/>
          </w:tcPr>
          <w:p w14:paraId="4A9D8EF8" w14:textId="77777777" w:rsidR="00AC3781" w:rsidRPr="00662906" w:rsidRDefault="00AC3781" w:rsidP="00705585">
            <w:pPr>
              <w:spacing w:after="0"/>
              <w:jc w:val="left"/>
              <w:rPr>
                <w:rFonts w:cs="Arial"/>
              </w:rPr>
            </w:pPr>
            <w:r w:rsidRPr="00662906">
              <w:rPr>
                <w:rFonts w:cs="Arial"/>
              </w:rPr>
              <w:t>UN</w:t>
            </w:r>
          </w:p>
        </w:tc>
        <w:tc>
          <w:tcPr>
            <w:tcW w:w="7415" w:type="dxa"/>
            <w:vAlign w:val="center"/>
          </w:tcPr>
          <w:p w14:paraId="198294C4" w14:textId="77777777" w:rsidR="00AC3781" w:rsidRPr="00662906" w:rsidRDefault="00AC3781" w:rsidP="00674329">
            <w:pPr>
              <w:spacing w:after="0"/>
              <w:rPr>
                <w:rFonts w:cs="Arial"/>
              </w:rPr>
            </w:pPr>
            <w:r w:rsidRPr="00662906">
              <w:rPr>
                <w:rFonts w:cs="Arial"/>
              </w:rPr>
              <w:t>United Nations</w:t>
            </w:r>
          </w:p>
        </w:tc>
      </w:tr>
      <w:tr w:rsidR="00AC3781" w:rsidRPr="00662906" w14:paraId="53E9175B" w14:textId="77777777" w:rsidTr="2D9E25B5">
        <w:trPr>
          <w:trHeight w:val="318"/>
        </w:trPr>
        <w:tc>
          <w:tcPr>
            <w:tcW w:w="1620" w:type="dxa"/>
            <w:vAlign w:val="center"/>
          </w:tcPr>
          <w:p w14:paraId="145B5213" w14:textId="77777777" w:rsidR="00AC3781" w:rsidRPr="00662906" w:rsidRDefault="00AC3781" w:rsidP="00705585">
            <w:pPr>
              <w:spacing w:after="0"/>
              <w:jc w:val="left"/>
              <w:rPr>
                <w:rFonts w:cs="Arial"/>
              </w:rPr>
            </w:pPr>
            <w:r w:rsidRPr="00662906">
              <w:rPr>
                <w:rFonts w:cs="Arial"/>
              </w:rPr>
              <w:t>UNDP</w:t>
            </w:r>
          </w:p>
        </w:tc>
        <w:tc>
          <w:tcPr>
            <w:tcW w:w="7415" w:type="dxa"/>
            <w:vAlign w:val="center"/>
          </w:tcPr>
          <w:p w14:paraId="0E685748" w14:textId="77777777" w:rsidR="00AC3781" w:rsidRPr="00662906" w:rsidRDefault="00AC3781" w:rsidP="00674329">
            <w:pPr>
              <w:spacing w:after="0"/>
              <w:rPr>
                <w:rFonts w:cs="Arial"/>
              </w:rPr>
            </w:pPr>
            <w:r w:rsidRPr="00662906">
              <w:rPr>
                <w:rFonts w:cs="Arial"/>
              </w:rPr>
              <w:t>United Nations Development Program</w:t>
            </w:r>
          </w:p>
        </w:tc>
      </w:tr>
      <w:tr w:rsidR="00AC3781" w:rsidRPr="00662906" w14:paraId="426DF351" w14:textId="77777777" w:rsidTr="2D9E25B5">
        <w:trPr>
          <w:trHeight w:val="318"/>
        </w:trPr>
        <w:tc>
          <w:tcPr>
            <w:tcW w:w="1620" w:type="dxa"/>
            <w:vAlign w:val="center"/>
          </w:tcPr>
          <w:p w14:paraId="3031F2B9" w14:textId="77777777" w:rsidR="00AC3781" w:rsidRPr="00662906" w:rsidRDefault="00AC3781" w:rsidP="00705585">
            <w:pPr>
              <w:spacing w:after="0"/>
              <w:jc w:val="left"/>
              <w:rPr>
                <w:rFonts w:cs="Arial"/>
              </w:rPr>
            </w:pPr>
            <w:r w:rsidRPr="00662906">
              <w:rPr>
                <w:rFonts w:cs="Arial"/>
              </w:rPr>
              <w:t>UNECA</w:t>
            </w:r>
          </w:p>
        </w:tc>
        <w:tc>
          <w:tcPr>
            <w:tcW w:w="7415" w:type="dxa"/>
            <w:vAlign w:val="center"/>
          </w:tcPr>
          <w:p w14:paraId="073975EF" w14:textId="77777777" w:rsidR="00AC3781" w:rsidRPr="00662906" w:rsidRDefault="00AC3781" w:rsidP="00674329">
            <w:pPr>
              <w:spacing w:after="0"/>
              <w:rPr>
                <w:rFonts w:cs="Arial"/>
              </w:rPr>
            </w:pPr>
            <w:r w:rsidRPr="00662906">
              <w:rPr>
                <w:rFonts w:cs="Arial"/>
              </w:rPr>
              <w:t>United Nations Economic Commission for Africa</w:t>
            </w:r>
          </w:p>
        </w:tc>
      </w:tr>
      <w:tr w:rsidR="00AC3781" w:rsidRPr="00662906" w14:paraId="229CD4AB" w14:textId="77777777" w:rsidTr="2D9E25B5">
        <w:trPr>
          <w:trHeight w:val="318"/>
        </w:trPr>
        <w:tc>
          <w:tcPr>
            <w:tcW w:w="1620" w:type="dxa"/>
            <w:vAlign w:val="center"/>
          </w:tcPr>
          <w:p w14:paraId="2114376A" w14:textId="500AB253" w:rsidR="00AC3781" w:rsidRPr="00662906" w:rsidRDefault="00AC3781" w:rsidP="00705585">
            <w:pPr>
              <w:spacing w:after="0"/>
              <w:jc w:val="left"/>
              <w:rPr>
                <w:rFonts w:cs="Arial"/>
              </w:rPr>
            </w:pPr>
            <w:r w:rsidRPr="00662906">
              <w:rPr>
                <w:rFonts w:cs="Arial"/>
              </w:rPr>
              <w:t>UNEP</w:t>
            </w:r>
          </w:p>
        </w:tc>
        <w:tc>
          <w:tcPr>
            <w:tcW w:w="7415" w:type="dxa"/>
            <w:vAlign w:val="center"/>
          </w:tcPr>
          <w:p w14:paraId="1F9E9A94" w14:textId="61DF7196" w:rsidR="00AC3781" w:rsidRPr="00662906" w:rsidRDefault="00AC3781" w:rsidP="00674329">
            <w:pPr>
              <w:spacing w:after="0"/>
              <w:rPr>
                <w:rFonts w:cs="Arial"/>
              </w:rPr>
            </w:pPr>
            <w:r w:rsidRPr="00662906">
              <w:rPr>
                <w:rFonts w:cs="Arial"/>
              </w:rPr>
              <w:t>United Nations Environment Programme</w:t>
            </w:r>
          </w:p>
        </w:tc>
      </w:tr>
      <w:tr w:rsidR="00AC3781" w:rsidRPr="00662906" w14:paraId="79634D70" w14:textId="77777777" w:rsidTr="2D9E25B5">
        <w:trPr>
          <w:trHeight w:val="318"/>
        </w:trPr>
        <w:tc>
          <w:tcPr>
            <w:tcW w:w="1620" w:type="dxa"/>
            <w:vAlign w:val="center"/>
          </w:tcPr>
          <w:p w14:paraId="0F1C4BB0" w14:textId="77777777" w:rsidR="00AC3781" w:rsidRPr="00662906" w:rsidRDefault="00AC3781" w:rsidP="00705585">
            <w:pPr>
              <w:spacing w:after="0"/>
              <w:jc w:val="left"/>
              <w:rPr>
                <w:rFonts w:cs="Arial"/>
              </w:rPr>
            </w:pPr>
            <w:r w:rsidRPr="00662906">
              <w:rPr>
                <w:rFonts w:cs="Arial"/>
              </w:rPr>
              <w:t>UNFCCC</w:t>
            </w:r>
          </w:p>
        </w:tc>
        <w:tc>
          <w:tcPr>
            <w:tcW w:w="7415" w:type="dxa"/>
            <w:vAlign w:val="center"/>
          </w:tcPr>
          <w:p w14:paraId="4B904992" w14:textId="77777777" w:rsidR="00AC3781" w:rsidRPr="00662906" w:rsidRDefault="00AC3781" w:rsidP="00674329">
            <w:pPr>
              <w:spacing w:after="0"/>
              <w:rPr>
                <w:rFonts w:cs="Arial"/>
              </w:rPr>
            </w:pPr>
            <w:bookmarkStart w:id="30" w:name="_Hlk190430005"/>
            <w:r w:rsidRPr="00662906">
              <w:rPr>
                <w:rFonts w:cs="Arial"/>
              </w:rPr>
              <w:t>United National Framework Convention on Climate Change</w:t>
            </w:r>
            <w:bookmarkEnd w:id="30"/>
          </w:p>
        </w:tc>
      </w:tr>
      <w:tr w:rsidR="00E87869" w:rsidRPr="00662906" w14:paraId="39440FCA" w14:textId="77777777" w:rsidTr="2D9E25B5">
        <w:trPr>
          <w:trHeight w:val="318"/>
        </w:trPr>
        <w:tc>
          <w:tcPr>
            <w:tcW w:w="1620" w:type="dxa"/>
            <w:vAlign w:val="center"/>
          </w:tcPr>
          <w:p w14:paraId="0BC48247" w14:textId="57454762" w:rsidR="00E87869" w:rsidRPr="00662906" w:rsidRDefault="00E87869" w:rsidP="00705585">
            <w:pPr>
              <w:spacing w:after="0"/>
              <w:jc w:val="left"/>
              <w:rPr>
                <w:rFonts w:cs="Arial"/>
              </w:rPr>
            </w:pPr>
            <w:r w:rsidRPr="00662906">
              <w:rPr>
                <w:rFonts w:cs="Arial"/>
              </w:rPr>
              <w:t>UNHCR</w:t>
            </w:r>
          </w:p>
        </w:tc>
        <w:tc>
          <w:tcPr>
            <w:tcW w:w="7415" w:type="dxa"/>
            <w:vAlign w:val="center"/>
          </w:tcPr>
          <w:p w14:paraId="0CC694B8" w14:textId="646C6243" w:rsidR="00E87869" w:rsidRPr="00662906" w:rsidRDefault="00E87869" w:rsidP="00674329">
            <w:pPr>
              <w:spacing w:after="0"/>
              <w:rPr>
                <w:rFonts w:cs="Arial"/>
              </w:rPr>
            </w:pPr>
            <w:r w:rsidRPr="00662906">
              <w:rPr>
                <w:rFonts w:cs="Arial"/>
              </w:rPr>
              <w:t>United Nations High Commissioner for Refugees</w:t>
            </w:r>
          </w:p>
        </w:tc>
      </w:tr>
      <w:tr w:rsidR="00E87869" w:rsidRPr="00662906" w14:paraId="2EE43DFF" w14:textId="77777777" w:rsidTr="2D9E25B5">
        <w:trPr>
          <w:trHeight w:val="318"/>
        </w:trPr>
        <w:tc>
          <w:tcPr>
            <w:tcW w:w="1620" w:type="dxa"/>
            <w:vAlign w:val="center"/>
          </w:tcPr>
          <w:p w14:paraId="710474BE" w14:textId="1A9D89E4" w:rsidR="00E87869" w:rsidRPr="00662906" w:rsidRDefault="00E87869" w:rsidP="00705585">
            <w:pPr>
              <w:spacing w:after="0"/>
              <w:jc w:val="left"/>
              <w:rPr>
                <w:rFonts w:cs="Arial"/>
              </w:rPr>
            </w:pPr>
            <w:r w:rsidRPr="00662906">
              <w:rPr>
                <w:rFonts w:cs="Arial"/>
              </w:rPr>
              <w:t>VAT</w:t>
            </w:r>
          </w:p>
        </w:tc>
        <w:tc>
          <w:tcPr>
            <w:tcW w:w="7415" w:type="dxa"/>
            <w:vAlign w:val="center"/>
          </w:tcPr>
          <w:p w14:paraId="52FF8027" w14:textId="4ABA7725" w:rsidR="00E87869" w:rsidRPr="00662906" w:rsidRDefault="00E87869" w:rsidP="00674329">
            <w:pPr>
              <w:spacing w:after="0"/>
              <w:rPr>
                <w:rFonts w:cs="Arial"/>
              </w:rPr>
            </w:pPr>
            <w:r w:rsidRPr="00662906">
              <w:rPr>
                <w:rFonts w:cs="Arial"/>
              </w:rPr>
              <w:t>Value added tax</w:t>
            </w:r>
          </w:p>
        </w:tc>
      </w:tr>
      <w:tr w:rsidR="00661686" w:rsidRPr="00662906" w14:paraId="551B63C2" w14:textId="77777777" w:rsidTr="2D9E25B5">
        <w:trPr>
          <w:trHeight w:val="318"/>
        </w:trPr>
        <w:tc>
          <w:tcPr>
            <w:tcW w:w="1620" w:type="dxa"/>
            <w:vAlign w:val="center"/>
          </w:tcPr>
          <w:p w14:paraId="6EEB606F" w14:textId="6D420D75" w:rsidR="00661686" w:rsidRPr="00662906" w:rsidRDefault="00661686" w:rsidP="00705585">
            <w:pPr>
              <w:spacing w:after="0"/>
              <w:jc w:val="left"/>
              <w:rPr>
                <w:rFonts w:cs="Arial"/>
              </w:rPr>
            </w:pPr>
            <w:r w:rsidRPr="00662906">
              <w:rPr>
                <w:rFonts w:cs="Arial"/>
              </w:rPr>
              <w:t>VRE</w:t>
            </w:r>
          </w:p>
        </w:tc>
        <w:tc>
          <w:tcPr>
            <w:tcW w:w="7415" w:type="dxa"/>
            <w:vAlign w:val="center"/>
          </w:tcPr>
          <w:p w14:paraId="56DF71BE" w14:textId="4EBE725D" w:rsidR="00661686" w:rsidRPr="00662906" w:rsidRDefault="00661686" w:rsidP="00674329">
            <w:pPr>
              <w:spacing w:after="0"/>
              <w:rPr>
                <w:rFonts w:cs="Arial"/>
              </w:rPr>
            </w:pPr>
            <w:r w:rsidRPr="00662906">
              <w:rPr>
                <w:rFonts w:cs="Arial"/>
              </w:rPr>
              <w:t>Variable/intermittent Renewable Energy</w:t>
            </w:r>
          </w:p>
        </w:tc>
      </w:tr>
      <w:tr w:rsidR="00AC3781" w:rsidRPr="00662906" w14:paraId="3EB148CD" w14:textId="77777777" w:rsidTr="2D9E25B5">
        <w:trPr>
          <w:trHeight w:val="318"/>
        </w:trPr>
        <w:tc>
          <w:tcPr>
            <w:tcW w:w="1620" w:type="dxa"/>
            <w:vAlign w:val="center"/>
          </w:tcPr>
          <w:p w14:paraId="4EA47409" w14:textId="56A29CE8" w:rsidR="00AC3781" w:rsidRPr="00662906" w:rsidRDefault="00AC3781" w:rsidP="00705585">
            <w:pPr>
              <w:spacing w:after="0"/>
              <w:jc w:val="left"/>
              <w:rPr>
                <w:rFonts w:cs="Arial"/>
              </w:rPr>
            </w:pPr>
            <w:r w:rsidRPr="00662906">
              <w:rPr>
                <w:rFonts w:cs="Arial"/>
              </w:rPr>
              <w:t>WAPP</w:t>
            </w:r>
          </w:p>
        </w:tc>
        <w:tc>
          <w:tcPr>
            <w:tcW w:w="7415" w:type="dxa"/>
            <w:vAlign w:val="center"/>
          </w:tcPr>
          <w:p w14:paraId="16045158" w14:textId="6F6787C9" w:rsidR="00AC3781" w:rsidRPr="00662906" w:rsidRDefault="00AC3781" w:rsidP="00674329">
            <w:pPr>
              <w:spacing w:after="0"/>
              <w:rPr>
                <w:rFonts w:cs="Arial"/>
              </w:rPr>
            </w:pPr>
            <w:r w:rsidRPr="00662906">
              <w:rPr>
                <w:rFonts w:cs="Arial"/>
              </w:rPr>
              <w:t xml:space="preserve">West African Power Pool </w:t>
            </w:r>
          </w:p>
        </w:tc>
      </w:tr>
      <w:tr w:rsidR="00E87869" w:rsidRPr="00662906" w14:paraId="31728EC4" w14:textId="77777777" w:rsidTr="2D9E25B5">
        <w:trPr>
          <w:trHeight w:val="318"/>
        </w:trPr>
        <w:tc>
          <w:tcPr>
            <w:tcW w:w="1620" w:type="dxa"/>
            <w:vAlign w:val="center"/>
          </w:tcPr>
          <w:p w14:paraId="46A31AB6" w14:textId="3445D522" w:rsidR="00E87869" w:rsidRPr="00662906" w:rsidRDefault="00E87869" w:rsidP="00705585">
            <w:pPr>
              <w:spacing w:after="0"/>
              <w:jc w:val="left"/>
              <w:rPr>
                <w:rFonts w:cs="Arial"/>
              </w:rPr>
            </w:pPr>
            <w:r w:rsidRPr="00662906">
              <w:rPr>
                <w:rFonts w:cs="Arial"/>
              </w:rPr>
              <w:t>WFP</w:t>
            </w:r>
          </w:p>
        </w:tc>
        <w:tc>
          <w:tcPr>
            <w:tcW w:w="7415" w:type="dxa"/>
            <w:vAlign w:val="center"/>
          </w:tcPr>
          <w:p w14:paraId="7A44836B" w14:textId="73B632BB" w:rsidR="00E87869" w:rsidRPr="00662906" w:rsidRDefault="00E87869" w:rsidP="00674329">
            <w:pPr>
              <w:spacing w:after="0"/>
              <w:rPr>
                <w:rFonts w:cs="Arial"/>
              </w:rPr>
            </w:pPr>
            <w:r w:rsidRPr="00662906">
              <w:rPr>
                <w:rFonts w:cs="Arial"/>
              </w:rPr>
              <w:t>World Food Programme</w:t>
            </w:r>
          </w:p>
        </w:tc>
      </w:tr>
      <w:tr w:rsidR="00E87869" w:rsidRPr="00662906" w14:paraId="0CA767DA" w14:textId="77777777" w:rsidTr="2D9E25B5">
        <w:trPr>
          <w:trHeight w:val="318"/>
        </w:trPr>
        <w:tc>
          <w:tcPr>
            <w:tcW w:w="1620" w:type="dxa"/>
            <w:vAlign w:val="center"/>
          </w:tcPr>
          <w:p w14:paraId="44DE5FB6" w14:textId="7A9244F4" w:rsidR="00E87869" w:rsidRPr="00662906" w:rsidRDefault="00E87869" w:rsidP="00705585">
            <w:pPr>
              <w:spacing w:after="0"/>
              <w:jc w:val="left"/>
              <w:rPr>
                <w:rFonts w:cs="Arial"/>
              </w:rPr>
            </w:pPr>
            <w:r w:rsidRPr="00662906">
              <w:rPr>
                <w:rFonts w:cs="Arial"/>
              </w:rPr>
              <w:t>WHO</w:t>
            </w:r>
          </w:p>
        </w:tc>
        <w:tc>
          <w:tcPr>
            <w:tcW w:w="7415" w:type="dxa"/>
            <w:vAlign w:val="center"/>
          </w:tcPr>
          <w:p w14:paraId="220A9FF6" w14:textId="7D4DA98F" w:rsidR="00E87869" w:rsidRPr="00662906" w:rsidRDefault="00E87869" w:rsidP="00674329">
            <w:pPr>
              <w:spacing w:after="0"/>
              <w:rPr>
                <w:rFonts w:cs="Arial"/>
              </w:rPr>
            </w:pPr>
            <w:r w:rsidRPr="00662906">
              <w:rPr>
                <w:rFonts w:cs="Arial"/>
              </w:rPr>
              <w:t xml:space="preserve">World Health Organisation </w:t>
            </w:r>
          </w:p>
        </w:tc>
      </w:tr>
      <w:tr w:rsidR="2D9E25B5" w:rsidRPr="00662906" w14:paraId="535C19F5" w14:textId="77777777" w:rsidTr="2D9E25B5">
        <w:trPr>
          <w:trHeight w:val="300"/>
        </w:trPr>
        <w:tc>
          <w:tcPr>
            <w:tcW w:w="1620" w:type="dxa"/>
            <w:vAlign w:val="center"/>
          </w:tcPr>
          <w:p w14:paraId="1DF00172" w14:textId="71F64D8D" w:rsidR="1811BCB0" w:rsidRPr="00662906" w:rsidRDefault="1811BCB0" w:rsidP="00CA4B3F">
            <w:pPr>
              <w:spacing w:after="0"/>
              <w:jc w:val="left"/>
              <w:rPr>
                <w:rFonts w:cs="Arial"/>
              </w:rPr>
            </w:pPr>
            <w:r w:rsidRPr="00662906">
              <w:rPr>
                <w:rFonts w:cs="Arial"/>
              </w:rPr>
              <w:t>ZEV</w:t>
            </w:r>
            <w:r w:rsidR="007505D7" w:rsidRPr="00662906">
              <w:rPr>
                <w:rFonts w:cs="Arial"/>
              </w:rPr>
              <w:t>s</w:t>
            </w:r>
          </w:p>
        </w:tc>
        <w:tc>
          <w:tcPr>
            <w:tcW w:w="7415" w:type="dxa"/>
            <w:vAlign w:val="center"/>
          </w:tcPr>
          <w:p w14:paraId="18221185" w14:textId="1D42C712" w:rsidR="1811BCB0" w:rsidRPr="00662906" w:rsidRDefault="1811BCB0" w:rsidP="00CA4B3F">
            <w:pPr>
              <w:spacing w:after="0"/>
              <w:rPr>
                <w:rFonts w:cs="Arial"/>
              </w:rPr>
            </w:pPr>
            <w:r w:rsidRPr="00662906">
              <w:rPr>
                <w:rFonts w:cs="Arial"/>
              </w:rPr>
              <w:t>Zero Emission Vehicles</w:t>
            </w:r>
          </w:p>
        </w:tc>
      </w:tr>
    </w:tbl>
    <w:p w14:paraId="38D03825" w14:textId="6932F67C" w:rsidR="34AFE5CB" w:rsidRPr="00662906" w:rsidRDefault="34AFE5CB"/>
    <w:p w14:paraId="2D5FCFD1" w14:textId="77777777" w:rsidR="0081485A" w:rsidRPr="00662906" w:rsidRDefault="0081485A" w:rsidP="0081485A"/>
    <w:p w14:paraId="7099B38B" w14:textId="77777777" w:rsidR="00297B79" w:rsidRPr="00662906" w:rsidRDefault="00297B79" w:rsidP="34AFE5CB">
      <w:pPr>
        <w:rPr>
          <w:b/>
          <w:bCs/>
          <w:color w:val="348F41" w:themeColor="text1"/>
          <w:sz w:val="24"/>
          <w:szCs w:val="24"/>
        </w:rPr>
        <w:sectPr w:rsidR="00297B79" w:rsidRPr="00662906" w:rsidSect="00A37F01">
          <w:pgSz w:w="11906" w:h="16838"/>
          <w:pgMar w:top="1440" w:right="1440" w:bottom="1440" w:left="1440" w:header="720" w:footer="720" w:gutter="0"/>
          <w:pgNumType w:fmt="lowerRoman" w:start="1"/>
          <w:cols w:space="720"/>
          <w:titlePg/>
          <w:docGrid w:linePitch="360"/>
        </w:sectPr>
      </w:pPr>
    </w:p>
    <w:p w14:paraId="6AFE097A" w14:textId="0F4B96E7" w:rsidR="0081485A" w:rsidRPr="00662906" w:rsidRDefault="007269CA" w:rsidP="00FB03B0">
      <w:pPr>
        <w:pStyle w:val="Heading1"/>
        <w:numPr>
          <w:ilvl w:val="0"/>
          <w:numId w:val="0"/>
        </w:numPr>
        <w:ind w:left="284"/>
      </w:pPr>
      <w:bookmarkStart w:id="31" w:name="_Toc171955500"/>
      <w:bookmarkStart w:id="32" w:name="_Toc176190924"/>
      <w:bookmarkStart w:id="33" w:name="_Toc176191096"/>
      <w:bookmarkStart w:id="34" w:name="_Toc176341817"/>
      <w:bookmarkStart w:id="35" w:name="_Toc176430210"/>
      <w:bookmarkStart w:id="36" w:name="_Toc176430267"/>
      <w:bookmarkStart w:id="37" w:name="_Toc176441400"/>
      <w:bookmarkStart w:id="38" w:name="_Toc176442055"/>
      <w:bookmarkStart w:id="39" w:name="_Toc178937415"/>
      <w:bookmarkStart w:id="40" w:name="_Toc197433801"/>
      <w:r w:rsidRPr="00662906">
        <w:lastRenderedPageBreak/>
        <w:t>Glossary and Definitions</w:t>
      </w:r>
      <w:bookmarkEnd w:id="31"/>
      <w:bookmarkEnd w:id="32"/>
      <w:bookmarkEnd w:id="33"/>
      <w:bookmarkEnd w:id="34"/>
      <w:bookmarkEnd w:id="35"/>
      <w:bookmarkEnd w:id="36"/>
      <w:bookmarkEnd w:id="37"/>
      <w:bookmarkEnd w:id="38"/>
      <w:bookmarkEnd w:id="39"/>
      <w:bookmarkEnd w:id="40"/>
      <w:r w:rsidRPr="00662906">
        <w:t xml:space="preserve"> </w:t>
      </w:r>
    </w:p>
    <w:p w14:paraId="2EBE7971" w14:textId="77777777" w:rsidR="0081485A" w:rsidRPr="00662906" w:rsidRDefault="4565F4D2" w:rsidP="0081485A">
      <w:r w:rsidRPr="00662906">
        <w:rPr>
          <w:b/>
          <w:bCs/>
        </w:rPr>
        <w:t>Adaptation:</w:t>
      </w:r>
      <w:r w:rsidRPr="00662906">
        <w:t xml:space="preserve"> In human systems, the process of adjustment to actual or expected climate and its effects, to moderate harm or exploit beneficial opportunities. In natural systems, the process of adjustment to actual climate and its effects; human intervention may facilitate adjustment to expected climate and its effect.</w:t>
      </w:r>
    </w:p>
    <w:p w14:paraId="3D81430F" w14:textId="31068F07" w:rsidR="3E2A237B" w:rsidRPr="00662906" w:rsidRDefault="3E2A237B" w:rsidP="2D8B2CEE">
      <w:r w:rsidRPr="00662906">
        <w:rPr>
          <w:rFonts w:eastAsia="Arial" w:cs="Arial"/>
          <w:b/>
          <w:bCs/>
        </w:rPr>
        <w:t xml:space="preserve">Advanced biofuels: </w:t>
      </w:r>
      <w:r w:rsidRPr="00662906">
        <w:t>They are derived from non-food/feed biomass sources, including agricultural and forestry residues, energy crops, and municipal waste, adhering to sustainability criteria. Advanced biofuels are produced through sophisticated processes such as gasification, pyrolysis, and enzymatic hydrolysis, offering a sustainable and less environmentally impactful alternative to conventional biofuels and fossil fuels.</w:t>
      </w:r>
    </w:p>
    <w:p w14:paraId="5C45C216" w14:textId="77777777" w:rsidR="0081485A" w:rsidRPr="00662906" w:rsidRDefault="4565F4D2" w:rsidP="0081485A">
      <w:r w:rsidRPr="00662906">
        <w:rPr>
          <w:b/>
          <w:bCs/>
        </w:rPr>
        <w:t>Beneficiation</w:t>
      </w:r>
      <w:r w:rsidRPr="00662906">
        <w:t xml:space="preserve">: The transformation of a primary material (produced by mining and extraction processes) to a more finished product which has a higher value. </w:t>
      </w:r>
    </w:p>
    <w:p w14:paraId="7C3A0A48" w14:textId="3A825DAB" w:rsidR="6CC7E89B" w:rsidRPr="00662906" w:rsidRDefault="6CC7E89B" w:rsidP="2D8B2CEE">
      <w:r w:rsidRPr="00662906">
        <w:rPr>
          <w:rFonts w:eastAsia="Arial" w:cs="Arial"/>
          <w:b/>
          <w:bCs/>
        </w:rPr>
        <w:t>Bio-hydrogen</w:t>
      </w:r>
      <w:r w:rsidRPr="00662906">
        <w:rPr>
          <w:rFonts w:eastAsia="Arial" w:cs="Arial"/>
        </w:rPr>
        <w:t xml:space="preserve">: </w:t>
      </w:r>
      <w:r w:rsidRPr="00662906">
        <w:t xml:space="preserve">Hydrogen produced from biomass, which is considered a </w:t>
      </w:r>
      <w:r w:rsidR="00C611CE" w:rsidRPr="00662906">
        <w:t>biofuel</w:t>
      </w:r>
      <w:r w:rsidRPr="00662906">
        <w:t>.</w:t>
      </w:r>
    </w:p>
    <w:p w14:paraId="7B339E41" w14:textId="77777777" w:rsidR="0081485A" w:rsidRPr="00662906" w:rsidRDefault="3E206FF5" w:rsidP="0081485A">
      <w:r w:rsidRPr="00662906">
        <w:rPr>
          <w:b/>
          <w:bCs/>
        </w:rPr>
        <w:t>Blended Financing</w:t>
      </w:r>
      <w:r w:rsidRPr="00662906">
        <w:t xml:space="preserve">: Strategic use of development finance and philanthropic funds to mobilise private capital flows at scale, by combining investors with different financial return expectations – from concessional to market rates – to access greater levels of capital than on a standalone basis. </w:t>
      </w:r>
    </w:p>
    <w:p w14:paraId="272064C5" w14:textId="5290C23B" w:rsidR="624B47BE" w:rsidRPr="00662906" w:rsidRDefault="074C3BDC" w:rsidP="13F6F6F9">
      <w:r w:rsidRPr="00662906">
        <w:rPr>
          <w:b/>
          <w:bCs/>
        </w:rPr>
        <w:t>Carbon Border Adjustment Mechanism</w:t>
      </w:r>
      <w:r w:rsidR="1899B365" w:rsidRPr="00662906">
        <w:rPr>
          <w:b/>
          <w:bCs/>
        </w:rPr>
        <w:t xml:space="preserve">: </w:t>
      </w:r>
      <w:r w:rsidR="1899B365" w:rsidRPr="00662906">
        <w:t>The European Union</w:t>
      </w:r>
      <w:r w:rsidR="00AB54F5" w:rsidRPr="00662906">
        <w:t xml:space="preserve"> (EU)</w:t>
      </w:r>
      <w:r w:rsidR="1899B365" w:rsidRPr="00662906">
        <w:t>'s Ca</w:t>
      </w:r>
      <w:bookmarkStart w:id="41" w:name="_Hlk171502717"/>
      <w:r w:rsidR="1899B365" w:rsidRPr="00662906">
        <w:t>rbon Border Adjustment Mechanism</w:t>
      </w:r>
      <w:bookmarkEnd w:id="41"/>
      <w:r w:rsidR="1899B365" w:rsidRPr="00662906">
        <w:t xml:space="preserve"> (CBAM) is a key regulatory initiative designed to level the playing field for EU producers and their international counterparts, </w:t>
      </w:r>
      <w:r w:rsidR="00571721" w:rsidRPr="00662906">
        <w:t>considering</w:t>
      </w:r>
      <w:r w:rsidR="1899B365" w:rsidRPr="00662906">
        <w:t xml:space="preserve"> carbon pricing. It aims to mitigate the risk of carbon leakage by imposing a carbon price on imports of specific goods from outside the EU. This mechanism requires importers to buy carbon certificates corresponding to the carbon price that would have been paid, had the goods been produced under the EU's carbon pricing rules. The CBAM is part of the EU's broader strategy to meet its ambitious climate targets under the European Green Deal, ensuring that its climate efforts do not lead to an unfair competitive advantage for less-regulated foreign producers.</w:t>
      </w:r>
    </w:p>
    <w:p w14:paraId="064B22C5" w14:textId="196CBBD1" w:rsidR="0081485A" w:rsidRPr="00662906" w:rsidRDefault="4565F4D2" w:rsidP="0081485A">
      <w:r w:rsidRPr="00662906">
        <w:rPr>
          <w:rFonts w:eastAsia="Arial"/>
          <w:b/>
          <w:bCs/>
        </w:rPr>
        <w:t>Carbon Intensity:</w:t>
      </w:r>
      <w:r w:rsidRPr="00662906">
        <w:t xml:space="preserve"> The amount of CO</w:t>
      </w:r>
      <w:r w:rsidRPr="00662906">
        <w:rPr>
          <w:vertAlign w:val="superscript"/>
        </w:rPr>
        <w:t>2</w:t>
      </w:r>
      <w:r w:rsidRPr="00662906">
        <w:t xml:space="preserve"> emitted per unit of another indicator associated directly or indirectly with </w:t>
      </w:r>
      <w:r w:rsidR="00CB496B" w:rsidRPr="00662906">
        <w:t>CO</w:t>
      </w:r>
      <w:r w:rsidR="00CB496B" w:rsidRPr="00662906">
        <w:rPr>
          <w:vertAlign w:val="superscript"/>
        </w:rPr>
        <w:t xml:space="preserve">2 </w:t>
      </w:r>
      <w:r w:rsidRPr="00662906">
        <w:t xml:space="preserve">emitting activities. The carbon intensity of electricity is the mass of </w:t>
      </w:r>
      <w:r w:rsidR="00CB496B" w:rsidRPr="00662906">
        <w:t>CO</w:t>
      </w:r>
      <w:r w:rsidR="00CB496B" w:rsidRPr="00662906">
        <w:rPr>
          <w:vertAlign w:val="superscript"/>
        </w:rPr>
        <w:t xml:space="preserve">2 </w:t>
      </w:r>
      <w:r w:rsidRPr="00662906">
        <w:t xml:space="preserve">emitted per unit of electricity generated by a plant or by the electricity system. The carbon intensity of the economy is the mass of </w:t>
      </w:r>
      <w:r w:rsidR="00CB496B" w:rsidRPr="00662906">
        <w:t>CO</w:t>
      </w:r>
      <w:r w:rsidR="00CB496B" w:rsidRPr="00662906">
        <w:rPr>
          <w:vertAlign w:val="superscript"/>
        </w:rPr>
        <w:t>2</w:t>
      </w:r>
      <w:r w:rsidRPr="00662906">
        <w:t xml:space="preserve"> emitted per unit of economic output. </w:t>
      </w:r>
    </w:p>
    <w:p w14:paraId="7039C741" w14:textId="3BF38394" w:rsidR="374A2909" w:rsidRPr="00662906" w:rsidRDefault="53A2BC8F" w:rsidP="4A89205C">
      <w:r w:rsidRPr="00662906">
        <w:rPr>
          <w:b/>
          <w:bCs/>
        </w:rPr>
        <w:t>Car</w:t>
      </w:r>
      <w:r w:rsidR="0F0907CA" w:rsidRPr="00662906">
        <w:rPr>
          <w:b/>
          <w:bCs/>
        </w:rPr>
        <w:t>b</w:t>
      </w:r>
      <w:r w:rsidRPr="00662906">
        <w:rPr>
          <w:b/>
          <w:bCs/>
        </w:rPr>
        <w:t>on Neutrality</w:t>
      </w:r>
      <w:r w:rsidR="60F8CACF" w:rsidRPr="00662906">
        <w:rPr>
          <w:b/>
          <w:bCs/>
        </w:rPr>
        <w:t>:</w:t>
      </w:r>
      <w:r w:rsidR="60F8CACF" w:rsidRPr="00662906">
        <w:rPr>
          <w:rFonts w:eastAsia="Arial" w:cs="Arial"/>
          <w:color w:val="4D5156"/>
          <w:sz w:val="24"/>
          <w:szCs w:val="24"/>
        </w:rPr>
        <w:t xml:space="preserve"> </w:t>
      </w:r>
      <w:r w:rsidR="00FB03B0" w:rsidRPr="00662906">
        <w:t>Ha</w:t>
      </w:r>
      <w:r w:rsidR="60F8CACF" w:rsidRPr="00662906">
        <w:t>ving a balance between emitting carbon and absorbing carbon from the atmosphere in carbon sinks</w:t>
      </w:r>
      <w:r w:rsidR="00FB03B0" w:rsidRPr="00662906">
        <w:t>.</w:t>
      </w:r>
    </w:p>
    <w:p w14:paraId="7E586BB9" w14:textId="2983C204" w:rsidR="7D808EB8" w:rsidRPr="00662906" w:rsidRDefault="7D808EB8" w:rsidP="2D8B2CEE">
      <w:r w:rsidRPr="00662906">
        <w:rPr>
          <w:rFonts w:eastAsia="Arial" w:cs="Arial"/>
          <w:b/>
          <w:bCs/>
        </w:rPr>
        <w:t xml:space="preserve">Climate Action: </w:t>
      </w:r>
      <w:r w:rsidRPr="00662906">
        <w:t>Activities and policies aimed at addressing climate change, including mitigation, adaptation, and supporting global efforts.</w:t>
      </w:r>
    </w:p>
    <w:p w14:paraId="79013F4E" w14:textId="73789AD3" w:rsidR="7D808EB8" w:rsidRPr="00662906" w:rsidRDefault="7D808EB8" w:rsidP="2D8B2CEE">
      <w:r w:rsidRPr="00662906">
        <w:rPr>
          <w:rFonts w:eastAsia="Arial" w:cs="Arial"/>
          <w:b/>
          <w:bCs/>
        </w:rPr>
        <w:t xml:space="preserve">Climate Change: </w:t>
      </w:r>
      <w:r w:rsidRPr="00662906">
        <w:t>Long-term alteration in Earth’s climate patterns, primarily due to human activities, especially fossil fuel combustion which increases greenhouse gas concentrations in the atmosphere. Manifests as changes in temperature, precipitation patterns, and increased frequency of extreme weather events.</w:t>
      </w:r>
    </w:p>
    <w:p w14:paraId="0437FA3D" w14:textId="22393945" w:rsidR="7D808EB8" w:rsidRPr="00662906" w:rsidRDefault="7D808EB8" w:rsidP="2D8B2CEE">
      <w:r w:rsidRPr="00662906">
        <w:rPr>
          <w:rFonts w:eastAsia="Arial" w:cs="Arial"/>
          <w:b/>
          <w:bCs/>
        </w:rPr>
        <w:t xml:space="preserve">Climate Change Adaptation: </w:t>
      </w:r>
      <w:r w:rsidRPr="00662906">
        <w:t>Adjustments in human and natural systems in response to actual or expected climatic stimuli or effects, to minimize harm or exploit beneficial opportunities. Involves infrastructure resilience and emergency planning for extreme weather events.</w:t>
      </w:r>
    </w:p>
    <w:p w14:paraId="3D8CBBDD" w14:textId="1210874D" w:rsidR="7D808EB8" w:rsidRPr="00662906" w:rsidRDefault="7D808EB8" w:rsidP="2D8B2CEE">
      <w:r w:rsidRPr="00662906">
        <w:rPr>
          <w:rFonts w:eastAsia="Arial" w:cs="Arial"/>
          <w:b/>
          <w:bCs/>
        </w:rPr>
        <w:t xml:space="preserve">Climate Change Mitigation: </w:t>
      </w:r>
      <w:r w:rsidRPr="00662906">
        <w:t>Actions to reduce greenhouse gas emissions or enhance their sinks to limit the magnitude of climate change. Includes technological upgrades, energy efficiency improvements, and preservation of natural carbon sinks.</w:t>
      </w:r>
    </w:p>
    <w:p w14:paraId="0B819C7D" w14:textId="77777777" w:rsidR="0081485A" w:rsidRPr="00662906" w:rsidRDefault="4565F4D2" w:rsidP="0081485A">
      <w:r w:rsidRPr="00662906">
        <w:rPr>
          <w:b/>
          <w:bCs/>
        </w:rPr>
        <w:t>Concessional Finance</w:t>
      </w:r>
      <w:r w:rsidRPr="00662906">
        <w:t xml:space="preserve">: Below market rate finance provided by major financial institutions, such as development banks and multilateral funds, to developing countries to accelerate development objectives. </w:t>
      </w:r>
    </w:p>
    <w:p w14:paraId="1B4A9A5E" w14:textId="578ACA42" w:rsidR="00490177" w:rsidRPr="00662906" w:rsidRDefault="649E68DB" w:rsidP="2D8B2CEE">
      <w:pPr>
        <w:rPr>
          <w:rFonts w:eastAsia="Arial" w:cs="Arial"/>
          <w:b/>
          <w:bCs/>
        </w:rPr>
      </w:pPr>
      <w:r w:rsidRPr="00662906">
        <w:rPr>
          <w:rFonts w:eastAsia="Arial" w:cs="Arial"/>
          <w:b/>
          <w:bCs/>
        </w:rPr>
        <w:t>Decarbonization:</w:t>
      </w:r>
      <w:r w:rsidRPr="00662906">
        <w:rPr>
          <w:rFonts w:eastAsia="Arial" w:cs="Arial"/>
        </w:rPr>
        <w:t xml:space="preserve"> Strategic reduction of carbon dioxide emissions through the transition from fossil fuel-based energy </w:t>
      </w:r>
      <w:r w:rsidRPr="00662906">
        <w:t>production to renewable and zero-carbon energy sources. Electrification and hydrogen are at the core of the decarbonization actions.</w:t>
      </w:r>
    </w:p>
    <w:p w14:paraId="271DFABA" w14:textId="58143BE5" w:rsidR="649E68DB" w:rsidRPr="00662906" w:rsidRDefault="2BD21A6E" w:rsidP="2D8B2CEE">
      <w:r w:rsidRPr="00662906">
        <w:rPr>
          <w:rFonts w:eastAsia="Arial" w:cs="Arial"/>
          <w:b/>
          <w:bCs/>
        </w:rPr>
        <w:lastRenderedPageBreak/>
        <w:t>Defossilization:</w:t>
      </w:r>
      <w:r w:rsidRPr="00662906">
        <w:rPr>
          <w:rFonts w:eastAsia="Arial" w:cs="Arial"/>
        </w:rPr>
        <w:t xml:space="preserve"> It is the transition from long-cycle carbon to short-cycle carbon use for the sectors that it is challenging (e.g., maritime shipping, aviation, agriculture) or even infeasible to fully decarbonize (e.g., pharmaceuticals, plastics).</w:t>
      </w:r>
    </w:p>
    <w:p w14:paraId="79E9088C" w14:textId="79D147F4" w:rsidR="2F393DF3" w:rsidRPr="00662906" w:rsidRDefault="74947367" w:rsidP="13F6F6F9">
      <w:pPr>
        <w:rPr>
          <w:rFonts w:eastAsia="Arial" w:cs="Arial"/>
          <w:b/>
          <w:bCs/>
        </w:rPr>
      </w:pPr>
      <w:r w:rsidRPr="00662906">
        <w:rPr>
          <w:rFonts w:eastAsia="Arial" w:cs="Arial"/>
          <w:b/>
          <w:bCs/>
        </w:rPr>
        <w:t>Digitalization</w:t>
      </w:r>
      <w:r w:rsidR="570711F9" w:rsidRPr="00662906">
        <w:rPr>
          <w:rFonts w:eastAsia="Arial" w:cs="Arial"/>
          <w:b/>
          <w:bCs/>
        </w:rPr>
        <w:t xml:space="preserve">: </w:t>
      </w:r>
      <w:r w:rsidR="570711F9" w:rsidRPr="00662906">
        <w:t>Digitalization in the energy sector refers to the integration of digital technologies into various facets of energy systems, including generation, transmission, distribution, and consumption. This process involves among others the use of advanced data analytics, Internet of Things (IoT), artificial intelligence (AI), and blockchain technologies to enhance the efficiency, reliability, and sustainability of energy systems.</w:t>
      </w:r>
    </w:p>
    <w:p w14:paraId="3AFD3DBC" w14:textId="77777777" w:rsidR="0081485A" w:rsidRPr="00662906" w:rsidRDefault="0081485A" w:rsidP="0081485A">
      <w:r w:rsidRPr="00662906">
        <w:rPr>
          <w:b/>
          <w:bCs/>
        </w:rPr>
        <w:t>Distributed Generation:</w:t>
      </w:r>
      <w:r w:rsidRPr="00662906">
        <w:t xml:space="preserve"> Generation assets that are located close to the particular load that it is intended to serve. General, but non-exclusive, characteristics of these generation assets include: an operating strategy that supports the served load; and interconnection to a distribution or sub-transmission system. </w:t>
      </w:r>
    </w:p>
    <w:p w14:paraId="20362C5E" w14:textId="77777777" w:rsidR="0081485A" w:rsidRPr="00662906" w:rsidRDefault="0081485A" w:rsidP="0081485A">
      <w:r w:rsidRPr="00662906">
        <w:rPr>
          <w:b/>
          <w:bCs/>
        </w:rPr>
        <w:t xml:space="preserve">Electricity generation: </w:t>
      </w:r>
      <w:r w:rsidRPr="00662906">
        <w:t>Another important form of transformation is the generation of electricity. Thermal power plants generate electricity by harnessing the heat of burning fuels or nuclear reactions – during which up to half of their energy content is lost. Renewable power sources generate electricity directly from natural forces such as the sun, wind, or the movement of water.</w:t>
      </w:r>
    </w:p>
    <w:p w14:paraId="5950C82C" w14:textId="77777777" w:rsidR="0081485A" w:rsidRPr="00662906" w:rsidRDefault="3BBE7C0C" w:rsidP="0081485A">
      <w:pPr>
        <w:rPr>
          <w:b/>
          <w:bCs/>
        </w:rPr>
      </w:pPr>
      <w:r w:rsidRPr="00662906">
        <w:rPr>
          <w:b/>
          <w:bCs/>
        </w:rPr>
        <w:t xml:space="preserve">Energy consumption by sector: </w:t>
      </w:r>
      <w:r w:rsidRPr="00662906">
        <w:t>The sectoral breakdown of a country's energy demand, which is based on its economy, geography, and history, can greatly impact its energy needs and which energy sources it relies on to meet those needs – such as fuelling automobiles, heating or cooling homes or running factories.</w:t>
      </w:r>
    </w:p>
    <w:p w14:paraId="07A642D7" w14:textId="7BFFEF7A" w:rsidR="3C8A6E91" w:rsidRPr="00662906" w:rsidRDefault="3C8A6E91" w:rsidP="34AFE5CB">
      <w:pPr>
        <w:rPr>
          <w:b/>
          <w:bCs/>
        </w:rPr>
      </w:pPr>
      <w:bookmarkStart w:id="42" w:name="_Hlk171502786"/>
      <w:r w:rsidRPr="00662906">
        <w:rPr>
          <w:b/>
          <w:bCs/>
        </w:rPr>
        <w:t>Exploration and Production</w:t>
      </w:r>
      <w:r w:rsidR="35642C24" w:rsidRPr="00662906">
        <w:rPr>
          <w:b/>
          <w:bCs/>
        </w:rPr>
        <w:t xml:space="preserve"> </w:t>
      </w:r>
      <w:bookmarkEnd w:id="42"/>
      <w:r w:rsidR="35642C24" w:rsidRPr="00662906">
        <w:rPr>
          <w:b/>
          <w:bCs/>
        </w:rPr>
        <w:t>(E&amp;P):</w:t>
      </w:r>
      <w:r w:rsidRPr="00662906">
        <w:rPr>
          <w:b/>
          <w:bCs/>
        </w:rPr>
        <w:t xml:space="preserve"> </w:t>
      </w:r>
      <w:r w:rsidRPr="00662906">
        <w:t>the activities undertaken by Oil and Gas Companies to ex</w:t>
      </w:r>
      <w:r w:rsidR="49284BD5" w:rsidRPr="00662906">
        <w:t xml:space="preserve">plore for oil and </w:t>
      </w:r>
      <w:r w:rsidR="00B63A18" w:rsidRPr="00662906">
        <w:t>g</w:t>
      </w:r>
      <w:r w:rsidR="49284BD5" w:rsidRPr="00662906">
        <w:t xml:space="preserve">as and produce the same when </w:t>
      </w:r>
      <w:r w:rsidR="5AA4433E" w:rsidRPr="00662906">
        <w:t>commercial</w:t>
      </w:r>
      <w:r w:rsidR="49284BD5" w:rsidRPr="00662906">
        <w:t xml:space="preserve"> reserves are discover</w:t>
      </w:r>
      <w:r w:rsidR="6F7E8EC1" w:rsidRPr="00662906">
        <w:t>ed</w:t>
      </w:r>
      <w:r w:rsidR="1A0FA643" w:rsidRPr="00662906">
        <w:t>.</w:t>
      </w:r>
    </w:p>
    <w:p w14:paraId="0B1C1867" w14:textId="77777777" w:rsidR="0081485A" w:rsidRPr="00662906" w:rsidRDefault="0081485A" w:rsidP="0081485A">
      <w:r w:rsidRPr="00662906">
        <w:rPr>
          <w:rFonts w:eastAsia="Arial"/>
          <w:b/>
          <w:bCs/>
          <w:iCs/>
        </w:rPr>
        <w:t xml:space="preserve">Energy Poverty: </w:t>
      </w:r>
      <w:r w:rsidRPr="00662906">
        <w:t xml:space="preserve">The absence of sufficient choice in accessing adequate, affordable, reliable, high quality, safe, and environmentally benign energy services to support economic and human development. </w:t>
      </w:r>
    </w:p>
    <w:p w14:paraId="4FE0E7C8" w14:textId="77777777" w:rsidR="0081485A" w:rsidRPr="00662906" w:rsidRDefault="0081485A" w:rsidP="0081485A">
      <w:r w:rsidRPr="00662906">
        <w:rPr>
          <w:rFonts w:eastAsia="Arial"/>
          <w:b/>
          <w:bCs/>
          <w:iCs/>
        </w:rPr>
        <w:t>Energy Security</w:t>
      </w:r>
      <w:r w:rsidRPr="00662906">
        <w:rPr>
          <w:rFonts w:eastAsia="Arial"/>
          <w:iCs/>
        </w:rPr>
        <w:t>: The</w:t>
      </w:r>
      <w:r w:rsidRPr="00662906">
        <w:t xml:space="preserve"> uninterrupted availability of energy sources at affordable prices. </w:t>
      </w:r>
    </w:p>
    <w:p w14:paraId="0228BEA0" w14:textId="77777777" w:rsidR="0081485A" w:rsidRPr="00662906" w:rsidRDefault="0081485A" w:rsidP="0081485A">
      <w:r w:rsidRPr="00662906">
        <w:rPr>
          <w:b/>
          <w:bCs/>
        </w:rPr>
        <w:t>Energy supply per capita:</w:t>
      </w:r>
      <w:r w:rsidRPr="00662906">
        <w:t xml:space="preserve"> The per-capita energy supply is a function of economic development as well as the structure of the economy – countries whose economies are largely services-based will use less energy per capita than comparable countries whose economies are focused on heavy industries like iron and steel or pulp and paper.</w:t>
      </w:r>
    </w:p>
    <w:p w14:paraId="7025A0DE" w14:textId="107D564C" w:rsidR="0081485A" w:rsidRPr="00662906" w:rsidRDefault="0081485A" w:rsidP="0081485A">
      <w:pPr>
        <w:rPr>
          <w:rFonts w:eastAsia="Arial" w:cs="Arial"/>
          <w:bCs/>
        </w:rPr>
      </w:pPr>
      <w:r w:rsidRPr="00662906">
        <w:rPr>
          <w:rFonts w:eastAsia="Arial" w:cs="Arial"/>
          <w:b/>
        </w:rPr>
        <w:t>Energy supply:</w:t>
      </w:r>
      <w:r w:rsidRPr="00662906">
        <w:rPr>
          <w:rFonts w:cs="Arial"/>
        </w:rPr>
        <w:t xml:space="preserve"> </w:t>
      </w:r>
      <w:r w:rsidRPr="00662906">
        <w:rPr>
          <w:rFonts w:eastAsia="Arial" w:cs="Arial"/>
          <w:bCs/>
        </w:rPr>
        <w:t xml:space="preserve">Total Primary </w:t>
      </w:r>
      <w:r w:rsidR="00390F0B" w:rsidRPr="00662906">
        <w:rPr>
          <w:rFonts w:eastAsia="Arial" w:cs="Arial"/>
          <w:bCs/>
        </w:rPr>
        <w:t>E</w:t>
      </w:r>
      <w:r w:rsidRPr="00662906">
        <w:rPr>
          <w:rFonts w:eastAsia="Arial" w:cs="Arial"/>
          <w:bCs/>
        </w:rPr>
        <w:t xml:space="preserve">nergy </w:t>
      </w:r>
      <w:r w:rsidR="00390F0B" w:rsidRPr="00662906">
        <w:rPr>
          <w:rFonts w:eastAsia="Arial" w:cs="Arial"/>
          <w:bCs/>
        </w:rPr>
        <w:t>S</w:t>
      </w:r>
      <w:r w:rsidRPr="00662906">
        <w:rPr>
          <w:rFonts w:eastAsia="Arial" w:cs="Arial"/>
          <w:bCs/>
        </w:rPr>
        <w:t>upply (TPES) includes all the energy produced in or imported to a country, minus that which is exported or stored. It represents all the energy required to supply end users in the country. Some of these energy sources are used directly while most are transformed into fuels or electricity for final consumption.</w:t>
      </w:r>
    </w:p>
    <w:p w14:paraId="6E994CF3" w14:textId="51110E2B" w:rsidR="0081485A" w:rsidRPr="00662906" w:rsidRDefault="4565F4D2" w:rsidP="0081485A">
      <w:r w:rsidRPr="00662906">
        <w:rPr>
          <w:b/>
          <w:bCs/>
        </w:rPr>
        <w:t>Energy transformation:</w:t>
      </w:r>
      <w:r w:rsidRPr="00662906">
        <w:t xml:space="preserve"> Energy sources, particularly fossil fuels, are often transformed into more useful or practical forms before being used. For example, crude oil is refined into many different kinds of fuels and products, while coal, oil and natural gas </w:t>
      </w:r>
      <w:r w:rsidR="00131A46" w:rsidRPr="00662906">
        <w:t>(NG)</w:t>
      </w:r>
      <w:r w:rsidRPr="00662906">
        <w:t xml:space="preserve"> can be burned to generate electricity and heat. Other forms of transformation, such as extracting gas or oil from coal, play a relatively minor role in the energy systems of most countries.</w:t>
      </w:r>
    </w:p>
    <w:p w14:paraId="485794A8" w14:textId="4C32E4E5" w:rsidR="54DFC24F" w:rsidRPr="00662906" w:rsidRDefault="54DFC24F" w:rsidP="2D8B2CEE">
      <w:r w:rsidRPr="00662906">
        <w:rPr>
          <w:rFonts w:eastAsia="Arial" w:cs="Arial"/>
          <w:b/>
          <w:bCs/>
        </w:rPr>
        <w:t xml:space="preserve">Energy Transition: </w:t>
      </w:r>
      <w:r w:rsidRPr="00662906">
        <w:rPr>
          <w:rFonts w:eastAsia="Arial" w:cs="Arial"/>
        </w:rPr>
        <w:t>A systematic shift from dependency on fossil fuels (coal, oil, natural gas) to renewable and sustainable energy sources.</w:t>
      </w:r>
    </w:p>
    <w:p w14:paraId="0A29F10E" w14:textId="38343626" w:rsidR="0081485A" w:rsidRPr="00662906" w:rsidRDefault="00185A94" w:rsidP="0081485A">
      <w:r w:rsidRPr="00662906">
        <w:rPr>
          <w:b/>
          <w:bCs/>
        </w:rPr>
        <w:t>F</w:t>
      </w:r>
      <w:r w:rsidR="4565F4D2" w:rsidRPr="00662906">
        <w:rPr>
          <w:b/>
          <w:bCs/>
        </w:rPr>
        <w:t>inal energy consumption:</w:t>
      </w:r>
      <w:r w:rsidR="4565F4D2" w:rsidRPr="00662906">
        <w:t xml:space="preserve"> </w:t>
      </w:r>
      <w:r w:rsidR="00390F0B" w:rsidRPr="00662906">
        <w:t>F</w:t>
      </w:r>
      <w:r w:rsidR="4565F4D2" w:rsidRPr="00662906">
        <w:t xml:space="preserve">inal Energy </w:t>
      </w:r>
      <w:r w:rsidR="00BE0FFC" w:rsidRPr="00662906">
        <w:t>C</w:t>
      </w:r>
      <w:r w:rsidR="4565F4D2" w:rsidRPr="00662906">
        <w:t>onsumption (FEC) is the energy consumed by end users such as individuals and businesses to heat and cool buildings, to run lights, devices, and appliances, and to power vehicles, machines, and factories. Some of the energy found in primary sources is lost when converting them to useable final products, especially electricity. As a result, the breakdown of final consumption can look very different from that of the primary energy supply. Both are needed to fully understand the energy system.</w:t>
      </w:r>
    </w:p>
    <w:p w14:paraId="6CA4582A" w14:textId="4F69F08C" w:rsidR="0D9E8DE5" w:rsidRPr="00662906" w:rsidRDefault="0D9E8DE5" w:rsidP="2D8B2CEE">
      <w:r w:rsidRPr="00662906">
        <w:rPr>
          <w:rFonts w:eastAsia="Arial" w:cs="Arial"/>
          <w:b/>
          <w:bCs/>
        </w:rPr>
        <w:t xml:space="preserve">Fischer – Tropsch (FT): </w:t>
      </w:r>
      <w:r w:rsidRPr="00662906">
        <w:rPr>
          <w:rFonts w:eastAsia="Arial" w:cs="Arial"/>
        </w:rPr>
        <w:t>A collection of chemical reactions that converts a mixture of carbon monoxide and hydrogen, known as syngas, into liquid hydrocarbons. CO</w:t>
      </w:r>
      <w:r w:rsidRPr="00662906">
        <w:rPr>
          <w:rFonts w:eastAsia="Arial" w:cs="Arial"/>
          <w:vertAlign w:val="subscript"/>
        </w:rPr>
        <w:t>2</w:t>
      </w:r>
      <w:r w:rsidRPr="00662906">
        <w:rPr>
          <w:rFonts w:eastAsia="Arial" w:cs="Arial"/>
        </w:rPr>
        <w:t xml:space="preserve"> can be converted to CO in FT plants consuming energy.</w:t>
      </w:r>
    </w:p>
    <w:p w14:paraId="2E13DCFB" w14:textId="61207F73" w:rsidR="2D8B2CEE" w:rsidRPr="00662906" w:rsidRDefault="0D9E8DE5" w:rsidP="00297B79">
      <w:r w:rsidRPr="00662906">
        <w:rPr>
          <w:rFonts w:eastAsia="Arial" w:cs="Arial"/>
          <w:b/>
          <w:bCs/>
        </w:rPr>
        <w:lastRenderedPageBreak/>
        <w:t>Green Hydrogen</w:t>
      </w:r>
      <w:r w:rsidR="00B57138" w:rsidRPr="00662906">
        <w:rPr>
          <w:rFonts w:eastAsia="Arial" w:cs="Arial"/>
          <w:b/>
          <w:bCs/>
        </w:rPr>
        <w:t xml:space="preserve"> (GH</w:t>
      </w:r>
      <w:r w:rsidR="00B57138" w:rsidRPr="00662906">
        <w:rPr>
          <w:rFonts w:eastAsia="Arial" w:cs="Arial"/>
          <w:b/>
          <w:bCs/>
          <w:vertAlign w:val="subscript"/>
        </w:rPr>
        <w:t>2</w:t>
      </w:r>
      <w:r w:rsidR="00B57138" w:rsidRPr="00662906">
        <w:rPr>
          <w:rFonts w:eastAsia="Arial" w:cs="Arial"/>
          <w:b/>
          <w:bCs/>
        </w:rPr>
        <w:t>)</w:t>
      </w:r>
      <w:r w:rsidRPr="00662906">
        <w:rPr>
          <w:rFonts w:eastAsia="Arial" w:cs="Arial"/>
          <w:b/>
          <w:bCs/>
        </w:rPr>
        <w:t>:</w:t>
      </w:r>
      <w:r w:rsidRPr="00662906">
        <w:rPr>
          <w:rFonts w:eastAsia="Arial" w:cs="Arial"/>
        </w:rPr>
        <w:t xml:space="preserve"> Hydrogen produced by any type of </w:t>
      </w:r>
      <w:r w:rsidR="008E1FC6" w:rsidRPr="00662906">
        <w:rPr>
          <w:rFonts w:eastAsia="Arial" w:cs="Arial"/>
        </w:rPr>
        <w:t>R</w:t>
      </w:r>
      <w:r w:rsidRPr="00662906">
        <w:rPr>
          <w:rFonts w:eastAsia="Arial" w:cs="Arial"/>
        </w:rPr>
        <w:t xml:space="preserve">enewable </w:t>
      </w:r>
      <w:r w:rsidR="008E1FC6" w:rsidRPr="00662906">
        <w:rPr>
          <w:rFonts w:eastAsia="Arial" w:cs="Arial"/>
        </w:rPr>
        <w:t>E</w:t>
      </w:r>
      <w:r w:rsidRPr="00662906">
        <w:rPr>
          <w:rFonts w:eastAsia="Arial" w:cs="Arial"/>
        </w:rPr>
        <w:t>nergy</w:t>
      </w:r>
      <w:r w:rsidR="008E1FC6" w:rsidRPr="00662906">
        <w:rPr>
          <w:rFonts w:eastAsia="Arial" w:cs="Arial"/>
        </w:rPr>
        <w:t xml:space="preserve"> (RE)</w:t>
      </w:r>
      <w:r w:rsidRPr="00662906">
        <w:rPr>
          <w:rFonts w:eastAsia="Arial" w:cs="Arial"/>
        </w:rPr>
        <w:t xml:space="preserve"> resource apart from biomass.</w:t>
      </w:r>
    </w:p>
    <w:p w14:paraId="0611536C" w14:textId="77777777" w:rsidR="0081485A" w:rsidRPr="00662906" w:rsidRDefault="0081485A" w:rsidP="0081485A">
      <w:r w:rsidRPr="00662906">
        <w:rPr>
          <w:b/>
        </w:rPr>
        <w:t>Net Zero</w:t>
      </w:r>
      <w:r w:rsidRPr="00662906">
        <w:t xml:space="preserve">: Condition in which metric-weighted anthropogenic Greenhouse Gas (GHG) emissions are balanced by metric-weighted anthropogenic GHG removals over a specified period. If the term is used to refer to non-CO2 GHG as well, then the quantification of net zero GHG emissions depends on the GHG emission metric chosen to compare emissions and removals of different gases, as well as the time horizon chosen for that metric. </w:t>
      </w:r>
    </w:p>
    <w:p w14:paraId="61BA0596" w14:textId="21AFCF43" w:rsidR="0081485A" w:rsidRPr="00662906" w:rsidRDefault="1F57D87D" w:rsidP="0081485A">
      <w:r w:rsidRPr="00662906">
        <w:rPr>
          <w:b/>
          <w:bCs/>
        </w:rPr>
        <w:t>Oil refining:</w:t>
      </w:r>
      <w:r w:rsidRPr="00662906">
        <w:t xml:space="preserve"> One of the most important types of transformation for the energy system is the refining of crude oil into </w:t>
      </w:r>
      <w:r w:rsidR="102E337D" w:rsidRPr="00662906">
        <w:t xml:space="preserve">Petroleum </w:t>
      </w:r>
      <w:r w:rsidRPr="00662906">
        <w:t>products, such as the fuels that power automobiles, ships, and planes.</w:t>
      </w:r>
    </w:p>
    <w:p w14:paraId="23E08C24" w14:textId="1D5BBA65" w:rsidR="225F1CF5" w:rsidRPr="00662906" w:rsidRDefault="0651FFDA" w:rsidP="2D8B2CEE">
      <w:r w:rsidRPr="00662906">
        <w:rPr>
          <w:rFonts w:eastAsia="Arial" w:cs="Arial"/>
          <w:b/>
          <w:bCs/>
        </w:rPr>
        <w:t xml:space="preserve">Power-to-X (PtX): </w:t>
      </w:r>
      <w:r w:rsidRPr="00662906">
        <w:t xml:space="preserve">Power-to-X converts renewable electricity, from wind, solar, hydro, and geothermal power plants, into a wide variety of </w:t>
      </w:r>
      <w:r w:rsidR="340CC0E4" w:rsidRPr="00662906">
        <w:t>storable</w:t>
      </w:r>
      <w:r w:rsidRPr="00662906">
        <w:t xml:space="preserve"> products (X) which include various fuels and chemicals.</w:t>
      </w:r>
    </w:p>
    <w:p w14:paraId="1EF696F4" w14:textId="72353D74" w:rsidR="4A2AD150" w:rsidRPr="00662906" w:rsidRDefault="4A2AD150">
      <w:r w:rsidRPr="00662906">
        <w:rPr>
          <w:rFonts w:eastAsia="Arial" w:cs="Arial"/>
          <w:b/>
          <w:bCs/>
        </w:rPr>
        <w:t>Primary Energy productivity</w:t>
      </w:r>
      <w:r w:rsidRPr="00662906">
        <w:rPr>
          <w:rFonts w:eastAsia="Arial" w:cs="Arial"/>
        </w:rPr>
        <w:t xml:space="preserve">: </w:t>
      </w:r>
      <w:r w:rsidRPr="00662906">
        <w:t>The ratio of Primary Energy Supply over Gross Domestic Product, which is the inverse of primary energy intensity.</w:t>
      </w:r>
    </w:p>
    <w:p w14:paraId="081CAC8D" w14:textId="4BD203C5" w:rsidR="225F1CF5" w:rsidRPr="00662906" w:rsidRDefault="225F1CF5" w:rsidP="2D8B2CEE">
      <w:r w:rsidRPr="00662906">
        <w:rPr>
          <w:rFonts w:eastAsia="Arial" w:cs="Arial"/>
          <w:b/>
          <w:bCs/>
        </w:rPr>
        <w:t xml:space="preserve">Sustainable Aviation Fuel: </w:t>
      </w:r>
      <w:bookmarkStart w:id="43" w:name="_Hlk171502970"/>
      <w:r w:rsidRPr="00662906">
        <w:t xml:space="preserve">Sustainable </w:t>
      </w:r>
      <w:r w:rsidR="00374D52" w:rsidRPr="00662906">
        <w:t>A</w:t>
      </w:r>
      <w:r w:rsidRPr="00662906">
        <w:t xml:space="preserve">viation </w:t>
      </w:r>
      <w:r w:rsidR="00374D52" w:rsidRPr="00662906">
        <w:t>F</w:t>
      </w:r>
      <w:r w:rsidRPr="00662906">
        <w:t xml:space="preserve">uels </w:t>
      </w:r>
      <w:bookmarkEnd w:id="43"/>
      <w:r w:rsidRPr="00662906">
        <w:t xml:space="preserve">(SAF) are defined as renewable or waste-derived aviation fuels that meets sustainability criteria. Currently standardized SAF are essentially </w:t>
      </w:r>
      <w:r w:rsidR="00B414FA" w:rsidRPr="00662906">
        <w:t>biofuels</w:t>
      </w:r>
      <w:r w:rsidRPr="00662906">
        <w:t xml:space="preserve"> in blends with fossil jet-fuel, while 100% synthetic hydrocarbon SAF are currently in the process of full standardization.</w:t>
      </w:r>
    </w:p>
    <w:p w14:paraId="09931711" w14:textId="1F833208" w:rsidR="225F1CF5" w:rsidRPr="00662906" w:rsidRDefault="225F1CF5" w:rsidP="2D8B2CEE">
      <w:r w:rsidRPr="00662906">
        <w:rPr>
          <w:rFonts w:eastAsia="Arial" w:cs="Arial"/>
          <w:b/>
          <w:bCs/>
        </w:rPr>
        <w:t xml:space="preserve">Sustainable biomass: </w:t>
      </w:r>
      <w:r w:rsidRPr="00662906">
        <w:t>It involves the use of organic materials sourced in a manner that does not compromise the health of ecosystems or deplete resources at rates faster than they can regenerate. Sustainable biomass production considers ecological</w:t>
      </w:r>
      <w:r w:rsidR="0012749F" w:rsidRPr="00662906">
        <w:t xml:space="preserve"> (including land use)</w:t>
      </w:r>
      <w:r w:rsidRPr="00662906">
        <w:t xml:space="preserve">, social, and economic factors to minimize impact on biodiversity, soil health, and local communities. It is a critical component in the production of biomass energy and </w:t>
      </w:r>
      <w:r w:rsidR="00B414FA" w:rsidRPr="00662906">
        <w:t>biomaterials</w:t>
      </w:r>
      <w:r w:rsidRPr="00662906">
        <w:t>, ensuring that biomass exploitation contributes positively to carbon mitigation efforts and sustainable development goals.</w:t>
      </w:r>
    </w:p>
    <w:p w14:paraId="387543E7" w14:textId="77777777" w:rsidR="0081485A" w:rsidRPr="00662906" w:rsidRDefault="0081485A" w:rsidP="0081485A">
      <w:r w:rsidRPr="00662906">
        <w:rPr>
          <w:b/>
        </w:rPr>
        <w:t>Technical Assistance:</w:t>
      </w:r>
      <w:r w:rsidRPr="00662906">
        <w:t xml:space="preserve"> The process of providing targeted and expert support for development purposes. </w:t>
      </w:r>
    </w:p>
    <w:p w14:paraId="66EC20F3" w14:textId="77777777" w:rsidR="00F16081" w:rsidRPr="00662906" w:rsidRDefault="0081485A" w:rsidP="0081485A">
      <w:r w:rsidRPr="00662906">
        <w:rPr>
          <w:b/>
        </w:rPr>
        <w:t>Wheeling Agreement</w:t>
      </w:r>
      <w:r w:rsidRPr="00662906">
        <w:t xml:space="preserve">: An agreement between generators, consumers, and the owners/operators of the relevant transmission and distribution systems to transmit energy from a generator to an end-user located in another area through the use of existing distribution or transmission networks. </w:t>
      </w:r>
    </w:p>
    <w:p w14:paraId="520262D1" w14:textId="77777777" w:rsidR="00F16081" w:rsidRPr="00662906" w:rsidRDefault="00F16081" w:rsidP="0081485A"/>
    <w:p w14:paraId="7399AE00" w14:textId="43A7CD82" w:rsidR="1002B68F" w:rsidRPr="00662906" w:rsidRDefault="1002B68F"/>
    <w:p w14:paraId="6D2AC90A" w14:textId="0620F981" w:rsidR="1002B68F" w:rsidRPr="00662906" w:rsidRDefault="1002B68F"/>
    <w:p w14:paraId="502952BD" w14:textId="649F57D7" w:rsidR="00BB06E2" w:rsidRPr="00662906" w:rsidRDefault="00BB06E2" w:rsidP="4710EF2A">
      <w:pPr>
        <w:spacing w:before="0" w:after="160"/>
        <w:rPr>
          <w:rFonts w:cs="Arial"/>
          <w:b/>
          <w:bCs/>
          <w:color w:val="348F41" w:themeColor="text1"/>
          <w:sz w:val="26"/>
          <w:szCs w:val="26"/>
        </w:rPr>
      </w:pPr>
      <w:bookmarkStart w:id="44" w:name="_Toc176430211"/>
      <w:bookmarkStart w:id="45" w:name="_Toc176430268"/>
      <w:bookmarkStart w:id="46" w:name="_Toc176441401"/>
      <w:bookmarkStart w:id="47" w:name="_Toc176442056"/>
      <w:r w:rsidRPr="00662906">
        <w:br w:type="page"/>
      </w:r>
    </w:p>
    <w:p w14:paraId="4FFA6101" w14:textId="04732399" w:rsidR="00297B79" w:rsidRPr="00662906" w:rsidRDefault="44853E18" w:rsidP="009D4E00">
      <w:pPr>
        <w:pStyle w:val="Heading1"/>
        <w:numPr>
          <w:ilvl w:val="0"/>
          <w:numId w:val="0"/>
        </w:numPr>
        <w:ind w:left="284"/>
      </w:pPr>
      <w:bookmarkStart w:id="48" w:name="_Toc178937416"/>
      <w:bookmarkStart w:id="49" w:name="_Toc197433802"/>
      <w:r w:rsidRPr="00662906">
        <w:lastRenderedPageBreak/>
        <w:t>Executive Summary</w:t>
      </w:r>
      <w:bookmarkEnd w:id="44"/>
      <w:bookmarkEnd w:id="45"/>
      <w:bookmarkEnd w:id="46"/>
      <w:bookmarkEnd w:id="47"/>
      <w:bookmarkEnd w:id="48"/>
      <w:bookmarkEnd w:id="49"/>
    </w:p>
    <w:p w14:paraId="12126219" w14:textId="6F1F9CA1" w:rsidR="00DD7FEA" w:rsidRPr="00662906" w:rsidRDefault="00DD7FEA" w:rsidP="00DD7FEA">
      <w:r w:rsidRPr="00662906">
        <w:t xml:space="preserve">The use of fossil fuels in Africa is still high (52% of TPES and 38% of </w:t>
      </w:r>
      <w:r w:rsidR="00900B7D" w:rsidRPr="00662906">
        <w:t>Total Final Energy Consumption (</w:t>
      </w:r>
      <w:r w:rsidR="6DFBFD6D" w:rsidRPr="00662906">
        <w:t>T</w:t>
      </w:r>
      <w:r w:rsidRPr="00662906">
        <w:t>FEC)</w:t>
      </w:r>
      <w:r w:rsidR="00900B7D" w:rsidRPr="00662906">
        <w:t>)</w:t>
      </w:r>
      <w:r w:rsidRPr="00662906">
        <w:t xml:space="preserve"> and yet development is still lagging behind the other developing regions of Asia and Latin America</w:t>
      </w:r>
      <w:r w:rsidRPr="00662906">
        <w:rPr>
          <w:vertAlign w:val="superscript"/>
        </w:rPr>
        <w:footnoteReference w:id="2"/>
      </w:r>
      <w:r w:rsidRPr="00662906">
        <w:t>. Energy Transition is intended to support Africa advance its development agenda while transitioning towards sustainable energy and low carbon economy. This Energy Transition Strategy and Action Plan (ETSAP) has been developed to guide the continent’s transition towards net zero emission target similar to the global goal but in Africa’s case, without digressing from the pressing agenda of achieving socio-economic development.</w:t>
      </w:r>
    </w:p>
    <w:p w14:paraId="664A1300" w14:textId="2AC8CEDD" w:rsidR="00DD7FEA" w:rsidRPr="00662906" w:rsidRDefault="0BB4D55B" w:rsidP="00DD7FEA">
      <w:r w:rsidRPr="00662906">
        <w:t xml:space="preserve">The ETSAP is in line with the objectives of the Africa Energy Transition Programme (AFRETRAP) that embodies the African Union (AU)’s </w:t>
      </w:r>
      <w:r w:rsidRPr="00662906">
        <w:rPr>
          <w:b/>
          <w:bCs/>
        </w:rPr>
        <w:t xml:space="preserve">vision for a low-carbon energy future. </w:t>
      </w:r>
      <w:r w:rsidRPr="00662906">
        <w:t>To that end the ETSAP recognizes the African Common Position on Energy Access and Just Transition</w:t>
      </w:r>
      <w:r w:rsidR="00DD7FEA" w:rsidRPr="00662906">
        <w:rPr>
          <w:vertAlign w:val="superscript"/>
        </w:rPr>
        <w:footnoteReference w:id="3"/>
      </w:r>
      <w:r w:rsidRPr="00662906">
        <w:t xml:space="preserve">, that underscores the importance to achieve </w:t>
      </w:r>
      <w:r w:rsidRPr="00662906">
        <w:rPr>
          <w:b/>
          <w:bCs/>
        </w:rPr>
        <w:t>universal energy access</w:t>
      </w:r>
      <w:r w:rsidRPr="00662906">
        <w:t xml:space="preserve"> paired with </w:t>
      </w:r>
      <w:r w:rsidRPr="00662906">
        <w:rPr>
          <w:b/>
          <w:bCs/>
        </w:rPr>
        <w:t>sustainable and low-carbon development and harnessing abundant renewable and non-renewable energy sources</w:t>
      </w:r>
      <w:r w:rsidRPr="00662906">
        <w:t xml:space="preserve"> to meet Africa's ever-growing energy demands. The ETSAP has also taken cognisance of African Union Agenda 2063, the principles of the United Nations (UN)’s 2030 Agenda for Sustainable Development, particularly </w:t>
      </w:r>
      <w:r w:rsidR="00900B7D" w:rsidRPr="00662906">
        <w:t>Sustainable Development Goal (</w:t>
      </w:r>
      <w:r w:rsidRPr="00662906">
        <w:t>SDG</w:t>
      </w:r>
      <w:r w:rsidR="00900B7D" w:rsidRPr="00662906">
        <w:t>)</w:t>
      </w:r>
      <w:r w:rsidRPr="00662906">
        <w:t xml:space="preserve"> 7: the Paris Agreement of 2015, relevant AU and regional and national sector energy transition initiatives. The ETSAP also builds on the other relevant AU initiatives with regard to energy transition mainly the Continental Power Master Plan (CMP) and the Africa Energy Efficiency Strategy</w:t>
      </w:r>
      <w:r w:rsidR="336D70CF" w:rsidRPr="00662906">
        <w:t xml:space="preserve"> (AFEES)</w:t>
      </w:r>
      <w:r w:rsidRPr="00662906">
        <w:t xml:space="preserve"> that bring in projected scenarios for deployment of clean energy sources (Renewable energy and natural gas) and energy efficiency measures in the demand sectors of industry, transport, buildings and agriculture respectively.</w:t>
      </w:r>
    </w:p>
    <w:p w14:paraId="42C7D080" w14:textId="77777777" w:rsidR="00DD7FEA" w:rsidRPr="00662906" w:rsidRDefault="00DD7FEA" w:rsidP="00DD7FEA">
      <w:r w:rsidRPr="00662906">
        <w:t>The benefits to be derived from the ETSAP are as follows:</w:t>
      </w:r>
    </w:p>
    <w:p w14:paraId="06968EC1" w14:textId="77777777" w:rsidR="00DD7FEA" w:rsidRPr="00662906" w:rsidRDefault="00DD7FEA" w:rsidP="005C5546">
      <w:pPr>
        <w:numPr>
          <w:ilvl w:val="0"/>
          <w:numId w:val="49"/>
        </w:numPr>
        <w:spacing w:before="40" w:after="40"/>
        <w:ind w:left="714" w:hanging="357"/>
      </w:pPr>
      <w:r w:rsidRPr="00662906">
        <w:t>Ensuring the exploitation of the abundant clean energy resources to achieve energy supply sustainability by noting that these resources are not evenly distributed in the continent. Some are renewable and others are non-renewable, but the first priority is to meet energy demand in a sustainable way without hindering socio-economic growth on the continent.</w:t>
      </w:r>
    </w:p>
    <w:p w14:paraId="58EF23D4" w14:textId="11E669E8" w:rsidR="00DD7FEA" w:rsidRPr="00662906" w:rsidRDefault="0BB4D55B" w:rsidP="005C5546">
      <w:pPr>
        <w:numPr>
          <w:ilvl w:val="0"/>
          <w:numId w:val="49"/>
        </w:numPr>
        <w:spacing w:before="40" w:after="40"/>
        <w:ind w:left="714" w:hanging="357"/>
      </w:pPr>
      <w:r w:rsidRPr="00662906">
        <w:t xml:space="preserve">Enhancing the </w:t>
      </w:r>
      <w:r w:rsidR="7F913C14" w:rsidRPr="00662906">
        <w:t xml:space="preserve">regional and </w:t>
      </w:r>
      <w:r w:rsidRPr="00662906">
        <w:t>continental integration for trade of both energy, goods, and services.</w:t>
      </w:r>
    </w:p>
    <w:p w14:paraId="693E722D" w14:textId="77777777" w:rsidR="00DD7FEA" w:rsidRPr="00662906" w:rsidRDefault="00DD7FEA" w:rsidP="005C5546">
      <w:pPr>
        <w:numPr>
          <w:ilvl w:val="0"/>
          <w:numId w:val="49"/>
        </w:numPr>
        <w:spacing w:before="40" w:after="40"/>
        <w:ind w:left="714" w:hanging="357"/>
      </w:pPr>
      <w:r w:rsidRPr="00662906">
        <w:t>Addressing lagging access to modern and sustainable energy. Despite its abundant energy resources, Africa has the lowest electrification and clean cooking rate globally and the hindrance being inadequate infrastructure to reach demand centres and high cost of the related facilities/appliances to tap on the available energy services and supplies.</w:t>
      </w:r>
    </w:p>
    <w:p w14:paraId="1BAF1359" w14:textId="4FF88D54" w:rsidR="00DD7FEA" w:rsidRPr="00662906" w:rsidRDefault="0BB4D55B" w:rsidP="005C5546">
      <w:pPr>
        <w:numPr>
          <w:ilvl w:val="0"/>
          <w:numId w:val="49"/>
        </w:numPr>
        <w:spacing w:before="40" w:after="40"/>
        <w:ind w:left="714" w:hanging="357"/>
      </w:pPr>
      <w:r w:rsidRPr="00662906">
        <w:t>Migrating from prevalent use of traditional biomass to modern and sustainable energy sources for improved healthy</w:t>
      </w:r>
      <w:r w:rsidR="63CAAE7B" w:rsidRPr="00662906">
        <w:t>,</w:t>
      </w:r>
      <w:r w:rsidRPr="00662906">
        <w:t xml:space="preserve"> environment and poverty alleviation.</w:t>
      </w:r>
    </w:p>
    <w:p w14:paraId="2685FF7F" w14:textId="5BFD0069" w:rsidR="00DD7FEA" w:rsidRPr="00662906" w:rsidRDefault="0BB4D55B" w:rsidP="005C5546">
      <w:pPr>
        <w:numPr>
          <w:ilvl w:val="0"/>
          <w:numId w:val="49"/>
        </w:numPr>
        <w:spacing w:before="40" w:after="40"/>
        <w:ind w:left="714" w:hanging="357"/>
      </w:pPr>
      <w:r w:rsidRPr="00662906">
        <w:t>Achieving Energy security for supporting industrialization in a continent that is still lagging in meeting its socio-economic goals such as job creation for the youthful population of Africa and enhancing economic growth in genera</w:t>
      </w:r>
      <w:r w:rsidR="61A8A301" w:rsidRPr="00662906">
        <w:t>l</w:t>
      </w:r>
      <w:r w:rsidRPr="00662906">
        <w:t>; and yet boasts of some of the rarest strategic minerals that can be beneficiated on the continent.</w:t>
      </w:r>
    </w:p>
    <w:p w14:paraId="7DA76D85" w14:textId="3B3FF736" w:rsidR="00DD7FEA" w:rsidRPr="00662906" w:rsidRDefault="00DD7FEA" w:rsidP="005C5546">
      <w:pPr>
        <w:numPr>
          <w:ilvl w:val="0"/>
          <w:numId w:val="49"/>
        </w:numPr>
        <w:spacing w:before="40" w:after="40"/>
        <w:ind w:left="714" w:hanging="357"/>
      </w:pPr>
      <w:r w:rsidRPr="00662906">
        <w:t>Alignment with global, continental, regional and National development and policy agendas including SDGs and the Paris Agreement that requires AU Member States to honour their national commitments to the Paris Agreement as stipulated in their Nationally Determined Contributions (NDCs).</w:t>
      </w:r>
    </w:p>
    <w:p w14:paraId="1B2184F9" w14:textId="77777777" w:rsidR="00DD7FEA" w:rsidRPr="00662906" w:rsidRDefault="00DD7FEA" w:rsidP="005C5546">
      <w:pPr>
        <w:numPr>
          <w:ilvl w:val="0"/>
          <w:numId w:val="49"/>
        </w:numPr>
        <w:spacing w:before="40" w:after="40"/>
        <w:ind w:left="714" w:hanging="357"/>
      </w:pPr>
      <w:r w:rsidRPr="00662906">
        <w:t>Advancing socio-economic development of the continent without compromising on the conventional environmental integrity coupled with climate preparedness and resilience.</w:t>
      </w:r>
    </w:p>
    <w:p w14:paraId="6FF70F75" w14:textId="77777777" w:rsidR="00DD7FEA" w:rsidRPr="00662906" w:rsidRDefault="00DD7FEA" w:rsidP="005C5546">
      <w:pPr>
        <w:numPr>
          <w:ilvl w:val="0"/>
          <w:numId w:val="49"/>
        </w:numPr>
        <w:spacing w:before="40" w:after="40"/>
      </w:pPr>
      <w:r w:rsidRPr="00662906">
        <w:t xml:space="preserve">Tapping on the available and forthcoming local and global financial and investment flows for clean energy opportunities. </w:t>
      </w:r>
    </w:p>
    <w:p w14:paraId="7418F4E3" w14:textId="77777777" w:rsidR="00DD7FEA" w:rsidRPr="00662906" w:rsidRDefault="00DD7FEA" w:rsidP="005C5546">
      <w:pPr>
        <w:numPr>
          <w:ilvl w:val="0"/>
          <w:numId w:val="49"/>
        </w:numPr>
        <w:spacing w:before="40" w:after="40"/>
        <w:ind w:left="714" w:hanging="357"/>
      </w:pPr>
      <w:r w:rsidRPr="00662906">
        <w:lastRenderedPageBreak/>
        <w:t>Taking advantage of technological advancements of clean technologies recognizing that some Renewable Energy technologies have become competitive or even cheaper than some fossil fuels.</w:t>
      </w:r>
    </w:p>
    <w:p w14:paraId="7C778C31" w14:textId="595F1D19" w:rsidR="00DD7FEA" w:rsidRPr="00662906" w:rsidRDefault="0BB4D55B" w:rsidP="005C5546">
      <w:pPr>
        <w:numPr>
          <w:ilvl w:val="0"/>
          <w:numId w:val="49"/>
        </w:numPr>
        <w:spacing w:before="40" w:after="40"/>
        <w:ind w:left="714" w:hanging="357"/>
      </w:pPr>
      <w:r w:rsidRPr="00662906">
        <w:t>Building own capacity to undertake the energy transition and creating conducive policy/ legal/ regulatory/ institutional/ financial enabler</w:t>
      </w:r>
      <w:r w:rsidR="5FDDFD54" w:rsidRPr="00662906">
        <w:t>s</w:t>
      </w:r>
      <w:r w:rsidRPr="00662906">
        <w:t xml:space="preserve"> that will support achievement of Africa’s Energy Transition agenda.</w:t>
      </w:r>
    </w:p>
    <w:p w14:paraId="114A2B04" w14:textId="6FE3DD4B" w:rsidR="00DD7FEA" w:rsidRPr="00662906" w:rsidRDefault="00DD7FEA" w:rsidP="005C5546">
      <w:pPr>
        <w:numPr>
          <w:ilvl w:val="0"/>
          <w:numId w:val="49"/>
        </w:numPr>
        <w:spacing w:before="40" w:after="40"/>
        <w:ind w:left="714" w:hanging="357"/>
      </w:pPr>
      <w:r w:rsidRPr="00662906">
        <w:t>Leveraging Africa's critical mineral resources for energy transition. Africa is endowed with a significant share</w:t>
      </w:r>
      <w:r w:rsidR="001F2018" w:rsidRPr="00662906">
        <w:rPr>
          <w:rStyle w:val="FootnoteReference"/>
          <w:color w:val="auto"/>
        </w:rPr>
        <w:footnoteReference w:id="4"/>
      </w:r>
      <w:r w:rsidRPr="00662906">
        <w:rPr>
          <w:color w:val="FF0000"/>
        </w:rPr>
        <w:t xml:space="preserve"> </w:t>
      </w:r>
      <w:r w:rsidRPr="00662906">
        <w:t>of the world's critical minerals essential for renewable energy technologies and energy storage solutions. Strategically exploiting these resources, such as cobalt, lithium, and rare earth elements, is pivotal in developing local value chains that enhance technological innovation and manufacturing within the continent. This approach supports the creation of sustainable jobs, boosts economic diversification, and enhances energy independence while ensuring environmental stewardship and alignment with international standards for responsible mining practices.</w:t>
      </w:r>
    </w:p>
    <w:p w14:paraId="6560EBA1" w14:textId="6AFEEB5E" w:rsidR="00DD7FEA" w:rsidRPr="00662906" w:rsidRDefault="00DD7FEA" w:rsidP="00DD7FEA">
      <w:r w:rsidRPr="00662906">
        <w:t xml:space="preserve">The ETSAP has been developed building on other relevant AU energy transition initiatives that include the African Single Electricity Market (AfSEM), the CMP and the AfEES. </w:t>
      </w:r>
      <w:r w:rsidR="00F220FD" w:rsidRPr="00662906">
        <w:t>All available</w:t>
      </w:r>
      <w:r w:rsidR="001A4C95" w:rsidRPr="00662906">
        <w:t xml:space="preserve"> public domain</w:t>
      </w:r>
      <w:r w:rsidR="00F220FD" w:rsidRPr="00662906">
        <w:t xml:space="preserve"> sources of </w:t>
      </w:r>
      <w:r w:rsidR="001A4C95" w:rsidRPr="00662906">
        <w:t xml:space="preserve">global, </w:t>
      </w:r>
      <w:r w:rsidR="00F220FD" w:rsidRPr="00662906">
        <w:t>continental</w:t>
      </w:r>
      <w:r w:rsidR="001A4C95" w:rsidRPr="00662906">
        <w:t>, regional and national</w:t>
      </w:r>
      <w:r w:rsidR="00F220FD" w:rsidRPr="00662906">
        <w:t xml:space="preserve"> data and modelling were used </w:t>
      </w:r>
      <w:r w:rsidR="006B141B" w:rsidRPr="00662906">
        <w:t>in developing the ETSAP. This was complemented by a</w:t>
      </w:r>
      <w:r w:rsidRPr="00662906">
        <w:t>n analysis of NDC measures that AU-Member States have presented</w:t>
      </w:r>
      <w:r w:rsidR="001A4C95" w:rsidRPr="00662906">
        <w:t>.  On</w:t>
      </w:r>
      <w:r w:rsidR="001A4C95" w:rsidRPr="00662906" w:rsidDel="001A4C95">
        <w:t xml:space="preserve"> </w:t>
      </w:r>
      <w:r w:rsidRPr="00662906">
        <w:t>-going continental, regional and national energy transition initiatives have also informed the development of the ETSAP.</w:t>
      </w:r>
    </w:p>
    <w:p w14:paraId="523C5BA6" w14:textId="0F025424" w:rsidR="00DD7FEA" w:rsidRPr="00662906" w:rsidRDefault="0BB4D55B" w:rsidP="00DD7FEA">
      <w:r w:rsidRPr="00662906">
        <w:t xml:space="preserve">The AU member states </w:t>
      </w:r>
      <w:r w:rsidR="006B141B" w:rsidRPr="00662906">
        <w:t>can</w:t>
      </w:r>
      <w:r w:rsidRPr="00662906">
        <w:t xml:space="preserve"> use the ETSAP as a guide to develop their own national energy transition strategies </w:t>
      </w:r>
      <w:r w:rsidR="7836B3DA" w:rsidRPr="00662906">
        <w:t>and</w:t>
      </w:r>
      <w:r w:rsidRPr="00662906">
        <w:t xml:space="preserve"> </w:t>
      </w:r>
      <w:r w:rsidR="006B141B" w:rsidRPr="00662906">
        <w:t xml:space="preserve">for </w:t>
      </w:r>
      <w:r w:rsidRPr="00662906">
        <w:t>some of the</w:t>
      </w:r>
      <w:r w:rsidR="5ADC587B" w:rsidRPr="00662906">
        <w:t xml:space="preserve"> AU</w:t>
      </w:r>
      <w:r w:rsidRPr="00662906">
        <w:t xml:space="preserve"> </w:t>
      </w:r>
      <w:r w:rsidR="0031128B" w:rsidRPr="00662906">
        <w:t>Member States (</w:t>
      </w:r>
      <w:r w:rsidRPr="00662906">
        <w:t>MS</w:t>
      </w:r>
      <w:r w:rsidR="0031128B" w:rsidRPr="00662906">
        <w:t>)</w:t>
      </w:r>
      <w:r w:rsidRPr="00662906">
        <w:t xml:space="preserve"> already have on-going energy transition initiatives</w:t>
      </w:r>
      <w:r w:rsidR="006B141B" w:rsidRPr="00662906">
        <w:t xml:space="preserve"> to provide </w:t>
      </w:r>
      <w:r w:rsidR="00FC145A" w:rsidRPr="00662906">
        <w:t>the tools for alignment for regional and continental harmonization</w:t>
      </w:r>
      <w:r w:rsidRPr="00662906">
        <w:t xml:space="preserve">. Each country </w:t>
      </w:r>
      <w:r w:rsidR="006666F3" w:rsidRPr="00662906">
        <w:t>can</w:t>
      </w:r>
      <w:r w:rsidRPr="00662906">
        <w:t xml:space="preserve"> therefore map their own priorities in the domestication of the ETSAP</w:t>
      </w:r>
      <w:r w:rsidR="00FC145A" w:rsidRPr="00662906">
        <w:t xml:space="preserve"> </w:t>
      </w:r>
      <w:r w:rsidR="006666F3" w:rsidRPr="00662906">
        <w:t>in the path towards continental harmonization</w:t>
      </w:r>
      <w:r w:rsidRPr="00662906">
        <w:t>.</w:t>
      </w:r>
    </w:p>
    <w:p w14:paraId="7094D92D" w14:textId="5BB06B07" w:rsidR="00DD7FEA" w:rsidRPr="00662906" w:rsidRDefault="0BB4D55B" w:rsidP="00DD7FEA">
      <w:r w:rsidRPr="00662906">
        <w:t xml:space="preserve">The </w:t>
      </w:r>
      <w:r w:rsidR="00DD51AB" w:rsidRPr="00662906">
        <w:t>time horizon of ETSAP</w:t>
      </w:r>
      <w:r w:rsidRPr="00662906">
        <w:t xml:space="preserve"> up to 2063 coincides with the end of Africa’s Agenda 2063. Other emerging countries, like China (2060) have set their net zero emission targets in the distant future, so the expectation is that by 2063 all AU Member States will have had a chance to reach the </w:t>
      </w:r>
      <w:r w:rsidR="00F32265" w:rsidRPr="00662906">
        <w:t>clean energy</w:t>
      </w:r>
      <w:r w:rsidRPr="00662906">
        <w:t xml:space="preserve"> target.  </w:t>
      </w:r>
    </w:p>
    <w:p w14:paraId="195C8671" w14:textId="2B0F1EA8" w:rsidR="00DD7FEA" w:rsidRPr="00662906" w:rsidRDefault="0BB4D55B" w:rsidP="00E7745C">
      <w:pPr>
        <w:spacing w:before="40" w:after="40"/>
      </w:pPr>
      <w:r w:rsidRPr="00662906">
        <w:t>The ETSAP scope</w:t>
      </w:r>
      <w:r w:rsidR="20BF6DC0" w:rsidRPr="00662906">
        <w:t xml:space="preserve"> covers</w:t>
      </w:r>
      <w:r w:rsidRPr="00662906">
        <w:t xml:space="preserve"> for the following energy subsectors:</w:t>
      </w:r>
    </w:p>
    <w:p w14:paraId="0D9E5088" w14:textId="77777777" w:rsidR="00DD7FEA" w:rsidRPr="00662906" w:rsidRDefault="00DD7FEA" w:rsidP="005C5546">
      <w:pPr>
        <w:numPr>
          <w:ilvl w:val="0"/>
          <w:numId w:val="49"/>
        </w:numPr>
        <w:spacing w:before="40" w:after="40"/>
      </w:pPr>
      <w:r w:rsidRPr="00662906">
        <w:t>Electricity sector.</w:t>
      </w:r>
    </w:p>
    <w:p w14:paraId="0D841CB8" w14:textId="77777777" w:rsidR="00DD7FEA" w:rsidRPr="00662906" w:rsidRDefault="00DD7FEA" w:rsidP="005C5546">
      <w:pPr>
        <w:numPr>
          <w:ilvl w:val="0"/>
          <w:numId w:val="49"/>
        </w:numPr>
        <w:spacing w:before="40" w:after="40"/>
      </w:pPr>
      <w:r w:rsidRPr="00662906">
        <w:t>Transport sector.</w:t>
      </w:r>
    </w:p>
    <w:p w14:paraId="204E71DF" w14:textId="77777777" w:rsidR="00DD7FEA" w:rsidRPr="00662906" w:rsidRDefault="00DD7FEA" w:rsidP="005C5546">
      <w:pPr>
        <w:numPr>
          <w:ilvl w:val="0"/>
          <w:numId w:val="49"/>
        </w:numPr>
        <w:spacing w:before="40" w:after="40"/>
      </w:pPr>
      <w:r w:rsidRPr="00662906">
        <w:t>Buildings sector.</w:t>
      </w:r>
    </w:p>
    <w:p w14:paraId="7C73463C" w14:textId="77777777" w:rsidR="00DD7FEA" w:rsidRPr="00662906" w:rsidRDefault="00DD7FEA" w:rsidP="005C5546">
      <w:pPr>
        <w:numPr>
          <w:ilvl w:val="0"/>
          <w:numId w:val="49"/>
        </w:numPr>
        <w:spacing w:before="40" w:after="40"/>
      </w:pPr>
      <w:r w:rsidRPr="00662906">
        <w:t>Industry sector.</w:t>
      </w:r>
    </w:p>
    <w:p w14:paraId="6D5A5DE9" w14:textId="77777777" w:rsidR="00DD7FEA" w:rsidRPr="00662906" w:rsidRDefault="00DD7FEA" w:rsidP="005C5546">
      <w:pPr>
        <w:numPr>
          <w:ilvl w:val="0"/>
          <w:numId w:val="49"/>
        </w:numPr>
        <w:spacing w:before="40" w:after="40"/>
      </w:pPr>
      <w:r w:rsidRPr="00662906">
        <w:t>Oil and Gas sector.</w:t>
      </w:r>
    </w:p>
    <w:p w14:paraId="3ED1A60F" w14:textId="77777777" w:rsidR="00DD7FEA" w:rsidRPr="00662906" w:rsidRDefault="00DD7FEA" w:rsidP="005C5546">
      <w:pPr>
        <w:numPr>
          <w:ilvl w:val="0"/>
          <w:numId w:val="49"/>
        </w:numPr>
        <w:spacing w:before="40" w:after="40"/>
      </w:pPr>
      <w:r w:rsidRPr="00662906">
        <w:t>Agriculture sector.</w:t>
      </w:r>
    </w:p>
    <w:p w14:paraId="0BDC7561" w14:textId="77777777" w:rsidR="00DD7FEA" w:rsidRPr="00662906" w:rsidRDefault="00DD7FEA" w:rsidP="005C5546">
      <w:pPr>
        <w:numPr>
          <w:ilvl w:val="0"/>
          <w:numId w:val="49"/>
        </w:numPr>
        <w:spacing w:before="40" w:after="40"/>
      </w:pPr>
      <w:r w:rsidRPr="00662906">
        <w:t>Clean Cooking.</w:t>
      </w:r>
    </w:p>
    <w:p w14:paraId="238FBB3E" w14:textId="3AC27CD5" w:rsidR="00DD7FEA" w:rsidRPr="00662906" w:rsidRDefault="00050F20" w:rsidP="00DD7FEA">
      <w:r w:rsidRPr="00662906">
        <w:t>In full alignment, t</w:t>
      </w:r>
      <w:r w:rsidR="00DD7FEA" w:rsidRPr="00662906">
        <w:t xml:space="preserve">hese are the energy subsectors contained in the AFRETRAP Strategic Objectives and Programme. </w:t>
      </w:r>
    </w:p>
    <w:p w14:paraId="767C5B09" w14:textId="24C206C6" w:rsidR="00421E08" w:rsidRPr="00662906" w:rsidRDefault="00421E08" w:rsidP="00DD7FEA">
      <w:r w:rsidRPr="00662906">
        <w:t>It has to be highlighted that the development of the ETSAP has followed a ‘theory of change’ approach in identifying and addressing the critical barriers to Africa’s energy transition. This approach ensures a logical progression from challenges to strategic interventions and desired outcomes, fostering actionable solutions that align with the continent’s long-term vision for sustainable development.</w:t>
      </w:r>
      <w:r w:rsidR="006D5ED3" w:rsidRPr="00662906">
        <w:t xml:space="preserve"> As a first step, a comprehensive stock-taking report was developed, which includes the background work such as the investigation of the current status and gap analysis; this report is included as an Annex to the strategy.</w:t>
      </w:r>
    </w:p>
    <w:p w14:paraId="1B764B1E" w14:textId="1E650146" w:rsidR="00A95FFC" w:rsidRPr="00662906" w:rsidRDefault="0BB4D55B" w:rsidP="00DD7FEA">
      <w:r w:rsidRPr="00662906">
        <w:lastRenderedPageBreak/>
        <w:t>Bas</w:t>
      </w:r>
      <w:r w:rsidR="00050F20" w:rsidRPr="00662906">
        <w:t>ed</w:t>
      </w:r>
      <w:r w:rsidRPr="00662906">
        <w:t xml:space="preserve"> on the AFRETRAP</w:t>
      </w:r>
      <w:r w:rsidR="6E81A975" w:rsidRPr="00662906">
        <w:t>,</w:t>
      </w:r>
      <w:r w:rsidRPr="00662906">
        <w:t xml:space="preserve"> other AU initiatives</w:t>
      </w:r>
      <w:r w:rsidR="1B759D4E" w:rsidRPr="00662906">
        <w:t xml:space="preserve">, and continental, regional </w:t>
      </w:r>
      <w:r w:rsidR="00CD6ADF" w:rsidRPr="00662906">
        <w:t>a</w:t>
      </w:r>
      <w:r w:rsidR="1B759D4E" w:rsidRPr="00662906">
        <w:t xml:space="preserve">nd national </w:t>
      </w:r>
      <w:r w:rsidR="41C2BD2A" w:rsidRPr="00662906">
        <w:t>stakeholder</w:t>
      </w:r>
      <w:r w:rsidR="548D9B4E" w:rsidRPr="00662906">
        <w:t>’s</w:t>
      </w:r>
      <w:r w:rsidR="41C2BD2A" w:rsidRPr="00662906">
        <w:t xml:space="preserve"> inputs</w:t>
      </w:r>
      <w:r w:rsidR="00050F20" w:rsidRPr="00662906">
        <w:t xml:space="preserve"> through inclusive consultation activities</w:t>
      </w:r>
      <w:r w:rsidRPr="00662906">
        <w:t>, the Vision</w:t>
      </w:r>
      <w:r w:rsidR="00A95FFC" w:rsidRPr="00662906">
        <w:t>,</w:t>
      </w:r>
      <w:r w:rsidRPr="00662906">
        <w:t xml:space="preserve"> Mission</w:t>
      </w:r>
      <w:r w:rsidR="00A95FFC" w:rsidRPr="00662906">
        <w:t xml:space="preserve">, Timeframe and </w:t>
      </w:r>
      <w:r w:rsidR="00AE7D1F" w:rsidRPr="00662906">
        <w:t>High-level</w:t>
      </w:r>
      <w:r w:rsidR="00A95FFC" w:rsidRPr="00662906">
        <w:t xml:space="preserve"> Target</w:t>
      </w:r>
      <w:r w:rsidRPr="00662906">
        <w:t xml:space="preserve"> developed for the ETSAP are as follows: </w:t>
      </w:r>
    </w:p>
    <w:p w14:paraId="2E19F7D3" w14:textId="77777777" w:rsidR="00A95FFC" w:rsidRPr="00662906" w:rsidRDefault="00A95FFC" w:rsidP="00A95FFC">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rPr>
          <w:i/>
          <w:iCs/>
        </w:rPr>
      </w:pPr>
      <w:r w:rsidRPr="00662906">
        <w:rPr>
          <w:b/>
          <w:bCs/>
          <w:i/>
          <w:iCs/>
        </w:rPr>
        <w:t>Vision:</w:t>
      </w:r>
      <w:r w:rsidRPr="00662906">
        <w:rPr>
          <w:i/>
          <w:iCs/>
        </w:rPr>
        <w:t xml:space="preserve"> A just and inclusive transition to a sustainable and low carbon energy system in Africa by 2063.</w:t>
      </w:r>
    </w:p>
    <w:p w14:paraId="35451F43" w14:textId="5BABFA28" w:rsidR="00A95FFC" w:rsidRPr="00662906" w:rsidRDefault="00A95FFC" w:rsidP="00A95FFC">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rPr>
          <w:i/>
          <w:iCs/>
        </w:rPr>
      </w:pPr>
      <w:r w:rsidRPr="00662906">
        <w:rPr>
          <w:b/>
          <w:bCs/>
          <w:i/>
          <w:iCs/>
        </w:rPr>
        <w:t>Mission:</w:t>
      </w:r>
      <w:r w:rsidR="00422224" w:rsidRPr="00662906">
        <w:rPr>
          <w:b/>
          <w:bCs/>
          <w:i/>
          <w:iCs/>
        </w:rPr>
        <w:t xml:space="preserve"> </w:t>
      </w:r>
      <w:r w:rsidRPr="00662906">
        <w:rPr>
          <w:i/>
          <w:iCs/>
        </w:rPr>
        <w:t>To explore and develop low carbon energy systems utilizing Africa's natural resources towards universal energy access for a sustainable socio-economic transformation.</w:t>
      </w:r>
    </w:p>
    <w:p w14:paraId="37CD1D5D" w14:textId="6FA8B036" w:rsidR="00A95FFC" w:rsidRPr="00662906" w:rsidRDefault="00A95FFC" w:rsidP="00A95FFC">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pPr>
      <w:r w:rsidRPr="00662906">
        <w:rPr>
          <w:b/>
          <w:bCs/>
          <w:i/>
          <w:iCs/>
        </w:rPr>
        <w:t>Timeframe:</w:t>
      </w:r>
      <w:r w:rsidRPr="00662906">
        <w:t xml:space="preserve"> The ETSAP is structured to span from 2025 to 2063, segmented into three implementation phases: </w:t>
      </w:r>
      <w:r w:rsidRPr="00662906">
        <w:rPr>
          <w:i/>
          <w:iCs/>
        </w:rPr>
        <w:t>Short Term (2025-2030), Medium Term (2031-2040), and Long Term (2041-2063).</w:t>
      </w:r>
      <w:r w:rsidRPr="00662906">
        <w:t xml:space="preserve"> While the end dates for each phase set clear deadlines by which all AU Member States should complete specific actions, nations are encouraged to initiate activities as soon as they are ready, according to their unique circumstances. This flexible approach ensures that the strategy can adapt to the dynamic global energy landscape, incorporating new data, technological breakthroughs, especially during the critical period from 2041 onwards. Regular assessments and revisions will be integral to maintaining the strategy’s relevance and effectiveness in achieving its long-term goals.</w:t>
      </w:r>
    </w:p>
    <w:p w14:paraId="52EC5253" w14:textId="77777777" w:rsidR="00A95FFC" w:rsidRPr="00662906" w:rsidRDefault="00A95FFC" w:rsidP="00A95FFC">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pPr>
      <w:r w:rsidRPr="00662906">
        <w:rPr>
          <w:b/>
          <w:bCs/>
          <w:i/>
          <w:iCs/>
        </w:rPr>
        <w:t>High-level target</w:t>
      </w:r>
      <w:r w:rsidRPr="00662906">
        <w:rPr>
          <w:i/>
          <w:iCs/>
        </w:rPr>
        <w:t>:</w:t>
      </w:r>
      <w:r w:rsidRPr="00662906">
        <w:t xml:space="preserve"> to achieve a </w:t>
      </w:r>
      <w:r w:rsidRPr="00662906">
        <w:rPr>
          <w:b/>
          <w:bCs/>
          <w:i/>
          <w:iCs/>
        </w:rPr>
        <w:t>net zero greenhouse gas emissions economy by 2063</w:t>
      </w:r>
      <w:r w:rsidRPr="00662906">
        <w:t>. This target reflects Africa’s commitment to a sustainable future that drives sustainable development, enhances energy security, and strengthens climate resilience while maintaining universal access to clean energy services. This target serves as the unifying vision for the continent's energy transition.</w:t>
      </w:r>
    </w:p>
    <w:p w14:paraId="4F1F1650" w14:textId="77777777" w:rsidR="00A95FFC" w:rsidRPr="00662906" w:rsidRDefault="00A95FFC" w:rsidP="00C02BC8">
      <w:pPr>
        <w:rPr>
          <w:b/>
          <w:bCs/>
        </w:rPr>
      </w:pPr>
      <w:r w:rsidRPr="00662906">
        <w:rPr>
          <w:b/>
          <w:bCs/>
        </w:rPr>
        <w:t>Pillars of the Strategy</w:t>
      </w:r>
    </w:p>
    <w:p w14:paraId="70554FD9" w14:textId="77777777" w:rsidR="002C7967" w:rsidRPr="00662906" w:rsidRDefault="002C7967" w:rsidP="002C7967">
      <w:pPr>
        <w:rPr>
          <w:b/>
          <w:bCs/>
          <w:i/>
          <w:iCs/>
          <w:color w:val="9F2241" w:themeColor="background1"/>
        </w:rPr>
      </w:pPr>
      <w:r w:rsidRPr="00662906">
        <w:rPr>
          <w:b/>
          <w:bCs/>
          <w:i/>
          <w:iCs/>
          <w:color w:val="9F2241" w:themeColor="background1"/>
        </w:rPr>
        <w:t>Pillar 1: Universal and Secure Access to Clean Energy</w:t>
      </w:r>
    </w:p>
    <w:p w14:paraId="13E53544" w14:textId="77777777" w:rsidR="002C7967" w:rsidRPr="00662906" w:rsidRDefault="002C7967" w:rsidP="002C7967">
      <w:r w:rsidRPr="00662906">
        <w:t>Africa’s energy future must be built on solutions that are simultaneously clean, inclusive, and secure. This pillar therefore combines the accelerated deployment of renewable resources—solar, wind, hydro, geothermal—and other low-carbon fuels such as natural gas with explicit security-of-supply measures to guarantee universal uninterrupted, affordable power for every household, enterprise, and social service. Universal access now encompasses reliability targets (e.g., SAIDI/SAIFI reductions), climate-resilient grid expansion, and diversified cross-border interconnections that lower vulnerability to local shocks. Off-grid and mini-grid systems are designed with storage and islanding capabilities, while clean-cooking initiatives incorporate sustainable biofuel supply chains to stabilise fuel availability. By integrating access ambitions with robust energy-security protocols, this pillar ensures that the continent’s march toward 100 % electrification and modern energy services is underpinned by a system that is dependable, affordable, and resilient to climatic, geopolitical, and market disruptions.</w:t>
      </w:r>
    </w:p>
    <w:p w14:paraId="71FEC5D8" w14:textId="77777777" w:rsidR="00A95FFC" w:rsidRPr="00662906" w:rsidRDefault="00A95FFC" w:rsidP="00A95FFC">
      <w:pPr>
        <w:rPr>
          <w:b/>
          <w:bCs/>
          <w:i/>
          <w:iCs/>
          <w:color w:val="9F2241" w:themeColor="background1"/>
        </w:rPr>
      </w:pPr>
      <w:r w:rsidRPr="00662906">
        <w:rPr>
          <w:b/>
          <w:bCs/>
          <w:i/>
          <w:iCs/>
          <w:color w:val="9F2241" w:themeColor="background1"/>
        </w:rPr>
        <w:t>Pillar 2: Energy Efficiency</w:t>
      </w:r>
    </w:p>
    <w:p w14:paraId="55F8E781" w14:textId="77777777" w:rsidR="00A95FFC" w:rsidRPr="00662906" w:rsidRDefault="00A95FFC" w:rsidP="00A95FFC">
      <w:r w:rsidRPr="00662906">
        <w:rPr>
          <w:i/>
          <w:iCs/>
        </w:rPr>
        <w:t>Efficiency is fundamental to achieving a sustainable energy transition.</w:t>
      </w:r>
      <w:r w:rsidRPr="00662906">
        <w:t xml:space="preserve"> This pillar emphasizes improving energy productivity across sectors such as industry, transport, buildings, and agriculture by 70% in 2063. By promoting advanced technologies, enforceable standards, and best practices, energy efficiency reduces waste, lowers costs, and supports economic growth while minimizing environmental impacts.</w:t>
      </w:r>
    </w:p>
    <w:p w14:paraId="48D61941" w14:textId="77777777" w:rsidR="00A95FFC" w:rsidRPr="00662906" w:rsidRDefault="00A95FFC" w:rsidP="00A95FFC">
      <w:pPr>
        <w:rPr>
          <w:b/>
          <w:bCs/>
          <w:i/>
          <w:iCs/>
          <w:color w:val="9F2241" w:themeColor="background1"/>
        </w:rPr>
      </w:pPr>
      <w:r w:rsidRPr="00662906">
        <w:rPr>
          <w:b/>
          <w:bCs/>
          <w:i/>
          <w:iCs/>
          <w:color w:val="9F2241" w:themeColor="background1"/>
        </w:rPr>
        <w:t>Pillar 3: Carbon Management for Fossil Derived Energy</w:t>
      </w:r>
    </w:p>
    <w:p w14:paraId="5893A0D6" w14:textId="77777777" w:rsidR="00A95FFC" w:rsidRPr="00662906" w:rsidRDefault="00A95FFC" w:rsidP="00A95FFC">
      <w:r w:rsidRPr="00662906">
        <w:rPr>
          <w:i/>
          <w:iCs/>
        </w:rPr>
        <w:t>Managing fossil-derived energy is essential for a balanced transition</w:t>
      </w:r>
      <w:r w:rsidRPr="00662906">
        <w:t>. This pillar addresses aspects like methane emissions, gas flaring, and the responsible use of fossil fuels through policies and technologies that reduce their environmental impact. It promotes carbon capture, utilization, and storage (CCUS) alongside targeted decarbonization efforts in the oil and gas sector. These strategies ensure the continued viability of necessary fossil energy resources during the transition while supporting Africa’s long-term low carbon trajectory and climate commitments.</w:t>
      </w:r>
    </w:p>
    <w:p w14:paraId="328E23DC" w14:textId="0F5D37D3" w:rsidR="00A95FFC" w:rsidRPr="00662906" w:rsidRDefault="00A95FFC" w:rsidP="00A95FFC">
      <w:pPr>
        <w:rPr>
          <w:b/>
          <w:bCs/>
          <w:i/>
          <w:iCs/>
          <w:color w:val="9F2241" w:themeColor="background1"/>
        </w:rPr>
      </w:pPr>
      <w:r w:rsidRPr="00662906">
        <w:rPr>
          <w:b/>
          <w:bCs/>
          <w:i/>
          <w:iCs/>
          <w:color w:val="9F2241" w:themeColor="background1"/>
        </w:rPr>
        <w:t>Pillar 4: Policy and Regulatory Harmonization</w:t>
      </w:r>
    </w:p>
    <w:p w14:paraId="12027AE7" w14:textId="03E02085" w:rsidR="00A95FFC" w:rsidRPr="00662906" w:rsidRDefault="00A95FFC" w:rsidP="00A95FFC">
      <w:r w:rsidRPr="00662906">
        <w:rPr>
          <w:i/>
          <w:iCs/>
        </w:rPr>
        <w:t>A cohesive energy strategy requires aligned policies and regulations across the continent</w:t>
      </w:r>
      <w:r w:rsidRPr="00662906">
        <w:t xml:space="preserve">. This pillar emphasizes the integration of national energy policies with regional frameworks developed by the Regional Economic Communities (RECs), and broader continental strategies. A combined top-down and bottom-up approach will guide member states in adopting and tailoring continental strategies, while </w:t>
      </w:r>
      <w:r w:rsidRPr="00662906">
        <w:lastRenderedPageBreak/>
        <w:t>regional frameworks facilitate coordination and harmonization among neighbouring countries. This ensures efficient energy transitions that reflect both local priorities and regional synergies under the common continental pursuits.</w:t>
      </w:r>
    </w:p>
    <w:p w14:paraId="0431AA71" w14:textId="60F749F2" w:rsidR="00A95FFC" w:rsidRPr="00662906" w:rsidRDefault="00A95FFC" w:rsidP="00A95FFC">
      <w:pPr>
        <w:rPr>
          <w:b/>
          <w:bCs/>
          <w:i/>
          <w:iCs/>
          <w:color w:val="9F2241" w:themeColor="background1"/>
        </w:rPr>
      </w:pPr>
      <w:r w:rsidRPr="00662906">
        <w:rPr>
          <w:b/>
          <w:bCs/>
          <w:i/>
          <w:iCs/>
          <w:color w:val="9F2241" w:themeColor="background1"/>
        </w:rPr>
        <w:t>Pillar 5: Innovation, Technology and Human Capacity</w:t>
      </w:r>
    </w:p>
    <w:p w14:paraId="00645F36" w14:textId="3FE4788F" w:rsidR="00A95FFC" w:rsidRPr="00662906" w:rsidRDefault="00A95FFC" w:rsidP="00A95FFC">
      <w:r w:rsidRPr="00662906">
        <w:t>This pillar focuses on fostering innovation, technology development, and capacity building to drive Africa’s sustainable energy transition. It emphasizes the development and transfer of clean energy technologies, the establishment of local manufacturing industries for energy solutions, and skills development programs to build a skilled workforce. By investing in research, innovation ecosystems, and human capital, this pillar ensures long-term sustainability, economic growth, and Africa's leadership in the global energy transition.</w:t>
      </w:r>
    </w:p>
    <w:p w14:paraId="2B131690" w14:textId="77777777" w:rsidR="002C7967" w:rsidRPr="00662906" w:rsidRDefault="002C7967" w:rsidP="002C7967">
      <w:pPr>
        <w:rPr>
          <w:b/>
          <w:bCs/>
          <w:i/>
          <w:iCs/>
          <w:color w:val="9F2241" w:themeColor="background1"/>
        </w:rPr>
      </w:pPr>
      <w:r w:rsidRPr="00662906">
        <w:rPr>
          <w:b/>
          <w:bCs/>
          <w:i/>
          <w:iCs/>
          <w:color w:val="9F2241" w:themeColor="background1"/>
        </w:rPr>
        <w:t>Pillar 6: Sustainable Economic Development, Industrialization &amp; Prosperity</w:t>
      </w:r>
    </w:p>
    <w:p w14:paraId="1655530E" w14:textId="651C083F" w:rsidR="002C7967" w:rsidRPr="00662906" w:rsidRDefault="002C7967" w:rsidP="002C7967">
      <w:r w:rsidRPr="00662906">
        <w:rPr>
          <w:i/>
          <w:iCs/>
        </w:rPr>
        <w:t>Achieving a just and inclusive energy transition requires targeted efforts to maximize economic opportunities throughout the continent.</w:t>
      </w:r>
      <w:r w:rsidRPr="00662906">
        <w:t xml:space="preserve"> This pillar focuses on leveraging Africa’s extensive natural resources, innovative energy solutions, and expanding markets to foster robust growth in key industries, particularly those that benefit from expanded energy access</w:t>
      </w:r>
      <w:r w:rsidR="001F2018" w:rsidRPr="00662906">
        <w:t xml:space="preserve"> and energy security</w:t>
      </w:r>
      <w:r w:rsidRPr="00662906">
        <w:t>, such as heavy industry, mining, manufacturing, agriculture and services bridging the traditional industry sector with industries without smokestacks. Central to this approach is ensuring that newly created value chains remain equitable, transparent, and capable of stimulating local economies in ways that uplift communities and build regional resilience. Under this pillar, strategic investments in infrastructure, job creation, and value addition will intertwine with energy development to promote shared prosperity. By prioritizing local content, workforce training, and the establishment of vibrant SMEs, the continent can accelerate the emergence of new industries while maintaining existing sectors’ competitiveness. Beyond direct economic gains, the pillar also encourages collaboration with financial institutions, leveraging innovative financing mechanisms to spur entrepreneur-driven solutions and attract private-sector participation. By intertwining industrial policy with sustainable energy deployment, the pillar maximizes job creation, enhances export potential, and embeds Africa more deeply in global clean-tech supply networks. Synergistically with the other pillars, this pillar ensures that Africa’s transition to a low-carbon energy system delivers tangible benefits for households, businesses, and entire economies, ultimately enabling more inclusive and sustainable socio-economic transformation consistent with Africa’s long-term vision for 2063.</w:t>
      </w:r>
    </w:p>
    <w:p w14:paraId="466FE215" w14:textId="0F1928CF" w:rsidR="00793369" w:rsidRPr="00662906" w:rsidRDefault="00DD7FEA" w:rsidP="00DD7FEA">
      <w:pPr>
        <w:sectPr w:rsidR="00793369" w:rsidRPr="00662906" w:rsidSect="003B08A4">
          <w:footerReference w:type="first" r:id="rId21"/>
          <w:pgSz w:w="11906" w:h="16838"/>
          <w:pgMar w:top="1440" w:right="1440" w:bottom="1440" w:left="1440" w:header="720" w:footer="720" w:gutter="0"/>
          <w:pgNumType w:fmt="lowerRoman"/>
          <w:cols w:space="720"/>
          <w:titlePg/>
          <w:docGrid w:linePitch="360"/>
        </w:sectPr>
      </w:pPr>
      <w:r w:rsidRPr="00662906">
        <w:t xml:space="preserve">The strategic objectives formulated for the subsectors, related strategic interventions and summarized Actions are summarized in the Table ES1 below. Action Plans were developed for each strategic Intervention depending on the issues, gaps/challenges and opportunities identified for these subsectors. The Action plans indicating the proposed Actions for each subsector are presented in Chapter </w:t>
      </w:r>
      <w:r w:rsidR="00835677" w:rsidRPr="00662906">
        <w:t>4</w:t>
      </w:r>
      <w:r w:rsidRPr="00662906">
        <w:t>. The full Roadmap showing the Actions for each of the subsector, Strategic Objective and Strategic Intervention, level of implementation and time frames of their implementation is also presented in Annexes.</w:t>
      </w:r>
    </w:p>
    <w:p w14:paraId="2B027181" w14:textId="08252A36" w:rsidR="00793369" w:rsidRPr="00662906" w:rsidRDefault="00793369" w:rsidP="00793369">
      <w:pPr>
        <w:pStyle w:val="Caption"/>
        <w:rPr>
          <w:i w:val="0"/>
          <w:iCs w:val="0"/>
        </w:rPr>
      </w:pPr>
      <w:bookmarkStart w:id="50" w:name="_Toc197433885"/>
      <w:r w:rsidRPr="00662906">
        <w:lastRenderedPageBreak/>
        <w:t xml:space="preserve">Table ES </w:t>
      </w:r>
      <w:fldSimple w:instr=" SEQ Table \* ARABIC ">
        <w:r w:rsidR="00610F61">
          <w:rPr>
            <w:noProof/>
          </w:rPr>
          <w:t>1</w:t>
        </w:r>
      </w:fldSimple>
      <w:r w:rsidRPr="00662906">
        <w:t>: Summary of ETSAP Strategic objectives, strategic interventions and Proposed Actions for each subsector</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03"/>
        <w:gridCol w:w="1261"/>
        <w:gridCol w:w="1710"/>
        <w:gridCol w:w="2611"/>
        <w:gridCol w:w="7563"/>
      </w:tblGrid>
      <w:tr w:rsidR="00793369" w:rsidRPr="00662906" w14:paraId="6966823F" w14:textId="77777777" w:rsidTr="00B20027">
        <w:trPr>
          <w:trHeight w:val="454"/>
        </w:trPr>
        <w:tc>
          <w:tcPr>
            <w:tcW w:w="288" w:type="pct"/>
            <w:shd w:val="clear" w:color="auto" w:fill="B4A269" w:themeFill="text2"/>
            <w:vAlign w:val="center"/>
          </w:tcPr>
          <w:p w14:paraId="17C93D94" w14:textId="77777777" w:rsidR="00793369" w:rsidRPr="00662906" w:rsidRDefault="00793369" w:rsidP="00B20027">
            <w:pPr>
              <w:spacing w:before="0" w:after="0" w:line="240" w:lineRule="auto"/>
              <w:jc w:val="center"/>
              <w:rPr>
                <w:rFonts w:cs="Arial"/>
                <w:b/>
                <w:bCs/>
                <w:color w:val="FFFFFF" w:themeColor="background2"/>
                <w:sz w:val="16"/>
                <w:szCs w:val="16"/>
              </w:rPr>
            </w:pPr>
            <w:r w:rsidRPr="00662906">
              <w:rPr>
                <w:rFonts w:cs="Arial"/>
                <w:b/>
                <w:bCs/>
                <w:color w:val="FFFFFF" w:themeColor="background2"/>
                <w:sz w:val="16"/>
                <w:szCs w:val="16"/>
              </w:rPr>
              <w:t>No.</w:t>
            </w:r>
          </w:p>
        </w:tc>
        <w:tc>
          <w:tcPr>
            <w:tcW w:w="452" w:type="pct"/>
            <w:shd w:val="clear" w:color="auto" w:fill="B4A269" w:themeFill="text2"/>
            <w:vAlign w:val="center"/>
          </w:tcPr>
          <w:p w14:paraId="1E4C16D5" w14:textId="77777777" w:rsidR="00793369" w:rsidRPr="00662906" w:rsidRDefault="00793369" w:rsidP="00B20027">
            <w:pPr>
              <w:spacing w:before="0" w:after="0" w:line="240" w:lineRule="auto"/>
              <w:jc w:val="center"/>
              <w:rPr>
                <w:rFonts w:cs="Arial"/>
                <w:b/>
                <w:bCs/>
                <w:color w:val="FFFFFF" w:themeColor="background2"/>
                <w:sz w:val="16"/>
                <w:szCs w:val="16"/>
              </w:rPr>
            </w:pPr>
            <w:r w:rsidRPr="00662906">
              <w:rPr>
                <w:rFonts w:cs="Arial"/>
                <w:b/>
                <w:bCs/>
                <w:color w:val="FFFFFF" w:themeColor="background2"/>
                <w:sz w:val="16"/>
                <w:szCs w:val="16"/>
              </w:rPr>
              <w:t>Subsector</w:t>
            </w:r>
          </w:p>
        </w:tc>
        <w:tc>
          <w:tcPr>
            <w:tcW w:w="613" w:type="pct"/>
            <w:shd w:val="clear" w:color="auto" w:fill="B4A269" w:themeFill="text2"/>
            <w:vAlign w:val="center"/>
          </w:tcPr>
          <w:p w14:paraId="6814A877" w14:textId="77777777" w:rsidR="00793369" w:rsidRPr="00662906" w:rsidRDefault="00793369" w:rsidP="00B20027">
            <w:pPr>
              <w:spacing w:before="0" w:after="0" w:line="240" w:lineRule="auto"/>
              <w:jc w:val="center"/>
              <w:rPr>
                <w:rFonts w:cs="Arial"/>
                <w:b/>
                <w:bCs/>
                <w:color w:val="FFFFFF" w:themeColor="background2"/>
                <w:sz w:val="16"/>
                <w:szCs w:val="16"/>
              </w:rPr>
            </w:pPr>
            <w:r w:rsidRPr="00662906">
              <w:rPr>
                <w:rFonts w:cs="Arial"/>
                <w:b/>
                <w:bCs/>
                <w:color w:val="FFFFFF" w:themeColor="background2"/>
                <w:sz w:val="16"/>
                <w:szCs w:val="16"/>
              </w:rPr>
              <w:t>Strategic Objective</w:t>
            </w:r>
          </w:p>
        </w:tc>
        <w:tc>
          <w:tcPr>
            <w:tcW w:w="936" w:type="pct"/>
            <w:shd w:val="clear" w:color="auto" w:fill="B4A269" w:themeFill="text2"/>
            <w:vAlign w:val="center"/>
          </w:tcPr>
          <w:p w14:paraId="7B8FDB2E" w14:textId="77777777" w:rsidR="00793369" w:rsidRPr="00662906" w:rsidRDefault="00793369" w:rsidP="00B20027">
            <w:pPr>
              <w:spacing w:before="0" w:after="0" w:line="240" w:lineRule="auto"/>
              <w:jc w:val="center"/>
              <w:rPr>
                <w:rFonts w:cs="Arial"/>
                <w:b/>
                <w:bCs/>
                <w:color w:val="FFFFFF" w:themeColor="background2"/>
                <w:sz w:val="16"/>
                <w:szCs w:val="16"/>
              </w:rPr>
            </w:pPr>
            <w:r w:rsidRPr="00662906">
              <w:rPr>
                <w:rFonts w:cs="Arial"/>
                <w:b/>
                <w:bCs/>
                <w:color w:val="FFFFFF" w:themeColor="background2"/>
                <w:sz w:val="16"/>
                <w:szCs w:val="16"/>
              </w:rPr>
              <w:t>Strategic Interventions</w:t>
            </w:r>
          </w:p>
        </w:tc>
        <w:tc>
          <w:tcPr>
            <w:tcW w:w="2711" w:type="pct"/>
            <w:shd w:val="clear" w:color="auto" w:fill="B4A269" w:themeFill="text2"/>
          </w:tcPr>
          <w:p w14:paraId="58D880E0" w14:textId="77777777" w:rsidR="00793369" w:rsidRPr="00662906" w:rsidRDefault="00793369" w:rsidP="00B73071">
            <w:pPr>
              <w:spacing w:before="0" w:after="0" w:line="240" w:lineRule="auto"/>
              <w:rPr>
                <w:rFonts w:cs="Arial"/>
                <w:b/>
                <w:bCs/>
                <w:color w:val="FFFFFF" w:themeColor="background2"/>
                <w:sz w:val="16"/>
                <w:szCs w:val="16"/>
              </w:rPr>
            </w:pPr>
            <w:r w:rsidRPr="00662906">
              <w:rPr>
                <w:rFonts w:cs="Arial"/>
                <w:b/>
                <w:bCs/>
                <w:color w:val="FFFFFF" w:themeColor="background2"/>
                <w:sz w:val="16"/>
                <w:szCs w:val="16"/>
              </w:rPr>
              <w:t>Summarized Actions</w:t>
            </w:r>
            <w:r w:rsidRPr="00662906">
              <w:rPr>
                <w:rFonts w:cs="Arial"/>
                <w:b/>
                <w:bCs/>
                <w:color w:val="FFFFFF" w:themeColor="background2"/>
                <w:sz w:val="16"/>
                <w:szCs w:val="16"/>
                <w:vertAlign w:val="superscript"/>
              </w:rPr>
              <w:footnoteReference w:id="5"/>
            </w:r>
          </w:p>
          <w:p w14:paraId="04D4F34F" w14:textId="77777777" w:rsidR="00793369" w:rsidRPr="00662906" w:rsidRDefault="00793369" w:rsidP="00B73071">
            <w:pPr>
              <w:spacing w:before="0" w:after="0" w:line="240" w:lineRule="auto"/>
              <w:rPr>
                <w:rFonts w:cs="Arial"/>
                <w:i/>
                <w:iCs/>
                <w:color w:val="FFFFFF" w:themeColor="background2"/>
                <w:sz w:val="16"/>
                <w:szCs w:val="16"/>
              </w:rPr>
            </w:pPr>
            <w:r w:rsidRPr="00662906">
              <w:rPr>
                <w:rFonts w:cs="Arial"/>
                <w:i/>
                <w:iCs/>
                <w:color w:val="FFFFFF" w:themeColor="background2"/>
                <w:sz w:val="16"/>
                <w:szCs w:val="16"/>
              </w:rPr>
              <w:t>Implementation level of Actions: C-continental, R- Regional, N-National</w:t>
            </w:r>
          </w:p>
          <w:p w14:paraId="7886E0AF" w14:textId="77777777" w:rsidR="00793369" w:rsidRPr="00662906" w:rsidRDefault="00793369" w:rsidP="00B73071">
            <w:pPr>
              <w:spacing w:before="0" w:after="0" w:line="240" w:lineRule="auto"/>
              <w:rPr>
                <w:rFonts w:cs="Arial"/>
                <w:b/>
                <w:bCs/>
                <w:color w:val="FFFFFF" w:themeColor="background2"/>
                <w:sz w:val="16"/>
                <w:szCs w:val="16"/>
              </w:rPr>
            </w:pPr>
            <w:r w:rsidRPr="00662906">
              <w:rPr>
                <w:rFonts w:cs="Arial"/>
                <w:i/>
                <w:iCs/>
                <w:color w:val="FFFFFF" w:themeColor="background2"/>
                <w:sz w:val="16"/>
                <w:szCs w:val="16"/>
              </w:rPr>
              <w:t>Time frame of Actions: S-Short term, M-Medium Term, L- Long term (S-L short to long term; S-M Short to medium term; M-L medium to long term</w:t>
            </w:r>
          </w:p>
        </w:tc>
      </w:tr>
      <w:tr w:rsidR="00793369" w:rsidRPr="00662906" w14:paraId="7AE6EF02" w14:textId="77777777" w:rsidTr="00B20027">
        <w:trPr>
          <w:trHeight w:val="1075"/>
        </w:trPr>
        <w:tc>
          <w:tcPr>
            <w:tcW w:w="288" w:type="pct"/>
            <w:vMerge w:val="restart"/>
            <w:vAlign w:val="center"/>
          </w:tcPr>
          <w:p w14:paraId="1C9FA1A7"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1</w:t>
            </w:r>
          </w:p>
        </w:tc>
        <w:tc>
          <w:tcPr>
            <w:tcW w:w="452" w:type="pct"/>
            <w:vMerge w:val="restart"/>
            <w:vAlign w:val="center"/>
          </w:tcPr>
          <w:p w14:paraId="33093353"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Electricity subsector</w:t>
            </w:r>
          </w:p>
        </w:tc>
        <w:tc>
          <w:tcPr>
            <w:tcW w:w="613" w:type="pct"/>
            <w:vMerge w:val="restart"/>
          </w:tcPr>
          <w:p w14:paraId="0302BEB7" w14:textId="77777777" w:rsidR="00793369" w:rsidRPr="00662906" w:rsidRDefault="00793369" w:rsidP="00B73071">
            <w:pPr>
              <w:spacing w:before="0" w:after="0" w:line="240" w:lineRule="auto"/>
              <w:rPr>
                <w:rFonts w:cs="Arial"/>
                <w:sz w:val="16"/>
                <w:szCs w:val="16"/>
              </w:rPr>
            </w:pPr>
            <w:r w:rsidRPr="00662906">
              <w:rPr>
                <w:rFonts w:cs="Arial"/>
                <w:sz w:val="16"/>
                <w:szCs w:val="16"/>
              </w:rPr>
              <w:t>Strengthen and Modernize Energy Infrastructure and Systems in the Electricity Supply Industry</w:t>
            </w:r>
          </w:p>
        </w:tc>
        <w:tc>
          <w:tcPr>
            <w:tcW w:w="936" w:type="pct"/>
          </w:tcPr>
          <w:p w14:paraId="1B5B1181" w14:textId="77777777" w:rsidR="00793369" w:rsidRPr="00662906" w:rsidRDefault="00793369" w:rsidP="00B73071">
            <w:pPr>
              <w:spacing w:before="40" w:after="40" w:line="240" w:lineRule="auto"/>
              <w:jc w:val="left"/>
              <w:rPr>
                <w:rFonts w:eastAsia="Arial" w:cs="Arial"/>
                <w:sz w:val="16"/>
                <w:szCs w:val="16"/>
              </w:rPr>
            </w:pPr>
            <w:r w:rsidRPr="00662906">
              <w:rPr>
                <w:rFonts w:eastAsia="Arial" w:cs="Arial"/>
                <w:sz w:val="16"/>
                <w:szCs w:val="16"/>
              </w:rPr>
              <w:t>Strategic Intervention 1.1: Accelerate the deployment of RE</w:t>
            </w:r>
          </w:p>
          <w:p w14:paraId="0FBB3CFD" w14:textId="77777777" w:rsidR="00793369" w:rsidRPr="00662906" w:rsidRDefault="00793369" w:rsidP="00B73071">
            <w:pPr>
              <w:spacing w:before="0" w:after="0" w:line="240" w:lineRule="auto"/>
              <w:rPr>
                <w:rFonts w:cs="Arial"/>
                <w:sz w:val="16"/>
                <w:szCs w:val="16"/>
              </w:rPr>
            </w:pPr>
          </w:p>
          <w:p w14:paraId="1D1F6617" w14:textId="77777777" w:rsidR="00793369" w:rsidRPr="00662906" w:rsidRDefault="00793369" w:rsidP="00B73071">
            <w:pPr>
              <w:spacing w:before="0" w:after="0" w:line="240" w:lineRule="auto"/>
              <w:rPr>
                <w:rFonts w:cs="Arial"/>
                <w:sz w:val="16"/>
                <w:szCs w:val="16"/>
              </w:rPr>
            </w:pPr>
          </w:p>
        </w:tc>
        <w:tc>
          <w:tcPr>
            <w:tcW w:w="2711" w:type="pct"/>
          </w:tcPr>
          <w:p w14:paraId="589C5253" w14:textId="33DA8CDE" w:rsidR="00793369" w:rsidRPr="00662906" w:rsidRDefault="00AE7D1F" w:rsidP="00793369">
            <w:pPr>
              <w:numPr>
                <w:ilvl w:val="0"/>
                <w:numId w:val="16"/>
              </w:numPr>
              <w:spacing w:before="0" w:after="0" w:line="240" w:lineRule="auto"/>
              <w:rPr>
                <w:rFonts w:cs="Arial"/>
                <w:sz w:val="16"/>
                <w:szCs w:val="16"/>
              </w:rPr>
            </w:pPr>
            <w:r w:rsidRPr="00662906">
              <w:rPr>
                <w:rFonts w:cs="Arial"/>
                <w:sz w:val="16"/>
                <w:szCs w:val="16"/>
              </w:rPr>
              <w:t>Monitoring and evaluation (</w:t>
            </w:r>
            <w:r w:rsidR="00793369" w:rsidRPr="00662906">
              <w:rPr>
                <w:rFonts w:cs="Arial"/>
                <w:sz w:val="16"/>
                <w:szCs w:val="16"/>
              </w:rPr>
              <w:t>M&amp;E</w:t>
            </w:r>
            <w:r w:rsidRPr="00662906">
              <w:rPr>
                <w:rFonts w:cs="Arial"/>
                <w:sz w:val="16"/>
                <w:szCs w:val="16"/>
              </w:rPr>
              <w:t>)</w:t>
            </w:r>
            <w:r w:rsidR="00793369" w:rsidRPr="00662906">
              <w:rPr>
                <w:rFonts w:cs="Arial"/>
                <w:sz w:val="16"/>
                <w:szCs w:val="16"/>
              </w:rPr>
              <w:t xml:space="preserve"> RE/NG plant decarbonization impact C/S</w:t>
            </w:r>
          </w:p>
          <w:p w14:paraId="000F2F6B" w14:textId="565A7278" w:rsidR="00793369" w:rsidRPr="00662906" w:rsidRDefault="00793369" w:rsidP="00793369">
            <w:pPr>
              <w:numPr>
                <w:ilvl w:val="0"/>
                <w:numId w:val="16"/>
              </w:numPr>
              <w:spacing w:before="0" w:after="0" w:line="240" w:lineRule="auto"/>
              <w:rPr>
                <w:rFonts w:cs="Arial"/>
                <w:sz w:val="16"/>
                <w:szCs w:val="16"/>
              </w:rPr>
            </w:pPr>
            <w:r w:rsidRPr="00662906">
              <w:rPr>
                <w:rFonts w:cs="Arial"/>
                <w:sz w:val="16"/>
                <w:szCs w:val="16"/>
              </w:rPr>
              <w:t>Grid scale and rural electrification</w:t>
            </w:r>
            <w:r w:rsidR="006A4BD1" w:rsidRPr="00662906">
              <w:rPr>
                <w:rFonts w:cs="Arial"/>
                <w:sz w:val="16"/>
                <w:szCs w:val="16"/>
              </w:rPr>
              <w:t xml:space="preserve"> Energy Storage Systems</w:t>
            </w:r>
            <w:r w:rsidRPr="00662906">
              <w:rPr>
                <w:rFonts w:cs="Arial"/>
                <w:sz w:val="16"/>
                <w:szCs w:val="16"/>
              </w:rPr>
              <w:t xml:space="preserve"> </w:t>
            </w:r>
            <w:r w:rsidR="006A4BD1" w:rsidRPr="00662906">
              <w:rPr>
                <w:rFonts w:cs="Arial"/>
                <w:sz w:val="16"/>
                <w:szCs w:val="16"/>
              </w:rPr>
              <w:t>(</w:t>
            </w:r>
            <w:r w:rsidRPr="00662906">
              <w:rPr>
                <w:rFonts w:cs="Arial"/>
                <w:sz w:val="16"/>
                <w:szCs w:val="16"/>
              </w:rPr>
              <w:t>ESS</w:t>
            </w:r>
            <w:r w:rsidR="006A4BD1" w:rsidRPr="00662906">
              <w:rPr>
                <w:rFonts w:cs="Arial"/>
                <w:sz w:val="16"/>
                <w:szCs w:val="16"/>
              </w:rPr>
              <w:t>)</w:t>
            </w:r>
            <w:r w:rsidRPr="00662906">
              <w:rPr>
                <w:rFonts w:cs="Arial"/>
                <w:sz w:val="16"/>
                <w:szCs w:val="16"/>
              </w:rPr>
              <w:t xml:space="preserve"> promotion C/S</w:t>
            </w:r>
          </w:p>
          <w:p w14:paraId="619AD99C" w14:textId="14ABF22B" w:rsidR="00793369" w:rsidRPr="00662906" w:rsidRDefault="00AE7D1F" w:rsidP="00793369">
            <w:pPr>
              <w:numPr>
                <w:ilvl w:val="0"/>
                <w:numId w:val="16"/>
              </w:numPr>
              <w:spacing w:before="0" w:after="0" w:line="240" w:lineRule="auto"/>
              <w:rPr>
                <w:rFonts w:cs="Arial"/>
                <w:sz w:val="16"/>
                <w:szCs w:val="16"/>
              </w:rPr>
            </w:pPr>
            <w:r w:rsidRPr="00662906">
              <w:rPr>
                <w:rFonts w:cs="Arial"/>
                <w:sz w:val="16"/>
                <w:szCs w:val="16"/>
              </w:rPr>
              <w:t>Mini grids</w:t>
            </w:r>
            <w:r w:rsidR="00793369" w:rsidRPr="00662906">
              <w:rPr>
                <w:rFonts w:cs="Arial"/>
                <w:sz w:val="16"/>
                <w:szCs w:val="16"/>
              </w:rPr>
              <w:t xml:space="preserve"> policy/legal/regulatory dissemination C/S</w:t>
            </w:r>
          </w:p>
          <w:p w14:paraId="0C9B294B" w14:textId="49A95AE8" w:rsidR="00793369" w:rsidRPr="00662906" w:rsidRDefault="00793369" w:rsidP="00793369">
            <w:pPr>
              <w:numPr>
                <w:ilvl w:val="0"/>
                <w:numId w:val="16"/>
              </w:numPr>
              <w:spacing w:before="0" w:after="0" w:line="240" w:lineRule="auto"/>
              <w:rPr>
                <w:rFonts w:cs="Arial"/>
                <w:sz w:val="16"/>
                <w:szCs w:val="16"/>
              </w:rPr>
            </w:pPr>
            <w:r w:rsidRPr="00662906">
              <w:rPr>
                <w:rFonts w:cs="Arial"/>
                <w:sz w:val="16"/>
                <w:szCs w:val="16"/>
              </w:rPr>
              <w:t>RE based</w:t>
            </w:r>
            <w:r w:rsidR="00F35296" w:rsidRPr="00662906">
              <w:rPr>
                <w:rFonts w:cs="Arial"/>
                <w:sz w:val="16"/>
                <w:szCs w:val="16"/>
              </w:rPr>
              <w:t xml:space="preserve"> Small-Scale Distributed Generation</w:t>
            </w:r>
            <w:r w:rsidRPr="00662906">
              <w:rPr>
                <w:rFonts w:cs="Arial"/>
                <w:sz w:val="16"/>
                <w:szCs w:val="16"/>
              </w:rPr>
              <w:t xml:space="preserve"> </w:t>
            </w:r>
            <w:r w:rsidR="00F35296" w:rsidRPr="00662906">
              <w:rPr>
                <w:rFonts w:cs="Arial"/>
                <w:sz w:val="16"/>
                <w:szCs w:val="16"/>
              </w:rPr>
              <w:t>(S</w:t>
            </w:r>
            <w:r w:rsidRPr="00662906">
              <w:rPr>
                <w:rFonts w:cs="Arial"/>
                <w:sz w:val="16"/>
                <w:szCs w:val="16"/>
              </w:rPr>
              <w:t>SDG</w:t>
            </w:r>
            <w:r w:rsidR="00F35296" w:rsidRPr="00662906">
              <w:rPr>
                <w:rFonts w:cs="Arial"/>
                <w:sz w:val="16"/>
                <w:szCs w:val="16"/>
              </w:rPr>
              <w:t>)</w:t>
            </w:r>
            <w:r w:rsidRPr="00662906">
              <w:rPr>
                <w:rFonts w:cs="Arial"/>
                <w:sz w:val="16"/>
                <w:szCs w:val="16"/>
              </w:rPr>
              <w:t xml:space="preserve"> demonstration N/S-M</w:t>
            </w:r>
          </w:p>
          <w:p w14:paraId="20518B45" w14:textId="77777777" w:rsidR="00793369" w:rsidRPr="00662906" w:rsidRDefault="00793369" w:rsidP="00793369">
            <w:pPr>
              <w:numPr>
                <w:ilvl w:val="0"/>
                <w:numId w:val="16"/>
              </w:numPr>
              <w:spacing w:before="0" w:after="0" w:line="240" w:lineRule="auto"/>
              <w:rPr>
                <w:rFonts w:cs="Arial"/>
                <w:sz w:val="16"/>
                <w:szCs w:val="16"/>
              </w:rPr>
            </w:pPr>
            <w:r w:rsidRPr="00662906">
              <w:rPr>
                <w:rFonts w:eastAsia="Arial" w:cs="Arial"/>
                <w:sz w:val="16"/>
                <w:szCs w:val="16"/>
              </w:rPr>
              <w:t>Research and Development (R&amp;D) of new and emerging clean /RE technologies C/S-L</w:t>
            </w:r>
          </w:p>
          <w:p w14:paraId="086DE495" w14:textId="4E1F1122" w:rsidR="00DF4488" w:rsidRPr="00662906" w:rsidRDefault="008446B3" w:rsidP="00793369">
            <w:pPr>
              <w:numPr>
                <w:ilvl w:val="0"/>
                <w:numId w:val="16"/>
              </w:numPr>
              <w:spacing w:before="0" w:after="0" w:line="240" w:lineRule="auto"/>
              <w:rPr>
                <w:rFonts w:cs="Arial"/>
                <w:sz w:val="16"/>
                <w:szCs w:val="16"/>
              </w:rPr>
            </w:pPr>
            <w:r w:rsidRPr="00662906">
              <w:rPr>
                <w:rFonts w:cs="Arial"/>
                <w:sz w:val="16"/>
                <w:szCs w:val="16"/>
              </w:rPr>
              <w:t>Support the development of the Off-grid Sector in Africa (mini grids/ microgrids and solar home systems)</w:t>
            </w:r>
          </w:p>
        </w:tc>
      </w:tr>
      <w:tr w:rsidR="00793369" w:rsidRPr="00662906" w14:paraId="0337337B" w14:textId="77777777" w:rsidTr="00B20027">
        <w:trPr>
          <w:trHeight w:val="495"/>
        </w:trPr>
        <w:tc>
          <w:tcPr>
            <w:tcW w:w="288" w:type="pct"/>
            <w:vMerge/>
            <w:vAlign w:val="center"/>
          </w:tcPr>
          <w:p w14:paraId="086C197D"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361A8A55" w14:textId="77777777" w:rsidR="00793369" w:rsidRPr="00662906" w:rsidRDefault="00793369" w:rsidP="00B20027">
            <w:pPr>
              <w:spacing w:before="0" w:after="0" w:line="240" w:lineRule="auto"/>
              <w:jc w:val="center"/>
              <w:rPr>
                <w:rFonts w:cs="Arial"/>
                <w:sz w:val="16"/>
                <w:szCs w:val="16"/>
              </w:rPr>
            </w:pPr>
          </w:p>
        </w:tc>
        <w:tc>
          <w:tcPr>
            <w:tcW w:w="613" w:type="pct"/>
            <w:vMerge/>
          </w:tcPr>
          <w:p w14:paraId="3339A204" w14:textId="77777777" w:rsidR="00793369" w:rsidRPr="00662906" w:rsidRDefault="00793369" w:rsidP="00B73071">
            <w:pPr>
              <w:spacing w:before="0" w:after="0" w:line="240" w:lineRule="auto"/>
              <w:rPr>
                <w:rFonts w:cs="Arial"/>
                <w:sz w:val="16"/>
                <w:szCs w:val="16"/>
              </w:rPr>
            </w:pPr>
          </w:p>
        </w:tc>
        <w:tc>
          <w:tcPr>
            <w:tcW w:w="936" w:type="pct"/>
          </w:tcPr>
          <w:p w14:paraId="0F77187A" w14:textId="70C69848" w:rsidR="00793369" w:rsidRPr="00662906" w:rsidRDefault="00793369" w:rsidP="00B73071">
            <w:pPr>
              <w:spacing w:before="0" w:after="0" w:line="240" w:lineRule="auto"/>
              <w:rPr>
                <w:rFonts w:cs="Arial"/>
                <w:sz w:val="16"/>
                <w:szCs w:val="16"/>
              </w:rPr>
            </w:pPr>
            <w:r w:rsidRPr="00662906">
              <w:rPr>
                <w:rFonts w:cs="Arial"/>
                <w:sz w:val="16"/>
                <w:szCs w:val="16"/>
              </w:rPr>
              <w:t>Strategic Intervention 1.2: Foster and Accelerate development of resilient Transmission and Distribution networks to support deployment and trade of clean and RE power</w:t>
            </w:r>
          </w:p>
        </w:tc>
        <w:tc>
          <w:tcPr>
            <w:tcW w:w="2711" w:type="pct"/>
          </w:tcPr>
          <w:p w14:paraId="66F2A9C1" w14:textId="77777777" w:rsidR="00793369" w:rsidRPr="00662906" w:rsidRDefault="00793369" w:rsidP="00793369">
            <w:pPr>
              <w:numPr>
                <w:ilvl w:val="0"/>
                <w:numId w:val="17"/>
              </w:numPr>
              <w:spacing w:before="0" w:after="0" w:line="240" w:lineRule="auto"/>
              <w:rPr>
                <w:rFonts w:cs="Arial"/>
                <w:sz w:val="16"/>
                <w:szCs w:val="16"/>
              </w:rPr>
            </w:pPr>
            <w:r w:rsidRPr="00662906">
              <w:rPr>
                <w:rFonts w:cs="Arial"/>
                <w:sz w:val="16"/>
                <w:szCs w:val="16"/>
              </w:rPr>
              <w:t>M&amp;E for network expansion and loss reduction C/S-L</w:t>
            </w:r>
          </w:p>
          <w:p w14:paraId="06673C1D" w14:textId="012CEBB9" w:rsidR="00793369" w:rsidRPr="00662906" w:rsidRDefault="00793369" w:rsidP="00793369">
            <w:pPr>
              <w:numPr>
                <w:ilvl w:val="0"/>
                <w:numId w:val="17"/>
              </w:numPr>
              <w:spacing w:before="0" w:after="0" w:line="240" w:lineRule="auto"/>
              <w:rPr>
                <w:rFonts w:cs="Arial"/>
                <w:sz w:val="16"/>
                <w:szCs w:val="16"/>
              </w:rPr>
            </w:pPr>
            <w:r w:rsidRPr="00662906">
              <w:rPr>
                <w:rFonts w:cs="Arial"/>
                <w:sz w:val="16"/>
                <w:szCs w:val="16"/>
              </w:rPr>
              <w:t xml:space="preserve">Support MS for </w:t>
            </w:r>
            <w:r w:rsidR="006A4BD1" w:rsidRPr="00662906">
              <w:rPr>
                <w:rFonts w:cs="Arial"/>
                <w:sz w:val="16"/>
                <w:szCs w:val="16"/>
              </w:rPr>
              <w:t>Transmission and Distribution (</w:t>
            </w:r>
            <w:r w:rsidRPr="00662906">
              <w:rPr>
                <w:rFonts w:cs="Arial"/>
                <w:sz w:val="16"/>
                <w:szCs w:val="16"/>
              </w:rPr>
              <w:t>T&amp;D</w:t>
            </w:r>
            <w:r w:rsidR="006A4BD1" w:rsidRPr="00662906">
              <w:rPr>
                <w:rFonts w:cs="Arial"/>
                <w:sz w:val="16"/>
                <w:szCs w:val="16"/>
              </w:rPr>
              <w:t>)</w:t>
            </w:r>
            <w:r w:rsidRPr="00662906">
              <w:rPr>
                <w:rFonts w:cs="Arial"/>
                <w:sz w:val="16"/>
                <w:szCs w:val="16"/>
              </w:rPr>
              <w:t xml:space="preserve"> loss quick wins adoption and reporting C/S-L</w:t>
            </w:r>
          </w:p>
          <w:p w14:paraId="4179E6B2" w14:textId="77777777" w:rsidR="00793369" w:rsidRPr="00662906" w:rsidRDefault="00793369" w:rsidP="00793369">
            <w:pPr>
              <w:numPr>
                <w:ilvl w:val="0"/>
                <w:numId w:val="17"/>
              </w:numPr>
              <w:spacing w:before="0" w:after="0" w:line="240" w:lineRule="auto"/>
              <w:rPr>
                <w:rFonts w:cs="Arial"/>
                <w:sz w:val="16"/>
                <w:szCs w:val="16"/>
              </w:rPr>
            </w:pPr>
            <w:r w:rsidRPr="00662906">
              <w:rPr>
                <w:rFonts w:cs="Arial"/>
                <w:sz w:val="16"/>
                <w:szCs w:val="16"/>
              </w:rPr>
              <w:t>Develop and disseminate smart grids standards N/S-L</w:t>
            </w:r>
          </w:p>
          <w:p w14:paraId="7C942369" w14:textId="77777777" w:rsidR="00793369" w:rsidRPr="00662906" w:rsidRDefault="00793369" w:rsidP="00793369">
            <w:pPr>
              <w:numPr>
                <w:ilvl w:val="0"/>
                <w:numId w:val="17"/>
              </w:numPr>
              <w:spacing w:before="0" w:after="0" w:line="240" w:lineRule="auto"/>
              <w:rPr>
                <w:rFonts w:cs="Arial"/>
                <w:sz w:val="16"/>
                <w:szCs w:val="16"/>
              </w:rPr>
            </w:pPr>
            <w:r w:rsidRPr="00662906">
              <w:rPr>
                <w:rFonts w:cs="Arial"/>
                <w:sz w:val="16"/>
                <w:szCs w:val="16"/>
              </w:rPr>
              <w:t>Cross border network standards and pricing R/S</w:t>
            </w:r>
          </w:p>
          <w:p w14:paraId="5A1F70CC" w14:textId="77777777" w:rsidR="00793369" w:rsidRPr="00662906" w:rsidRDefault="00793369" w:rsidP="00793369">
            <w:pPr>
              <w:numPr>
                <w:ilvl w:val="0"/>
                <w:numId w:val="17"/>
              </w:numPr>
              <w:spacing w:before="0" w:after="0" w:line="240" w:lineRule="auto"/>
              <w:rPr>
                <w:rFonts w:eastAsia="Arial" w:cs="Arial"/>
                <w:sz w:val="16"/>
                <w:szCs w:val="16"/>
              </w:rPr>
            </w:pPr>
            <w:r w:rsidRPr="00662906">
              <w:rPr>
                <w:rFonts w:eastAsia="Arial" w:cs="Arial"/>
                <w:sz w:val="16"/>
                <w:szCs w:val="16"/>
              </w:rPr>
              <w:t>R&amp;D for new and emerging network efficient technologies C/S-L</w:t>
            </w:r>
          </w:p>
        </w:tc>
      </w:tr>
      <w:tr w:rsidR="00793369" w:rsidRPr="00662906" w14:paraId="2FA33598" w14:textId="77777777" w:rsidTr="00B20027">
        <w:trPr>
          <w:trHeight w:val="617"/>
        </w:trPr>
        <w:tc>
          <w:tcPr>
            <w:tcW w:w="288" w:type="pct"/>
            <w:vMerge w:val="restart"/>
            <w:vAlign w:val="center"/>
          </w:tcPr>
          <w:p w14:paraId="77BEA256"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2</w:t>
            </w:r>
          </w:p>
        </w:tc>
        <w:tc>
          <w:tcPr>
            <w:tcW w:w="452" w:type="pct"/>
            <w:vMerge w:val="restart"/>
            <w:vAlign w:val="center"/>
          </w:tcPr>
          <w:p w14:paraId="6766C756"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Transport</w:t>
            </w:r>
          </w:p>
        </w:tc>
        <w:tc>
          <w:tcPr>
            <w:tcW w:w="613" w:type="pct"/>
            <w:vMerge w:val="restart"/>
          </w:tcPr>
          <w:p w14:paraId="6CFA1604" w14:textId="77777777" w:rsidR="00793369" w:rsidRPr="00662906" w:rsidRDefault="00793369" w:rsidP="00B73071">
            <w:pPr>
              <w:spacing w:before="0" w:after="0" w:line="240" w:lineRule="auto"/>
              <w:rPr>
                <w:rFonts w:cs="Arial"/>
                <w:sz w:val="16"/>
                <w:szCs w:val="16"/>
              </w:rPr>
            </w:pPr>
            <w:r w:rsidRPr="00662906">
              <w:rPr>
                <w:rFonts w:cs="Arial"/>
                <w:sz w:val="16"/>
                <w:szCs w:val="16"/>
              </w:rPr>
              <w:t>Advance Sustainable Transport Solutions</w:t>
            </w:r>
          </w:p>
        </w:tc>
        <w:tc>
          <w:tcPr>
            <w:tcW w:w="936" w:type="pct"/>
          </w:tcPr>
          <w:p w14:paraId="512B873F" w14:textId="66A0F739" w:rsidR="00793369" w:rsidRPr="00662906" w:rsidRDefault="00793369" w:rsidP="00B73071">
            <w:pPr>
              <w:spacing w:before="0" w:after="0" w:line="240" w:lineRule="auto"/>
              <w:rPr>
                <w:rFonts w:cs="Arial"/>
                <w:sz w:val="16"/>
                <w:szCs w:val="16"/>
              </w:rPr>
            </w:pPr>
            <w:r w:rsidRPr="00662906">
              <w:rPr>
                <w:rFonts w:cs="Arial"/>
                <w:sz w:val="16"/>
                <w:szCs w:val="16"/>
              </w:rPr>
              <w:t>Strategic Intervention 2.1. Promoting introduction of various</w:t>
            </w:r>
            <w:r w:rsidR="006A4BD1" w:rsidRPr="00662906">
              <w:rPr>
                <w:rFonts w:cs="Arial"/>
                <w:sz w:val="16"/>
                <w:szCs w:val="16"/>
              </w:rPr>
              <w:t xml:space="preserve"> New Energy Vehicles</w:t>
            </w:r>
            <w:r w:rsidRPr="00662906">
              <w:rPr>
                <w:rFonts w:cs="Arial"/>
                <w:sz w:val="16"/>
                <w:szCs w:val="16"/>
              </w:rPr>
              <w:t xml:space="preserve"> </w:t>
            </w:r>
            <w:r w:rsidR="006A4BD1" w:rsidRPr="00662906">
              <w:rPr>
                <w:rFonts w:cs="Arial"/>
                <w:sz w:val="16"/>
                <w:szCs w:val="16"/>
              </w:rPr>
              <w:t>(</w:t>
            </w:r>
            <w:r w:rsidRPr="00662906">
              <w:rPr>
                <w:rFonts w:cs="Arial"/>
                <w:sz w:val="16"/>
                <w:szCs w:val="16"/>
              </w:rPr>
              <w:t>NEVs</w:t>
            </w:r>
            <w:r w:rsidR="006A4BD1" w:rsidRPr="00662906">
              <w:rPr>
                <w:rFonts w:cs="Arial"/>
                <w:sz w:val="16"/>
                <w:szCs w:val="16"/>
              </w:rPr>
              <w:t>)</w:t>
            </w:r>
            <w:r w:rsidRPr="00662906">
              <w:rPr>
                <w:rFonts w:cs="Arial"/>
                <w:sz w:val="16"/>
                <w:szCs w:val="16"/>
              </w:rPr>
              <w:t xml:space="preserve"> and clean fuels in various sub sectors of the transport sector. </w:t>
            </w:r>
          </w:p>
        </w:tc>
        <w:tc>
          <w:tcPr>
            <w:tcW w:w="2711" w:type="pct"/>
          </w:tcPr>
          <w:p w14:paraId="0DF05607" w14:textId="77777777"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Scoping, pilot/proof of concept, and potential roll-out of NEVs. N/S-M</w:t>
            </w:r>
          </w:p>
          <w:p w14:paraId="582111B9" w14:textId="23382338"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 xml:space="preserve">Introduction of harmonized standards </w:t>
            </w:r>
            <w:r w:rsidR="00B14F3C" w:rsidRPr="00662906">
              <w:rPr>
                <w:rFonts w:cs="Arial"/>
                <w:sz w:val="16"/>
                <w:szCs w:val="16"/>
              </w:rPr>
              <w:t xml:space="preserve">and related regulations </w:t>
            </w:r>
            <w:r w:rsidRPr="00662906">
              <w:rPr>
                <w:rFonts w:cs="Arial"/>
                <w:sz w:val="16"/>
                <w:szCs w:val="16"/>
              </w:rPr>
              <w:t>for NEVs to guide importation and production C/S-M</w:t>
            </w:r>
          </w:p>
          <w:p w14:paraId="07B1D57B" w14:textId="77777777"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Promote use of NEVs through incentives and subsidies. N/S-M</w:t>
            </w:r>
          </w:p>
          <w:p w14:paraId="4C57790B" w14:textId="77777777"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Align Transport and Energy policies and infrastructure development to accommodate the NEV market. N/M-L</w:t>
            </w:r>
          </w:p>
          <w:p w14:paraId="52CB7F06" w14:textId="77777777"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Decarbonize maritime transport, focusing on green methanol and emerging alternative fuels R/S-M</w:t>
            </w:r>
          </w:p>
          <w:p w14:paraId="63D4F5D3" w14:textId="267CC2D2" w:rsidR="00793369" w:rsidRPr="00662906" w:rsidRDefault="00793369" w:rsidP="005C5546">
            <w:pPr>
              <w:pStyle w:val="ListParagraph"/>
              <w:numPr>
                <w:ilvl w:val="0"/>
                <w:numId w:val="200"/>
              </w:numPr>
              <w:spacing w:before="0" w:after="0" w:line="240" w:lineRule="auto"/>
              <w:rPr>
                <w:rFonts w:cs="Arial"/>
                <w:sz w:val="16"/>
                <w:szCs w:val="16"/>
              </w:rPr>
            </w:pPr>
            <w:r w:rsidRPr="00662906">
              <w:rPr>
                <w:rFonts w:cs="Arial"/>
                <w:sz w:val="16"/>
                <w:szCs w:val="16"/>
              </w:rPr>
              <w:t>Promote SAF C/M-L</w:t>
            </w:r>
          </w:p>
          <w:p w14:paraId="7C5A4F5A" w14:textId="0DBE18B9" w:rsidR="00793369" w:rsidRPr="00662906" w:rsidRDefault="00793369" w:rsidP="00B73071">
            <w:pPr>
              <w:pStyle w:val="ListParagraph"/>
              <w:numPr>
                <w:ilvl w:val="0"/>
                <w:numId w:val="200"/>
              </w:numPr>
              <w:spacing w:before="0" w:after="0" w:line="240" w:lineRule="auto"/>
              <w:rPr>
                <w:rFonts w:cs="Arial"/>
                <w:sz w:val="16"/>
                <w:szCs w:val="16"/>
              </w:rPr>
            </w:pPr>
            <w:r w:rsidRPr="00662906">
              <w:rPr>
                <w:rFonts w:cs="Arial"/>
                <w:sz w:val="16"/>
                <w:szCs w:val="16"/>
              </w:rPr>
              <w:t>Modernize rail networks with emphasis on hydrogen locomotives N/M-L</w:t>
            </w:r>
          </w:p>
        </w:tc>
      </w:tr>
      <w:tr w:rsidR="00793369" w:rsidRPr="00662906" w14:paraId="2DB7E1BC" w14:textId="77777777" w:rsidTr="00B20027">
        <w:trPr>
          <w:trHeight w:val="525"/>
        </w:trPr>
        <w:tc>
          <w:tcPr>
            <w:tcW w:w="288" w:type="pct"/>
            <w:vMerge/>
            <w:vAlign w:val="center"/>
          </w:tcPr>
          <w:p w14:paraId="234BD27A"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2ED64606" w14:textId="77777777" w:rsidR="00793369" w:rsidRPr="00662906" w:rsidRDefault="00793369" w:rsidP="00B20027">
            <w:pPr>
              <w:spacing w:before="0" w:after="0" w:line="240" w:lineRule="auto"/>
              <w:jc w:val="center"/>
              <w:rPr>
                <w:rFonts w:cs="Arial"/>
                <w:sz w:val="16"/>
                <w:szCs w:val="16"/>
              </w:rPr>
            </w:pPr>
          </w:p>
        </w:tc>
        <w:tc>
          <w:tcPr>
            <w:tcW w:w="613" w:type="pct"/>
            <w:vMerge/>
          </w:tcPr>
          <w:p w14:paraId="6D491464" w14:textId="77777777" w:rsidR="00793369" w:rsidRPr="00662906" w:rsidRDefault="00793369" w:rsidP="00B73071">
            <w:pPr>
              <w:spacing w:before="0" w:after="0" w:line="240" w:lineRule="auto"/>
              <w:rPr>
                <w:rFonts w:cs="Arial"/>
                <w:sz w:val="16"/>
                <w:szCs w:val="16"/>
              </w:rPr>
            </w:pPr>
          </w:p>
        </w:tc>
        <w:tc>
          <w:tcPr>
            <w:tcW w:w="936" w:type="pct"/>
          </w:tcPr>
          <w:p w14:paraId="27A033B8" w14:textId="77777777" w:rsidR="00793369" w:rsidRPr="00662906" w:rsidRDefault="00793369" w:rsidP="00B73071">
            <w:pPr>
              <w:spacing w:before="0" w:after="0" w:line="240" w:lineRule="auto"/>
              <w:rPr>
                <w:rFonts w:cs="Arial"/>
                <w:sz w:val="16"/>
                <w:szCs w:val="16"/>
              </w:rPr>
            </w:pPr>
            <w:r w:rsidRPr="00662906">
              <w:rPr>
                <w:rFonts w:cs="Arial"/>
                <w:sz w:val="16"/>
                <w:szCs w:val="16"/>
              </w:rPr>
              <w:t>Strategic Intervention 2.2: Transitioning the conventional transport systems to multi-modal transport systems for efficient use and energy demand reduction.</w:t>
            </w:r>
          </w:p>
        </w:tc>
        <w:tc>
          <w:tcPr>
            <w:tcW w:w="2711" w:type="pct"/>
          </w:tcPr>
          <w:p w14:paraId="47ECE931" w14:textId="77777777"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Promote integrated land-use, energy, and transport planning to reduce travel demand and plan for energy infrastructure and services. N/S-M</w:t>
            </w:r>
          </w:p>
          <w:p w14:paraId="66BAE45A" w14:textId="77777777"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Introduction of smart transportation systems and technologies. N/S-M</w:t>
            </w:r>
          </w:p>
          <w:p w14:paraId="2AD72B96" w14:textId="237628E0"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Regulated vehicle importation and informal transport sector.</w:t>
            </w:r>
            <w:r w:rsidR="00AE7D1F" w:rsidRPr="00662906">
              <w:rPr>
                <w:rFonts w:cs="Arial"/>
                <w:sz w:val="16"/>
                <w:szCs w:val="16"/>
              </w:rPr>
              <w:t xml:space="preserve"> </w:t>
            </w:r>
            <w:r w:rsidRPr="00662906">
              <w:rPr>
                <w:rFonts w:cs="Arial"/>
                <w:sz w:val="16"/>
                <w:szCs w:val="16"/>
              </w:rPr>
              <w:t>N/S-L</w:t>
            </w:r>
          </w:p>
          <w:p w14:paraId="1BAFD9A2" w14:textId="22AB56E0"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Harmonize standards</w:t>
            </w:r>
            <w:r w:rsidR="00156C66" w:rsidRPr="00662906">
              <w:rPr>
                <w:rFonts w:cs="Arial"/>
                <w:sz w:val="16"/>
                <w:szCs w:val="16"/>
              </w:rPr>
              <w:t>,</w:t>
            </w:r>
            <w:r w:rsidR="00B14F3C" w:rsidRPr="00662906">
              <w:rPr>
                <w:rFonts w:cs="Arial"/>
                <w:sz w:val="16"/>
                <w:szCs w:val="16"/>
              </w:rPr>
              <w:t xml:space="preserve"> regulations</w:t>
            </w:r>
            <w:r w:rsidRPr="00662906">
              <w:rPr>
                <w:rFonts w:cs="Arial"/>
                <w:sz w:val="16"/>
                <w:szCs w:val="16"/>
              </w:rPr>
              <w:t xml:space="preserve"> and policies across AU Member States to accelerate adoption of clean transportation technologies N/S-L</w:t>
            </w:r>
          </w:p>
          <w:p w14:paraId="443CE1E9" w14:textId="77777777"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Develop technical and institutional capacity to deliver net-zero commitments. C/S-L</w:t>
            </w:r>
          </w:p>
          <w:p w14:paraId="6EB37B1D" w14:textId="77777777"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Align infrastructure and energy policies to accommodate and stimulate decarbonization N/S-L</w:t>
            </w:r>
          </w:p>
          <w:p w14:paraId="3F98086A" w14:textId="77777777" w:rsidR="0098698D"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Development of Multi-Modal Transport Systems N/S-L</w:t>
            </w:r>
          </w:p>
          <w:p w14:paraId="31809A9A" w14:textId="769EA7CB" w:rsidR="00793369" w:rsidRPr="00662906" w:rsidRDefault="00793369" w:rsidP="005C5546">
            <w:pPr>
              <w:pStyle w:val="ListParagraph"/>
              <w:numPr>
                <w:ilvl w:val="0"/>
                <w:numId w:val="203"/>
              </w:numPr>
              <w:spacing w:before="0" w:after="0" w:line="240" w:lineRule="auto"/>
              <w:rPr>
                <w:rFonts w:cs="Arial"/>
                <w:sz w:val="16"/>
                <w:szCs w:val="16"/>
              </w:rPr>
            </w:pPr>
            <w:r w:rsidRPr="00662906">
              <w:rPr>
                <w:rFonts w:cs="Arial"/>
                <w:sz w:val="16"/>
                <w:szCs w:val="16"/>
              </w:rPr>
              <w:t>Development and Harmonization of Energy Efficiency Standards for Transport Systems R/S-M</w:t>
            </w:r>
          </w:p>
        </w:tc>
      </w:tr>
      <w:tr w:rsidR="00793369" w:rsidRPr="00662906" w14:paraId="61F3CF72" w14:textId="77777777" w:rsidTr="00B20027">
        <w:trPr>
          <w:trHeight w:val="465"/>
        </w:trPr>
        <w:tc>
          <w:tcPr>
            <w:tcW w:w="288" w:type="pct"/>
            <w:vMerge w:val="restart"/>
            <w:vAlign w:val="center"/>
          </w:tcPr>
          <w:p w14:paraId="025BB055"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3</w:t>
            </w:r>
          </w:p>
        </w:tc>
        <w:tc>
          <w:tcPr>
            <w:tcW w:w="452" w:type="pct"/>
            <w:vMerge w:val="restart"/>
            <w:vAlign w:val="center"/>
          </w:tcPr>
          <w:p w14:paraId="128867DA"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Buildings</w:t>
            </w:r>
          </w:p>
        </w:tc>
        <w:tc>
          <w:tcPr>
            <w:tcW w:w="613" w:type="pct"/>
            <w:vMerge w:val="restart"/>
          </w:tcPr>
          <w:p w14:paraId="1604C7CE" w14:textId="77777777" w:rsidR="00793369" w:rsidRPr="00662906" w:rsidRDefault="00793369" w:rsidP="00B73071">
            <w:pPr>
              <w:spacing w:before="0" w:after="0" w:line="240" w:lineRule="auto"/>
              <w:rPr>
                <w:rFonts w:cs="Arial"/>
                <w:sz w:val="16"/>
                <w:szCs w:val="16"/>
              </w:rPr>
            </w:pPr>
            <w:r w:rsidRPr="00662906">
              <w:rPr>
                <w:rFonts w:cs="Arial"/>
                <w:sz w:val="16"/>
                <w:szCs w:val="16"/>
              </w:rPr>
              <w:t>Elevate Building Standards for Energy</w:t>
            </w:r>
          </w:p>
        </w:tc>
        <w:tc>
          <w:tcPr>
            <w:tcW w:w="936" w:type="pct"/>
          </w:tcPr>
          <w:p w14:paraId="5071D764"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 Strategic Intervention 3.1: Strengthen and adopt compliance with building energy codes </w:t>
            </w:r>
          </w:p>
        </w:tc>
        <w:tc>
          <w:tcPr>
            <w:tcW w:w="2711" w:type="pct"/>
          </w:tcPr>
          <w:p w14:paraId="3A6101F4" w14:textId="6B568923"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Support dissemination and implementation of harmonized minimum energy efficiency and thermal performance standards for buildings C/S-M</w:t>
            </w:r>
          </w:p>
          <w:p w14:paraId="3694B353" w14:textId="046EFEE7"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Develop comprehensive national guidelines for energy performance in buildings (based on building audits) to establish consumption baselines N/S</w:t>
            </w:r>
          </w:p>
          <w:p w14:paraId="01B04E26" w14:textId="6E7CA0B1"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Conduct national building energy audits to establish consumption baselines N/S-M</w:t>
            </w:r>
          </w:p>
          <w:p w14:paraId="63B2B6DC" w14:textId="74CD1D79"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Build capacities of building authorities and practitioners N/S-M</w:t>
            </w:r>
          </w:p>
          <w:p w14:paraId="5A1DF276" w14:textId="5B8CAE16"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lastRenderedPageBreak/>
              <w:t>Create a regional database for building stocks, energy consumption, and related carbon emission levels R/M-L</w:t>
            </w:r>
          </w:p>
          <w:p w14:paraId="49EB6FDC" w14:textId="6589CB04"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Create national building compliance bodies with associations at regional and continental level N/S</w:t>
            </w:r>
          </w:p>
          <w:p w14:paraId="682F2057" w14:textId="57D9F062"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Launch energy efficiency awareness campaigns for the public C/S-L</w:t>
            </w:r>
          </w:p>
          <w:p w14:paraId="72F88624" w14:textId="7A2C7C72" w:rsidR="00793369" w:rsidRPr="00662906" w:rsidRDefault="00793369" w:rsidP="005C5546">
            <w:pPr>
              <w:pStyle w:val="ListParagraph"/>
              <w:numPr>
                <w:ilvl w:val="0"/>
                <w:numId w:val="204"/>
              </w:numPr>
              <w:spacing w:before="0" w:after="0" w:line="240" w:lineRule="auto"/>
              <w:rPr>
                <w:rFonts w:cs="Arial"/>
                <w:sz w:val="16"/>
                <w:szCs w:val="16"/>
              </w:rPr>
            </w:pPr>
            <w:r w:rsidRPr="00662906">
              <w:rPr>
                <w:rFonts w:cs="Arial"/>
                <w:sz w:val="16"/>
                <w:szCs w:val="16"/>
              </w:rPr>
              <w:t>Promote large-scale building retrofit programs for existing stock N/S-M</w:t>
            </w:r>
          </w:p>
          <w:p w14:paraId="433EF96E" w14:textId="77777777" w:rsidR="00793369" w:rsidRPr="00662906" w:rsidRDefault="00793369" w:rsidP="00B73071">
            <w:pPr>
              <w:spacing w:before="0" w:after="0" w:line="240" w:lineRule="auto"/>
              <w:rPr>
                <w:rFonts w:cs="Arial"/>
                <w:sz w:val="16"/>
                <w:szCs w:val="16"/>
              </w:rPr>
            </w:pPr>
          </w:p>
        </w:tc>
      </w:tr>
      <w:tr w:rsidR="00793369" w:rsidRPr="00662906" w14:paraId="25D1C9D9" w14:textId="77777777" w:rsidTr="00B20027">
        <w:trPr>
          <w:trHeight w:val="555"/>
        </w:trPr>
        <w:tc>
          <w:tcPr>
            <w:tcW w:w="288" w:type="pct"/>
            <w:vMerge/>
            <w:vAlign w:val="center"/>
          </w:tcPr>
          <w:p w14:paraId="616A2420"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3FF8C60D" w14:textId="77777777" w:rsidR="00793369" w:rsidRPr="00662906" w:rsidRDefault="00793369" w:rsidP="00B20027">
            <w:pPr>
              <w:spacing w:before="0" w:after="0" w:line="240" w:lineRule="auto"/>
              <w:jc w:val="center"/>
              <w:rPr>
                <w:rFonts w:cs="Arial"/>
                <w:sz w:val="16"/>
                <w:szCs w:val="16"/>
              </w:rPr>
            </w:pPr>
          </w:p>
        </w:tc>
        <w:tc>
          <w:tcPr>
            <w:tcW w:w="613" w:type="pct"/>
            <w:vMerge/>
          </w:tcPr>
          <w:p w14:paraId="45D2C62D" w14:textId="77777777" w:rsidR="00793369" w:rsidRPr="00662906" w:rsidRDefault="00793369" w:rsidP="00B73071">
            <w:pPr>
              <w:spacing w:before="0" w:after="0" w:line="240" w:lineRule="auto"/>
              <w:rPr>
                <w:rFonts w:cs="Arial"/>
                <w:sz w:val="16"/>
                <w:szCs w:val="16"/>
              </w:rPr>
            </w:pPr>
          </w:p>
        </w:tc>
        <w:tc>
          <w:tcPr>
            <w:tcW w:w="936" w:type="pct"/>
          </w:tcPr>
          <w:p w14:paraId="420983F0"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3.2: Boost market demand for Energy Efficient buildings </w:t>
            </w:r>
          </w:p>
        </w:tc>
        <w:tc>
          <w:tcPr>
            <w:tcW w:w="2711" w:type="pct"/>
          </w:tcPr>
          <w:p w14:paraId="021774FE" w14:textId="183CAA85" w:rsidR="00793369" w:rsidRPr="00662906" w:rsidRDefault="00793369" w:rsidP="005C5546">
            <w:pPr>
              <w:pStyle w:val="ListParagraph"/>
              <w:numPr>
                <w:ilvl w:val="0"/>
                <w:numId w:val="205"/>
              </w:numPr>
              <w:spacing w:before="0" w:after="0" w:line="240" w:lineRule="auto"/>
              <w:rPr>
                <w:rFonts w:cs="Arial"/>
                <w:sz w:val="16"/>
                <w:szCs w:val="16"/>
              </w:rPr>
            </w:pPr>
            <w:r w:rsidRPr="00662906">
              <w:rPr>
                <w:rFonts w:cs="Arial"/>
                <w:sz w:val="16"/>
                <w:szCs w:val="16"/>
              </w:rPr>
              <w:t>Develop minimum energy efficiency labels for building materials and products C/S-L</w:t>
            </w:r>
          </w:p>
          <w:p w14:paraId="58EFEFD7" w14:textId="77599A08" w:rsidR="00793369" w:rsidRPr="00662906" w:rsidRDefault="00793369" w:rsidP="005C5546">
            <w:pPr>
              <w:pStyle w:val="ListParagraph"/>
              <w:numPr>
                <w:ilvl w:val="0"/>
                <w:numId w:val="205"/>
              </w:numPr>
              <w:spacing w:before="0" w:after="0" w:line="240" w:lineRule="auto"/>
              <w:rPr>
                <w:rFonts w:cs="Arial"/>
                <w:sz w:val="16"/>
                <w:szCs w:val="16"/>
              </w:rPr>
            </w:pPr>
            <w:r w:rsidRPr="00662906">
              <w:rPr>
                <w:rFonts w:cs="Arial"/>
                <w:sz w:val="16"/>
                <w:szCs w:val="16"/>
              </w:rPr>
              <w:t>Introduce national building certification tools and systems (standardizable at regional or continental level) N/S</w:t>
            </w:r>
          </w:p>
          <w:p w14:paraId="07D0F476" w14:textId="4D44B001" w:rsidR="00793369" w:rsidRPr="00662906" w:rsidRDefault="00793369" w:rsidP="005C5546">
            <w:pPr>
              <w:pStyle w:val="ListParagraph"/>
              <w:numPr>
                <w:ilvl w:val="0"/>
                <w:numId w:val="205"/>
              </w:numPr>
              <w:spacing w:before="0" w:after="0" w:line="240" w:lineRule="auto"/>
              <w:rPr>
                <w:rFonts w:cs="Arial"/>
                <w:sz w:val="16"/>
                <w:szCs w:val="16"/>
              </w:rPr>
            </w:pPr>
            <w:r w:rsidRPr="00662906">
              <w:rPr>
                <w:rFonts w:cs="Arial"/>
                <w:sz w:val="16"/>
                <w:szCs w:val="16"/>
              </w:rPr>
              <w:t>Create a funding mechanism/window to support energy efficiency (EE) in buildings R/M</w:t>
            </w:r>
          </w:p>
          <w:p w14:paraId="763F05D1" w14:textId="0E2D26BF" w:rsidR="00793369" w:rsidRPr="00662906" w:rsidRDefault="00793369" w:rsidP="005C5546">
            <w:pPr>
              <w:pStyle w:val="ListParagraph"/>
              <w:numPr>
                <w:ilvl w:val="0"/>
                <w:numId w:val="205"/>
              </w:numPr>
              <w:spacing w:before="0" w:after="0" w:line="240" w:lineRule="auto"/>
              <w:rPr>
                <w:rFonts w:cs="Arial"/>
                <w:sz w:val="16"/>
                <w:szCs w:val="16"/>
              </w:rPr>
            </w:pPr>
            <w:r w:rsidRPr="00662906">
              <w:rPr>
                <w:rFonts w:cs="Arial"/>
                <w:sz w:val="16"/>
                <w:szCs w:val="16"/>
              </w:rPr>
              <w:t>Implement demonstration programs for energy-efficient buildings N/S-M</w:t>
            </w:r>
          </w:p>
          <w:p w14:paraId="6ACF108B" w14:textId="6CC0A5BD" w:rsidR="00793369" w:rsidRPr="00662906" w:rsidRDefault="00793369" w:rsidP="005C5546">
            <w:pPr>
              <w:pStyle w:val="ListParagraph"/>
              <w:numPr>
                <w:ilvl w:val="0"/>
                <w:numId w:val="205"/>
              </w:numPr>
              <w:spacing w:before="0" w:after="0" w:line="240" w:lineRule="auto"/>
              <w:rPr>
                <w:rFonts w:cs="Arial"/>
                <w:sz w:val="16"/>
                <w:szCs w:val="16"/>
              </w:rPr>
            </w:pPr>
            <w:r w:rsidRPr="00662906">
              <w:rPr>
                <w:rFonts w:cs="Arial"/>
                <w:sz w:val="16"/>
                <w:szCs w:val="16"/>
              </w:rPr>
              <w:t>Create national building compliance bodies N/S</w:t>
            </w:r>
          </w:p>
          <w:p w14:paraId="24BA9ACF" w14:textId="77777777" w:rsidR="00793369" w:rsidRPr="00662906" w:rsidRDefault="00793369" w:rsidP="00B73071">
            <w:pPr>
              <w:spacing w:before="0" w:after="0" w:line="240" w:lineRule="auto"/>
              <w:rPr>
                <w:rFonts w:cs="Arial"/>
                <w:sz w:val="16"/>
                <w:szCs w:val="16"/>
              </w:rPr>
            </w:pPr>
          </w:p>
        </w:tc>
      </w:tr>
      <w:tr w:rsidR="00793369" w:rsidRPr="00662906" w14:paraId="4D2F0509" w14:textId="77777777" w:rsidTr="00B20027">
        <w:trPr>
          <w:trHeight w:val="420"/>
        </w:trPr>
        <w:tc>
          <w:tcPr>
            <w:tcW w:w="288" w:type="pct"/>
            <w:vMerge/>
            <w:vAlign w:val="center"/>
          </w:tcPr>
          <w:p w14:paraId="7C394AB7"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3CF45A39" w14:textId="77777777" w:rsidR="00793369" w:rsidRPr="00662906" w:rsidRDefault="00793369" w:rsidP="00B20027">
            <w:pPr>
              <w:spacing w:before="0" w:after="0" w:line="240" w:lineRule="auto"/>
              <w:jc w:val="center"/>
              <w:rPr>
                <w:rFonts w:cs="Arial"/>
                <w:sz w:val="16"/>
                <w:szCs w:val="16"/>
              </w:rPr>
            </w:pPr>
          </w:p>
        </w:tc>
        <w:tc>
          <w:tcPr>
            <w:tcW w:w="613" w:type="pct"/>
            <w:vMerge/>
          </w:tcPr>
          <w:p w14:paraId="05360D69" w14:textId="77777777" w:rsidR="00793369" w:rsidRPr="00662906" w:rsidRDefault="00793369" w:rsidP="00B73071">
            <w:pPr>
              <w:spacing w:before="0" w:after="0" w:line="240" w:lineRule="auto"/>
              <w:rPr>
                <w:rFonts w:cs="Arial"/>
                <w:sz w:val="16"/>
                <w:szCs w:val="16"/>
              </w:rPr>
            </w:pPr>
          </w:p>
        </w:tc>
        <w:tc>
          <w:tcPr>
            <w:tcW w:w="936" w:type="pct"/>
          </w:tcPr>
          <w:p w14:paraId="05AD1A50"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3.3: Boost capacity for delivering energy efficient buildings </w:t>
            </w:r>
          </w:p>
        </w:tc>
        <w:tc>
          <w:tcPr>
            <w:tcW w:w="2711" w:type="pct"/>
          </w:tcPr>
          <w:p w14:paraId="5CD72622" w14:textId="05BE6724"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Support Energy Service Companies (ESCOs) N/S-L</w:t>
            </w:r>
          </w:p>
          <w:p w14:paraId="44DED399" w14:textId="0BA1095A"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Capacitate local manufacturers of building materials and energy equipment/appliances N/M-L</w:t>
            </w:r>
          </w:p>
          <w:p w14:paraId="336867FA" w14:textId="11CEF60A"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Create an accreditation system for building and energy professionals R/S</w:t>
            </w:r>
          </w:p>
          <w:p w14:paraId="4769C207" w14:textId="5E72539D"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Create regional training programs and knowledge-sharing platforms R/S-M</w:t>
            </w:r>
          </w:p>
          <w:p w14:paraId="3F456913" w14:textId="5DC5BEF9"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Develop local and regional awards for buildings that excel in energy efficiency N/S</w:t>
            </w:r>
          </w:p>
          <w:p w14:paraId="64DCD245" w14:textId="4D6EECC8" w:rsidR="00793369" w:rsidRPr="00662906" w:rsidRDefault="00793369" w:rsidP="005C5546">
            <w:pPr>
              <w:pStyle w:val="ListParagraph"/>
              <w:numPr>
                <w:ilvl w:val="0"/>
                <w:numId w:val="206"/>
              </w:numPr>
              <w:spacing w:before="0" w:after="0" w:line="240" w:lineRule="auto"/>
              <w:rPr>
                <w:rFonts w:cs="Arial"/>
                <w:sz w:val="16"/>
                <w:szCs w:val="16"/>
              </w:rPr>
            </w:pPr>
            <w:r w:rsidRPr="00662906">
              <w:rPr>
                <w:rFonts w:cs="Arial"/>
                <w:sz w:val="16"/>
                <w:szCs w:val="16"/>
              </w:rPr>
              <w:t>Support research and development of energy-efficient technologies and building materials N/S-L</w:t>
            </w:r>
          </w:p>
          <w:p w14:paraId="067B8F24" w14:textId="2E03DAE4" w:rsidR="00793369" w:rsidRPr="00662906" w:rsidRDefault="00793369" w:rsidP="005C5546">
            <w:pPr>
              <w:pStyle w:val="ListParagraph"/>
              <w:numPr>
                <w:ilvl w:val="0"/>
                <w:numId w:val="206"/>
              </w:numPr>
              <w:spacing w:before="0" w:after="0" w:line="240" w:lineRule="auto"/>
              <w:rPr>
                <w:rFonts w:eastAsia="Arial" w:cs="Arial"/>
                <w:color w:val="53575A"/>
                <w:sz w:val="16"/>
                <w:szCs w:val="16"/>
              </w:rPr>
            </w:pPr>
            <w:r w:rsidRPr="00662906">
              <w:rPr>
                <w:rFonts w:cs="Arial"/>
                <w:sz w:val="16"/>
                <w:szCs w:val="16"/>
              </w:rPr>
              <w:t>Launch regional and continental fund for ESCOs</w:t>
            </w:r>
            <w:r w:rsidR="003E3A2C" w:rsidRPr="00662906">
              <w:rPr>
                <w:rFonts w:cs="Arial"/>
                <w:sz w:val="16"/>
                <w:szCs w:val="16"/>
              </w:rPr>
              <w:t xml:space="preserve"> </w:t>
            </w:r>
            <w:r w:rsidRPr="00662906">
              <w:rPr>
                <w:rFonts w:cs="Arial"/>
                <w:sz w:val="16"/>
                <w:szCs w:val="16"/>
              </w:rPr>
              <w:t>R/S-M</w:t>
            </w:r>
          </w:p>
        </w:tc>
      </w:tr>
      <w:tr w:rsidR="00793369" w:rsidRPr="00662906" w14:paraId="5A9834DC" w14:textId="77777777" w:rsidTr="00B20027">
        <w:trPr>
          <w:trHeight w:val="465"/>
        </w:trPr>
        <w:tc>
          <w:tcPr>
            <w:tcW w:w="288" w:type="pct"/>
            <w:vMerge w:val="restart"/>
            <w:vAlign w:val="center"/>
          </w:tcPr>
          <w:p w14:paraId="1FE10383"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4</w:t>
            </w:r>
          </w:p>
        </w:tc>
        <w:tc>
          <w:tcPr>
            <w:tcW w:w="452" w:type="pct"/>
            <w:vMerge w:val="restart"/>
            <w:vAlign w:val="center"/>
          </w:tcPr>
          <w:p w14:paraId="165078E2"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Industry</w:t>
            </w:r>
          </w:p>
        </w:tc>
        <w:tc>
          <w:tcPr>
            <w:tcW w:w="613" w:type="pct"/>
            <w:vMerge w:val="restart"/>
          </w:tcPr>
          <w:p w14:paraId="283A23BC"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Foster Sustainable and transformative Industrial Development: </w:t>
            </w:r>
          </w:p>
        </w:tc>
        <w:tc>
          <w:tcPr>
            <w:tcW w:w="936" w:type="pct"/>
          </w:tcPr>
          <w:p w14:paraId="5979AE86" w14:textId="0DF53E0B" w:rsidR="00793369" w:rsidRPr="00662906" w:rsidRDefault="00793369" w:rsidP="00B73071">
            <w:pPr>
              <w:spacing w:before="0" w:after="0" w:line="240" w:lineRule="auto"/>
              <w:rPr>
                <w:rFonts w:cs="Arial"/>
                <w:sz w:val="16"/>
                <w:szCs w:val="16"/>
              </w:rPr>
            </w:pPr>
            <w:r w:rsidRPr="00662906">
              <w:rPr>
                <w:rFonts w:cs="Arial"/>
                <w:sz w:val="16"/>
                <w:szCs w:val="16"/>
              </w:rPr>
              <w:t>Strategic Intervention 4.1: Target reduction of fossil fuel demand in industry through fuel substitution, RE supply and EE Practices</w:t>
            </w:r>
          </w:p>
        </w:tc>
        <w:tc>
          <w:tcPr>
            <w:tcW w:w="2711" w:type="pct"/>
          </w:tcPr>
          <w:p w14:paraId="2C29329B" w14:textId="2B8E208C" w:rsidR="00793369" w:rsidRPr="00662906" w:rsidRDefault="00793369" w:rsidP="006A2210">
            <w:pPr>
              <w:pStyle w:val="ListParagraph"/>
              <w:numPr>
                <w:ilvl w:val="0"/>
                <w:numId w:val="207"/>
              </w:numPr>
              <w:spacing w:before="0" w:after="0" w:line="240" w:lineRule="auto"/>
              <w:rPr>
                <w:rFonts w:cs="Arial"/>
                <w:sz w:val="16"/>
                <w:szCs w:val="16"/>
              </w:rPr>
            </w:pPr>
            <w:r w:rsidRPr="00662906">
              <w:rPr>
                <w:rFonts w:cs="Arial"/>
                <w:sz w:val="16"/>
                <w:szCs w:val="16"/>
              </w:rPr>
              <w:t>Develop and implement a carbon benchmark for traded goods manufactured in Africa under the</w:t>
            </w:r>
            <w:r w:rsidR="006A4BD1" w:rsidRPr="00662906">
              <w:rPr>
                <w:rFonts w:cs="Arial"/>
                <w:sz w:val="16"/>
                <w:szCs w:val="16"/>
              </w:rPr>
              <w:t xml:space="preserve"> </w:t>
            </w:r>
            <w:r w:rsidR="002752BD" w:rsidRPr="00662906">
              <w:rPr>
                <w:rFonts w:cs="Arial"/>
                <w:sz w:val="16"/>
                <w:szCs w:val="16"/>
              </w:rPr>
              <w:t>African Continental Free Trade Area (</w:t>
            </w:r>
            <w:r w:rsidRPr="00662906">
              <w:rPr>
                <w:rFonts w:cs="Arial"/>
                <w:sz w:val="16"/>
                <w:szCs w:val="16"/>
              </w:rPr>
              <w:t>AfCFTA</w:t>
            </w:r>
            <w:r w:rsidR="002752BD" w:rsidRPr="00662906">
              <w:rPr>
                <w:rFonts w:cs="Arial"/>
                <w:sz w:val="16"/>
                <w:szCs w:val="16"/>
              </w:rPr>
              <w:t>)</w:t>
            </w:r>
            <w:r w:rsidRPr="00662906">
              <w:rPr>
                <w:rFonts w:cs="Arial"/>
                <w:sz w:val="16"/>
                <w:szCs w:val="16"/>
              </w:rPr>
              <w:t xml:space="preserve"> C/S-L</w:t>
            </w:r>
          </w:p>
          <w:p w14:paraId="43873BAD" w14:textId="66D0F13C" w:rsidR="00793369" w:rsidRPr="00662906" w:rsidRDefault="00793369" w:rsidP="005C5546">
            <w:pPr>
              <w:pStyle w:val="ListParagraph"/>
              <w:numPr>
                <w:ilvl w:val="0"/>
                <w:numId w:val="207"/>
              </w:numPr>
              <w:spacing w:before="0" w:after="0" w:line="240" w:lineRule="auto"/>
              <w:rPr>
                <w:rFonts w:cs="Arial"/>
                <w:sz w:val="16"/>
                <w:szCs w:val="16"/>
              </w:rPr>
            </w:pPr>
            <w:r w:rsidRPr="00662906">
              <w:rPr>
                <w:rFonts w:cs="Arial"/>
                <w:sz w:val="16"/>
                <w:szCs w:val="16"/>
              </w:rPr>
              <w:t>Determine RE/EE market potential in national industries to inform scope of needed manufacturing N/S-L</w:t>
            </w:r>
          </w:p>
          <w:p w14:paraId="36092DBF" w14:textId="0884242E" w:rsidR="00793369" w:rsidRPr="00662906" w:rsidRDefault="00793369" w:rsidP="005C5546">
            <w:pPr>
              <w:pStyle w:val="ListParagraph"/>
              <w:numPr>
                <w:ilvl w:val="0"/>
                <w:numId w:val="207"/>
              </w:numPr>
              <w:spacing w:before="0" w:after="0" w:line="240" w:lineRule="auto"/>
              <w:rPr>
                <w:rFonts w:cs="Arial"/>
                <w:sz w:val="16"/>
                <w:szCs w:val="16"/>
              </w:rPr>
            </w:pPr>
            <w:r w:rsidRPr="00662906">
              <w:rPr>
                <w:rFonts w:cs="Arial"/>
                <w:sz w:val="16"/>
                <w:szCs w:val="16"/>
              </w:rPr>
              <w:t>Introduce and enforce an EE regulatory framework for industrial decarbonization performance N/S-L</w:t>
            </w:r>
          </w:p>
          <w:p w14:paraId="192CC052" w14:textId="763006EC" w:rsidR="00793369" w:rsidRPr="00662906" w:rsidRDefault="00793369" w:rsidP="005C5546">
            <w:pPr>
              <w:pStyle w:val="ListParagraph"/>
              <w:numPr>
                <w:ilvl w:val="0"/>
                <w:numId w:val="207"/>
              </w:numPr>
              <w:spacing w:before="0" w:after="0" w:line="240" w:lineRule="auto"/>
              <w:rPr>
                <w:rFonts w:cs="Arial"/>
                <w:sz w:val="16"/>
                <w:szCs w:val="16"/>
              </w:rPr>
            </w:pPr>
            <w:r w:rsidRPr="00662906">
              <w:rPr>
                <w:rFonts w:cs="Arial"/>
                <w:sz w:val="16"/>
                <w:szCs w:val="16"/>
              </w:rPr>
              <w:t>Create an incentive and financing scheme for adoption of RE and EE technologies/practices C/S-M</w:t>
            </w:r>
          </w:p>
          <w:p w14:paraId="64DACBA6" w14:textId="6320AE74" w:rsidR="00793369" w:rsidRPr="00662906" w:rsidRDefault="00793369" w:rsidP="005C5546">
            <w:pPr>
              <w:pStyle w:val="ListParagraph"/>
              <w:numPr>
                <w:ilvl w:val="0"/>
                <w:numId w:val="207"/>
              </w:numPr>
              <w:spacing w:before="0" w:after="0" w:line="240" w:lineRule="auto"/>
              <w:rPr>
                <w:rFonts w:cs="Arial"/>
                <w:sz w:val="16"/>
                <w:szCs w:val="16"/>
              </w:rPr>
            </w:pPr>
            <w:r w:rsidRPr="00662906">
              <w:rPr>
                <w:rFonts w:cs="Arial"/>
                <w:sz w:val="16"/>
                <w:szCs w:val="16"/>
              </w:rPr>
              <w:t>Create awareness campaign for industry energy efficiency (IEE) and renewable energy substitution C/S-L</w:t>
            </w:r>
          </w:p>
          <w:p w14:paraId="41D9C646" w14:textId="384DF566" w:rsidR="00793369" w:rsidRPr="00662906" w:rsidRDefault="00793369" w:rsidP="005C5546">
            <w:pPr>
              <w:pStyle w:val="ListParagraph"/>
              <w:numPr>
                <w:ilvl w:val="0"/>
                <w:numId w:val="207"/>
              </w:numPr>
              <w:spacing w:before="0" w:after="0" w:line="240" w:lineRule="auto"/>
              <w:rPr>
                <w:rFonts w:cs="Arial"/>
                <w:sz w:val="16"/>
                <w:szCs w:val="16"/>
              </w:rPr>
            </w:pPr>
            <w:r w:rsidRPr="00662906">
              <w:rPr>
                <w:rFonts w:cs="Arial"/>
                <w:sz w:val="16"/>
                <w:szCs w:val="16"/>
              </w:rPr>
              <w:t>Develop skills and accreditation schemes for EE and RE service providers for the industry sector C/S-L</w:t>
            </w:r>
          </w:p>
        </w:tc>
      </w:tr>
      <w:tr w:rsidR="00793369" w:rsidRPr="00662906" w14:paraId="2092057F" w14:textId="77777777" w:rsidTr="00B20027">
        <w:trPr>
          <w:trHeight w:val="300"/>
        </w:trPr>
        <w:tc>
          <w:tcPr>
            <w:tcW w:w="288" w:type="pct"/>
            <w:vMerge/>
            <w:vAlign w:val="center"/>
          </w:tcPr>
          <w:p w14:paraId="1C30B610"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13C54AFF" w14:textId="77777777" w:rsidR="00793369" w:rsidRPr="00662906" w:rsidRDefault="00793369" w:rsidP="00B20027">
            <w:pPr>
              <w:spacing w:before="0" w:after="0" w:line="240" w:lineRule="auto"/>
              <w:jc w:val="center"/>
              <w:rPr>
                <w:rFonts w:cs="Arial"/>
                <w:sz w:val="16"/>
                <w:szCs w:val="16"/>
              </w:rPr>
            </w:pPr>
          </w:p>
        </w:tc>
        <w:tc>
          <w:tcPr>
            <w:tcW w:w="613" w:type="pct"/>
            <w:vMerge/>
          </w:tcPr>
          <w:p w14:paraId="12DAE18C" w14:textId="77777777" w:rsidR="00793369" w:rsidRPr="00662906" w:rsidRDefault="00793369" w:rsidP="00B73071">
            <w:pPr>
              <w:spacing w:before="0" w:after="0" w:line="240" w:lineRule="auto"/>
              <w:rPr>
                <w:rFonts w:cs="Arial"/>
                <w:sz w:val="16"/>
                <w:szCs w:val="16"/>
              </w:rPr>
            </w:pPr>
          </w:p>
        </w:tc>
        <w:tc>
          <w:tcPr>
            <w:tcW w:w="936" w:type="pct"/>
          </w:tcPr>
          <w:p w14:paraId="720B6138" w14:textId="77777777" w:rsidR="00793369" w:rsidRPr="00662906" w:rsidRDefault="00793369" w:rsidP="00B73071">
            <w:pPr>
              <w:spacing w:before="0" w:after="0" w:line="240" w:lineRule="auto"/>
              <w:rPr>
                <w:rFonts w:cs="Arial"/>
                <w:sz w:val="16"/>
                <w:szCs w:val="16"/>
              </w:rPr>
            </w:pPr>
            <w:r w:rsidRPr="00662906">
              <w:rPr>
                <w:rFonts w:cs="Arial"/>
                <w:sz w:val="16"/>
                <w:szCs w:val="16"/>
              </w:rPr>
              <w:t>Strategic Intervention 4.2. Transformative industrialization to leverage Africa’s comparative advantage</w:t>
            </w:r>
          </w:p>
        </w:tc>
        <w:tc>
          <w:tcPr>
            <w:tcW w:w="2711" w:type="pct"/>
          </w:tcPr>
          <w:p w14:paraId="6B127A3B" w14:textId="0FD584E6"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Establish regional production potential for advanced battery energy storage solutions R/S</w:t>
            </w:r>
          </w:p>
          <w:p w14:paraId="3EE818C7" w14:textId="3A8DDF54"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 xml:space="preserve">Develop a </w:t>
            </w:r>
            <w:r w:rsidR="002752BD" w:rsidRPr="00662906">
              <w:rPr>
                <w:rFonts w:cs="Arial"/>
                <w:sz w:val="16"/>
                <w:szCs w:val="16"/>
              </w:rPr>
              <w:t>Battery Energy Storage Systems (</w:t>
            </w:r>
            <w:r w:rsidRPr="00662906">
              <w:rPr>
                <w:rFonts w:cs="Arial"/>
                <w:sz w:val="16"/>
                <w:szCs w:val="16"/>
              </w:rPr>
              <w:t>BESS</w:t>
            </w:r>
            <w:r w:rsidR="002752BD" w:rsidRPr="00662906">
              <w:rPr>
                <w:rFonts w:cs="Arial"/>
                <w:sz w:val="16"/>
                <w:szCs w:val="16"/>
              </w:rPr>
              <w:t>)</w:t>
            </w:r>
            <w:r w:rsidRPr="00662906">
              <w:rPr>
                <w:rFonts w:cs="Arial"/>
                <w:sz w:val="16"/>
                <w:szCs w:val="16"/>
              </w:rPr>
              <w:t xml:space="preserve"> and alternative storage strategy/ programme for Africa C/S</w:t>
            </w:r>
          </w:p>
          <w:p w14:paraId="690B60FC" w14:textId="2571EAFF"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Domesticate the continent-wide hydrogen strategy at national levels N/S</w:t>
            </w:r>
          </w:p>
          <w:p w14:paraId="74948374" w14:textId="26FF66D7"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Support enhancement of green hydrogen development and utilization in industry and transport C/S-M</w:t>
            </w:r>
          </w:p>
          <w:p w14:paraId="0083E62A" w14:textId="6E310385"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Promote local manufacturing of RE/EE equipment R/S</w:t>
            </w:r>
          </w:p>
          <w:p w14:paraId="5F2197D2" w14:textId="481DE815"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Incentive scheme to attract technology transfer and build local manufacturing capacity</w:t>
            </w:r>
          </w:p>
          <w:p w14:paraId="26CA46D5" w14:textId="1D37E500"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Institute R&amp;D for value addition of strategic minerals and innovative clean energy technologies/fuels R/S-L</w:t>
            </w:r>
          </w:p>
          <w:p w14:paraId="63B647EA" w14:textId="598D1218" w:rsidR="00793369" w:rsidRPr="00662906" w:rsidRDefault="00793369" w:rsidP="005C5546">
            <w:pPr>
              <w:pStyle w:val="ListParagraph"/>
              <w:numPr>
                <w:ilvl w:val="0"/>
                <w:numId w:val="208"/>
              </w:numPr>
              <w:spacing w:before="0" w:after="0" w:line="240" w:lineRule="auto"/>
              <w:rPr>
                <w:rFonts w:cs="Arial"/>
                <w:sz w:val="16"/>
                <w:szCs w:val="16"/>
              </w:rPr>
            </w:pPr>
            <w:r w:rsidRPr="00662906">
              <w:rPr>
                <w:rFonts w:cs="Arial"/>
                <w:sz w:val="16"/>
                <w:szCs w:val="16"/>
              </w:rPr>
              <w:t xml:space="preserve">Expand industries without smokestacks through green technology adoption (e.g., </w:t>
            </w:r>
            <w:r w:rsidR="002752BD" w:rsidRPr="00662906">
              <w:rPr>
                <w:rFonts w:cs="Arial"/>
                <w:sz w:val="16"/>
                <w:szCs w:val="16"/>
              </w:rPr>
              <w:t>Information and Communication Technology (</w:t>
            </w:r>
            <w:r w:rsidRPr="00662906">
              <w:rPr>
                <w:rFonts w:cs="Arial"/>
                <w:sz w:val="16"/>
                <w:szCs w:val="16"/>
              </w:rPr>
              <w:t>ICT</w:t>
            </w:r>
            <w:r w:rsidR="002752BD" w:rsidRPr="00662906">
              <w:rPr>
                <w:rFonts w:cs="Arial"/>
                <w:sz w:val="16"/>
                <w:szCs w:val="16"/>
              </w:rPr>
              <w:t>)</w:t>
            </w:r>
            <w:r w:rsidRPr="00662906">
              <w:rPr>
                <w:rFonts w:cs="Arial"/>
                <w:sz w:val="16"/>
                <w:szCs w:val="16"/>
              </w:rPr>
              <w:t>, digital services, agro-processing) N/S-M</w:t>
            </w:r>
          </w:p>
          <w:p w14:paraId="5B09A1D4" w14:textId="45F126E4" w:rsidR="00DF4488" w:rsidRPr="00662906" w:rsidRDefault="00DF4488" w:rsidP="005C5546">
            <w:pPr>
              <w:pStyle w:val="ListParagraph"/>
              <w:numPr>
                <w:ilvl w:val="0"/>
                <w:numId w:val="208"/>
              </w:numPr>
              <w:spacing w:before="0" w:after="0" w:line="240" w:lineRule="auto"/>
              <w:rPr>
                <w:rFonts w:cs="Arial"/>
                <w:sz w:val="16"/>
                <w:szCs w:val="16"/>
              </w:rPr>
            </w:pPr>
            <w:r w:rsidRPr="00662906">
              <w:rPr>
                <w:rFonts w:cs="Arial"/>
                <w:sz w:val="16"/>
                <w:szCs w:val="16"/>
              </w:rPr>
              <w:t xml:space="preserve">Facilitate green data </w:t>
            </w:r>
            <w:r w:rsidR="00AE7D1F" w:rsidRPr="00662906">
              <w:rPr>
                <w:rFonts w:cs="Arial"/>
                <w:sz w:val="16"/>
                <w:szCs w:val="16"/>
              </w:rPr>
              <w:t>centres</w:t>
            </w:r>
            <w:r w:rsidRPr="00662906">
              <w:rPr>
                <w:rFonts w:cs="Arial"/>
                <w:sz w:val="16"/>
                <w:szCs w:val="16"/>
              </w:rPr>
              <w:t xml:space="preserve"> and digital infrastructure for regional connectivity R/M</w:t>
            </w:r>
          </w:p>
          <w:p w14:paraId="390C1BC4" w14:textId="69CBB6D8" w:rsidR="00DF4488" w:rsidRPr="00662906" w:rsidRDefault="00DF4488" w:rsidP="005C5546">
            <w:pPr>
              <w:pStyle w:val="ListParagraph"/>
              <w:numPr>
                <w:ilvl w:val="0"/>
                <w:numId w:val="208"/>
              </w:numPr>
              <w:spacing w:before="0" w:after="0" w:line="240" w:lineRule="auto"/>
              <w:rPr>
                <w:rFonts w:cs="Arial"/>
                <w:sz w:val="16"/>
                <w:szCs w:val="16"/>
              </w:rPr>
            </w:pPr>
            <w:r w:rsidRPr="00662906">
              <w:rPr>
                <w:rFonts w:cs="Arial"/>
                <w:sz w:val="16"/>
                <w:szCs w:val="16"/>
              </w:rPr>
              <w:t>Advancing Sustainable NEV Manufacturing in Africa C/M-L</w:t>
            </w:r>
          </w:p>
        </w:tc>
      </w:tr>
      <w:tr w:rsidR="00793369" w:rsidRPr="00662906" w14:paraId="47F2A959" w14:textId="77777777" w:rsidTr="00B20027">
        <w:trPr>
          <w:trHeight w:val="250"/>
        </w:trPr>
        <w:tc>
          <w:tcPr>
            <w:tcW w:w="288" w:type="pct"/>
            <w:vMerge w:val="restart"/>
            <w:vAlign w:val="center"/>
          </w:tcPr>
          <w:p w14:paraId="1CE9A411"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5</w:t>
            </w:r>
          </w:p>
        </w:tc>
        <w:tc>
          <w:tcPr>
            <w:tcW w:w="452" w:type="pct"/>
            <w:vMerge w:val="restart"/>
            <w:vAlign w:val="center"/>
          </w:tcPr>
          <w:p w14:paraId="4A47EC3A"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Oil and gas</w:t>
            </w:r>
          </w:p>
        </w:tc>
        <w:tc>
          <w:tcPr>
            <w:tcW w:w="613" w:type="pct"/>
            <w:vMerge w:val="restart"/>
          </w:tcPr>
          <w:p w14:paraId="443E54EC" w14:textId="77777777" w:rsidR="00793369" w:rsidRPr="00662906" w:rsidRDefault="00793369" w:rsidP="00B73071">
            <w:pPr>
              <w:spacing w:before="0" w:after="0" w:line="240" w:lineRule="auto"/>
              <w:rPr>
                <w:rFonts w:cs="Arial"/>
                <w:sz w:val="16"/>
                <w:szCs w:val="16"/>
              </w:rPr>
            </w:pPr>
            <w:r w:rsidRPr="00662906">
              <w:rPr>
                <w:rFonts w:cs="Arial"/>
                <w:sz w:val="16"/>
                <w:szCs w:val="16"/>
              </w:rPr>
              <w:t>Optimize Oil and Gas Sector Transition</w:t>
            </w:r>
          </w:p>
        </w:tc>
        <w:tc>
          <w:tcPr>
            <w:tcW w:w="936" w:type="pct"/>
          </w:tcPr>
          <w:p w14:paraId="264CB222" w14:textId="77777777" w:rsidR="00793369" w:rsidRPr="00662906" w:rsidRDefault="00793369" w:rsidP="00B73071">
            <w:pPr>
              <w:spacing w:before="0" w:after="0" w:line="240" w:lineRule="auto"/>
              <w:rPr>
                <w:rFonts w:cs="Arial"/>
                <w:sz w:val="16"/>
                <w:szCs w:val="16"/>
              </w:rPr>
            </w:pPr>
            <w:r w:rsidRPr="00662906">
              <w:rPr>
                <w:rFonts w:cs="Arial"/>
                <w:sz w:val="16"/>
                <w:szCs w:val="16"/>
              </w:rPr>
              <w:t>Strategic Intervention 5.1: Sustainable supply and utilization of natural gas on the continent</w:t>
            </w:r>
          </w:p>
        </w:tc>
        <w:tc>
          <w:tcPr>
            <w:tcW w:w="2711" w:type="pct"/>
          </w:tcPr>
          <w:p w14:paraId="675A985E" w14:textId="4DC3382F"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Promote the supply and utilization of NG across the continent C/S-M</w:t>
            </w:r>
          </w:p>
          <w:p w14:paraId="19943C12" w14:textId="70AB6D30"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Develop a Continental Gas Master Plan and cross-border NG network codes/standards C/S</w:t>
            </w:r>
          </w:p>
          <w:p w14:paraId="66D143EC" w14:textId="48DB9272"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lastRenderedPageBreak/>
              <w:t>Develop continental refined products (including synthetic fuels) standards and pricing mechanisms C/S</w:t>
            </w:r>
          </w:p>
          <w:p w14:paraId="05279638" w14:textId="25FBA921"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Harmonize gas regulations for trade (fuel standards, pricing) C/S</w:t>
            </w:r>
          </w:p>
          <w:p w14:paraId="5ABAA1E2" w14:textId="46DAAC73"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Establish harmonized regulatory and institutional framework N/S</w:t>
            </w:r>
          </w:p>
          <w:p w14:paraId="44E13624" w14:textId="54E85488"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Build capacity for negotiations and regulation N/S-L</w:t>
            </w:r>
          </w:p>
          <w:p w14:paraId="0EE6D128" w14:textId="43DC8897" w:rsidR="00793369" w:rsidRPr="00662906" w:rsidRDefault="00793369" w:rsidP="005C5546">
            <w:pPr>
              <w:pStyle w:val="ListParagraph"/>
              <w:numPr>
                <w:ilvl w:val="0"/>
                <w:numId w:val="209"/>
              </w:numPr>
              <w:spacing w:before="0" w:after="0" w:line="240" w:lineRule="auto"/>
              <w:rPr>
                <w:rFonts w:cs="Arial"/>
                <w:sz w:val="16"/>
                <w:szCs w:val="16"/>
              </w:rPr>
            </w:pPr>
            <w:r w:rsidRPr="00662906">
              <w:rPr>
                <w:rFonts w:cs="Arial"/>
                <w:sz w:val="16"/>
                <w:szCs w:val="16"/>
              </w:rPr>
              <w:t>Plan for hydrogen-ready gas infrastructure C/S-M</w:t>
            </w:r>
          </w:p>
        </w:tc>
      </w:tr>
      <w:tr w:rsidR="00793369" w:rsidRPr="00662906" w14:paraId="283D2A6D" w14:textId="77777777" w:rsidTr="00B20027">
        <w:trPr>
          <w:trHeight w:val="661"/>
        </w:trPr>
        <w:tc>
          <w:tcPr>
            <w:tcW w:w="288" w:type="pct"/>
            <w:vMerge/>
            <w:vAlign w:val="center"/>
          </w:tcPr>
          <w:p w14:paraId="43578F8D"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112AF45C" w14:textId="77777777" w:rsidR="00793369" w:rsidRPr="00662906" w:rsidRDefault="00793369" w:rsidP="00B20027">
            <w:pPr>
              <w:spacing w:before="0" w:after="0" w:line="240" w:lineRule="auto"/>
              <w:jc w:val="center"/>
              <w:rPr>
                <w:rFonts w:cs="Arial"/>
                <w:sz w:val="16"/>
                <w:szCs w:val="16"/>
              </w:rPr>
            </w:pPr>
          </w:p>
        </w:tc>
        <w:tc>
          <w:tcPr>
            <w:tcW w:w="613" w:type="pct"/>
            <w:vMerge/>
          </w:tcPr>
          <w:p w14:paraId="37ED229F" w14:textId="77777777" w:rsidR="00793369" w:rsidRPr="00662906" w:rsidRDefault="00793369" w:rsidP="00B73071">
            <w:pPr>
              <w:spacing w:before="0" w:after="0" w:line="240" w:lineRule="auto"/>
              <w:rPr>
                <w:rFonts w:cs="Arial"/>
                <w:sz w:val="16"/>
                <w:szCs w:val="16"/>
              </w:rPr>
            </w:pPr>
          </w:p>
        </w:tc>
        <w:tc>
          <w:tcPr>
            <w:tcW w:w="936" w:type="pct"/>
          </w:tcPr>
          <w:p w14:paraId="1F560641" w14:textId="77777777" w:rsidR="00793369" w:rsidRPr="00662906" w:rsidRDefault="00793369" w:rsidP="00B73071">
            <w:pPr>
              <w:spacing w:before="0" w:after="0" w:line="240" w:lineRule="auto"/>
              <w:rPr>
                <w:rFonts w:cs="Arial"/>
                <w:sz w:val="16"/>
                <w:szCs w:val="16"/>
              </w:rPr>
            </w:pPr>
            <w:r w:rsidRPr="00662906">
              <w:rPr>
                <w:rFonts w:cs="Arial"/>
                <w:sz w:val="16"/>
                <w:szCs w:val="16"/>
              </w:rPr>
              <w:t>Strategic Intervention 5.2: Promote economic and technical efficiency in the production, transport, and use of oil and gas</w:t>
            </w:r>
          </w:p>
        </w:tc>
        <w:tc>
          <w:tcPr>
            <w:tcW w:w="2711" w:type="pct"/>
          </w:tcPr>
          <w:p w14:paraId="423AB2F2" w14:textId="05AEFEFC" w:rsidR="00793369" w:rsidRPr="00662906" w:rsidRDefault="00793369" w:rsidP="005C5546">
            <w:pPr>
              <w:pStyle w:val="ListParagraph"/>
              <w:numPr>
                <w:ilvl w:val="0"/>
                <w:numId w:val="210"/>
              </w:numPr>
              <w:spacing w:before="0" w:after="0" w:line="240" w:lineRule="auto"/>
              <w:rPr>
                <w:rFonts w:cs="Arial"/>
                <w:sz w:val="16"/>
                <w:szCs w:val="16"/>
              </w:rPr>
            </w:pPr>
            <w:r w:rsidRPr="00662906">
              <w:rPr>
                <w:rFonts w:cs="Arial"/>
                <w:sz w:val="16"/>
                <w:szCs w:val="16"/>
              </w:rPr>
              <w:t>Conduct NG energy price affordability analysis and adoption C/S-L</w:t>
            </w:r>
          </w:p>
          <w:p w14:paraId="60EFC4C1" w14:textId="3767C697" w:rsidR="00793369" w:rsidRPr="00662906" w:rsidRDefault="00793369" w:rsidP="005C5546">
            <w:pPr>
              <w:pStyle w:val="ListParagraph"/>
              <w:numPr>
                <w:ilvl w:val="0"/>
                <w:numId w:val="210"/>
              </w:numPr>
              <w:spacing w:before="0" w:after="0" w:line="240" w:lineRule="auto"/>
              <w:rPr>
                <w:rFonts w:cs="Arial"/>
                <w:sz w:val="16"/>
                <w:szCs w:val="16"/>
              </w:rPr>
            </w:pPr>
            <w:r w:rsidRPr="00662906">
              <w:rPr>
                <w:rFonts w:cs="Arial"/>
                <w:sz w:val="16"/>
                <w:szCs w:val="16"/>
              </w:rPr>
              <w:t>Ensure better financial stability for public companies (</w:t>
            </w:r>
            <w:r w:rsidR="002752BD" w:rsidRPr="00662906">
              <w:rPr>
                <w:rFonts w:cs="Arial"/>
                <w:sz w:val="16"/>
                <w:szCs w:val="16"/>
              </w:rPr>
              <w:t>National Oil Companies (</w:t>
            </w:r>
            <w:r w:rsidRPr="00662906">
              <w:rPr>
                <w:rFonts w:cs="Arial"/>
                <w:sz w:val="16"/>
                <w:szCs w:val="16"/>
              </w:rPr>
              <w:t>NOCs</w:t>
            </w:r>
            <w:r w:rsidR="002752BD" w:rsidRPr="00662906">
              <w:rPr>
                <w:rFonts w:cs="Arial"/>
                <w:sz w:val="16"/>
                <w:szCs w:val="16"/>
              </w:rPr>
              <w:t>)</w:t>
            </w:r>
            <w:r w:rsidRPr="00662906">
              <w:rPr>
                <w:rFonts w:cs="Arial"/>
                <w:sz w:val="16"/>
                <w:szCs w:val="16"/>
              </w:rPr>
              <w:t xml:space="preserve"> and other state-owned enterprises) N/S-L</w:t>
            </w:r>
          </w:p>
          <w:p w14:paraId="695C0DF5" w14:textId="7EA4B098" w:rsidR="00793369" w:rsidRPr="00662906" w:rsidRDefault="00793369" w:rsidP="005C5546">
            <w:pPr>
              <w:pStyle w:val="ListParagraph"/>
              <w:numPr>
                <w:ilvl w:val="0"/>
                <w:numId w:val="210"/>
              </w:numPr>
              <w:spacing w:before="0" w:after="0" w:line="240" w:lineRule="auto"/>
              <w:rPr>
                <w:rFonts w:cs="Arial"/>
                <w:sz w:val="16"/>
                <w:szCs w:val="16"/>
              </w:rPr>
            </w:pPr>
            <w:r w:rsidRPr="00662906">
              <w:rPr>
                <w:rFonts w:cs="Arial"/>
                <w:sz w:val="16"/>
                <w:szCs w:val="16"/>
              </w:rPr>
              <w:t>Promote private sector involvement and public-private partnerships (PPPs) in oil and gas N/S-L</w:t>
            </w:r>
          </w:p>
          <w:p w14:paraId="0B9054C9" w14:textId="1BF2DB43" w:rsidR="00793369" w:rsidRPr="00662906" w:rsidRDefault="00793369" w:rsidP="005C5546">
            <w:pPr>
              <w:pStyle w:val="ListParagraph"/>
              <w:numPr>
                <w:ilvl w:val="0"/>
                <w:numId w:val="210"/>
              </w:numPr>
              <w:spacing w:before="0" w:after="0" w:line="240" w:lineRule="auto"/>
              <w:rPr>
                <w:rFonts w:cs="Arial"/>
                <w:sz w:val="16"/>
                <w:szCs w:val="16"/>
              </w:rPr>
            </w:pPr>
            <w:r w:rsidRPr="00662906">
              <w:rPr>
                <w:rFonts w:cs="Arial"/>
                <w:sz w:val="16"/>
                <w:szCs w:val="16"/>
              </w:rPr>
              <w:t>Ensure wide access to clean NG energy through targeted subsidies and network expansion N/M-L</w:t>
            </w:r>
          </w:p>
          <w:p w14:paraId="24F36382" w14:textId="05E161D3" w:rsidR="00793369" w:rsidRPr="00662906" w:rsidRDefault="00793369" w:rsidP="005C5546">
            <w:pPr>
              <w:pStyle w:val="ListParagraph"/>
              <w:numPr>
                <w:ilvl w:val="0"/>
                <w:numId w:val="210"/>
              </w:numPr>
              <w:spacing w:before="0" w:after="0" w:line="240" w:lineRule="auto"/>
              <w:rPr>
                <w:rFonts w:cs="Arial"/>
                <w:sz w:val="16"/>
                <w:szCs w:val="16"/>
              </w:rPr>
            </w:pPr>
            <w:r w:rsidRPr="00662906">
              <w:rPr>
                <w:rFonts w:cs="Arial"/>
                <w:sz w:val="16"/>
                <w:szCs w:val="16"/>
              </w:rPr>
              <w:t xml:space="preserve">Enhance operational efficiency across </w:t>
            </w:r>
            <w:r w:rsidR="002752BD" w:rsidRPr="00662906">
              <w:rPr>
                <w:rFonts w:cs="Arial"/>
                <w:sz w:val="16"/>
                <w:szCs w:val="16"/>
              </w:rPr>
              <w:t>Oil and Gas (</w:t>
            </w:r>
            <w:r w:rsidRPr="00662906">
              <w:rPr>
                <w:rFonts w:cs="Arial"/>
                <w:sz w:val="16"/>
                <w:szCs w:val="16"/>
              </w:rPr>
              <w:t>O&amp;G</w:t>
            </w:r>
            <w:r w:rsidR="002752BD" w:rsidRPr="00662906">
              <w:rPr>
                <w:rFonts w:cs="Arial"/>
                <w:sz w:val="16"/>
                <w:szCs w:val="16"/>
              </w:rPr>
              <w:t>)</w:t>
            </w:r>
            <w:r w:rsidRPr="00662906">
              <w:rPr>
                <w:rFonts w:cs="Arial"/>
                <w:sz w:val="16"/>
                <w:szCs w:val="16"/>
              </w:rPr>
              <w:t xml:space="preserve"> supply chains R/S-M</w:t>
            </w:r>
          </w:p>
        </w:tc>
      </w:tr>
      <w:tr w:rsidR="00793369" w:rsidRPr="00662906" w14:paraId="1D04850E" w14:textId="77777777" w:rsidTr="00B20027">
        <w:trPr>
          <w:trHeight w:val="435"/>
        </w:trPr>
        <w:tc>
          <w:tcPr>
            <w:tcW w:w="288" w:type="pct"/>
            <w:vMerge/>
            <w:vAlign w:val="center"/>
          </w:tcPr>
          <w:p w14:paraId="4D9153EA"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5B4D1A50" w14:textId="77777777" w:rsidR="00793369" w:rsidRPr="00662906" w:rsidRDefault="00793369" w:rsidP="00B20027">
            <w:pPr>
              <w:spacing w:before="0" w:after="0" w:line="240" w:lineRule="auto"/>
              <w:jc w:val="center"/>
              <w:rPr>
                <w:rFonts w:cs="Arial"/>
                <w:sz w:val="16"/>
                <w:szCs w:val="16"/>
              </w:rPr>
            </w:pPr>
          </w:p>
        </w:tc>
        <w:tc>
          <w:tcPr>
            <w:tcW w:w="613" w:type="pct"/>
            <w:vMerge/>
          </w:tcPr>
          <w:p w14:paraId="37F754E4" w14:textId="77777777" w:rsidR="00793369" w:rsidRPr="00662906" w:rsidRDefault="00793369" w:rsidP="00B73071">
            <w:pPr>
              <w:spacing w:before="0" w:after="0" w:line="240" w:lineRule="auto"/>
              <w:rPr>
                <w:rFonts w:cs="Arial"/>
                <w:sz w:val="16"/>
                <w:szCs w:val="16"/>
              </w:rPr>
            </w:pPr>
          </w:p>
        </w:tc>
        <w:tc>
          <w:tcPr>
            <w:tcW w:w="936" w:type="pct"/>
          </w:tcPr>
          <w:p w14:paraId="268082E6" w14:textId="415C9590"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5.3 </w:t>
            </w:r>
            <w:r w:rsidR="00775309" w:rsidRPr="00662906">
              <w:rPr>
                <w:rFonts w:cs="Arial"/>
                <w:sz w:val="16"/>
                <w:szCs w:val="16"/>
              </w:rPr>
              <w:t>Environmental, Social and Governance (</w:t>
            </w:r>
            <w:r w:rsidRPr="00662906">
              <w:rPr>
                <w:rFonts w:cs="Arial"/>
                <w:sz w:val="16"/>
                <w:szCs w:val="16"/>
              </w:rPr>
              <w:t>ESG</w:t>
            </w:r>
            <w:r w:rsidR="00775309" w:rsidRPr="00662906">
              <w:rPr>
                <w:rFonts w:cs="Arial"/>
                <w:sz w:val="16"/>
                <w:szCs w:val="16"/>
              </w:rPr>
              <w:t>)</w:t>
            </w:r>
            <w:r w:rsidRPr="00662906">
              <w:rPr>
                <w:rFonts w:cs="Arial"/>
                <w:sz w:val="16"/>
                <w:szCs w:val="16"/>
              </w:rPr>
              <w:t xml:space="preserve"> sustainability enhanced</w:t>
            </w:r>
          </w:p>
        </w:tc>
        <w:tc>
          <w:tcPr>
            <w:tcW w:w="2711" w:type="pct"/>
          </w:tcPr>
          <w:p w14:paraId="2B2A83C1" w14:textId="14FFEBDC" w:rsidR="00793369" w:rsidRPr="00662906" w:rsidRDefault="00793369" w:rsidP="005C5546">
            <w:pPr>
              <w:pStyle w:val="ListParagraph"/>
              <w:numPr>
                <w:ilvl w:val="0"/>
                <w:numId w:val="211"/>
              </w:numPr>
              <w:spacing w:before="0" w:after="0" w:line="240" w:lineRule="auto"/>
              <w:rPr>
                <w:rFonts w:cs="Arial"/>
                <w:sz w:val="16"/>
                <w:szCs w:val="16"/>
              </w:rPr>
            </w:pPr>
            <w:r w:rsidRPr="00662906">
              <w:rPr>
                <w:rFonts w:cs="Arial"/>
                <w:sz w:val="16"/>
                <w:szCs w:val="16"/>
              </w:rPr>
              <w:t xml:space="preserve">Establish ESG minimum guidelines for both </w:t>
            </w:r>
            <w:r w:rsidR="00775309" w:rsidRPr="00662906">
              <w:rPr>
                <w:rFonts w:cs="Arial"/>
                <w:sz w:val="16"/>
                <w:szCs w:val="16"/>
              </w:rPr>
              <w:t>International Oil Companies (</w:t>
            </w:r>
            <w:r w:rsidRPr="00662906">
              <w:rPr>
                <w:rFonts w:cs="Arial"/>
                <w:sz w:val="16"/>
                <w:szCs w:val="16"/>
              </w:rPr>
              <w:t>IOCs</w:t>
            </w:r>
            <w:r w:rsidR="00775309" w:rsidRPr="00662906">
              <w:rPr>
                <w:rFonts w:cs="Arial"/>
                <w:sz w:val="16"/>
                <w:szCs w:val="16"/>
              </w:rPr>
              <w:t>)</w:t>
            </w:r>
            <w:r w:rsidRPr="00662906">
              <w:rPr>
                <w:rFonts w:cs="Arial"/>
                <w:sz w:val="16"/>
                <w:szCs w:val="16"/>
              </w:rPr>
              <w:t xml:space="preserve"> and NOCs C/S</w:t>
            </w:r>
          </w:p>
          <w:p w14:paraId="190D408F" w14:textId="307FB7BC" w:rsidR="00793369" w:rsidRPr="00662906" w:rsidRDefault="00793369" w:rsidP="005C5546">
            <w:pPr>
              <w:pStyle w:val="ListParagraph"/>
              <w:numPr>
                <w:ilvl w:val="0"/>
                <w:numId w:val="211"/>
              </w:numPr>
              <w:spacing w:before="0" w:after="0" w:line="240" w:lineRule="auto"/>
              <w:rPr>
                <w:rFonts w:cs="Arial"/>
                <w:sz w:val="16"/>
                <w:szCs w:val="16"/>
              </w:rPr>
            </w:pPr>
            <w:r w:rsidRPr="00662906">
              <w:rPr>
                <w:rFonts w:cs="Arial"/>
                <w:sz w:val="16"/>
                <w:szCs w:val="16"/>
              </w:rPr>
              <w:t>Develop ESG model regulations for the oil and gas industry, including a reporting platform C/S</w:t>
            </w:r>
          </w:p>
          <w:p w14:paraId="2C725F54" w14:textId="76F150E0" w:rsidR="00793369" w:rsidRPr="00662906" w:rsidRDefault="00793369" w:rsidP="005C5546">
            <w:pPr>
              <w:pStyle w:val="ListParagraph"/>
              <w:numPr>
                <w:ilvl w:val="0"/>
                <w:numId w:val="211"/>
              </w:numPr>
              <w:spacing w:before="0" w:after="0" w:line="240" w:lineRule="auto"/>
              <w:rPr>
                <w:rFonts w:cs="Arial"/>
                <w:sz w:val="16"/>
                <w:szCs w:val="16"/>
              </w:rPr>
            </w:pPr>
            <w:r w:rsidRPr="00662906">
              <w:rPr>
                <w:rFonts w:cs="Arial"/>
                <w:sz w:val="16"/>
                <w:szCs w:val="16"/>
              </w:rPr>
              <w:t>Raise awareness on ESG responsibilities and benefits for NOCs and IOCs N/S-L</w:t>
            </w:r>
          </w:p>
          <w:p w14:paraId="3ABFE7E4" w14:textId="1F77A3F6" w:rsidR="00793369" w:rsidRPr="00662906" w:rsidRDefault="00793369" w:rsidP="005C5546">
            <w:pPr>
              <w:pStyle w:val="ListParagraph"/>
              <w:numPr>
                <w:ilvl w:val="0"/>
                <w:numId w:val="211"/>
              </w:numPr>
              <w:spacing w:before="0" w:after="0" w:line="240" w:lineRule="auto"/>
              <w:rPr>
                <w:rFonts w:cs="Arial"/>
                <w:sz w:val="16"/>
                <w:szCs w:val="16"/>
              </w:rPr>
            </w:pPr>
            <w:r w:rsidRPr="00662906">
              <w:rPr>
                <w:rFonts w:cs="Arial"/>
                <w:sz w:val="16"/>
                <w:szCs w:val="16"/>
              </w:rPr>
              <w:t>Build capacity for ESG regulation and negotiations N/S-L</w:t>
            </w:r>
          </w:p>
          <w:p w14:paraId="6F2FEF84" w14:textId="7F8EFBB6" w:rsidR="00793369" w:rsidRPr="00662906" w:rsidRDefault="00793369" w:rsidP="005C5546">
            <w:pPr>
              <w:pStyle w:val="ListParagraph"/>
              <w:numPr>
                <w:ilvl w:val="0"/>
                <w:numId w:val="211"/>
              </w:numPr>
              <w:spacing w:before="0" w:after="0" w:line="240" w:lineRule="auto"/>
              <w:rPr>
                <w:rFonts w:cs="Arial"/>
                <w:sz w:val="16"/>
                <w:szCs w:val="16"/>
              </w:rPr>
            </w:pPr>
            <w:r w:rsidRPr="00662906">
              <w:rPr>
                <w:rFonts w:cs="Arial"/>
                <w:sz w:val="16"/>
                <w:szCs w:val="16"/>
              </w:rPr>
              <w:t>Promote decarbonization of the O&amp;G value chain C/S-M</w:t>
            </w:r>
          </w:p>
        </w:tc>
      </w:tr>
      <w:tr w:rsidR="00793369" w:rsidRPr="00662906" w14:paraId="10E968D1" w14:textId="77777777" w:rsidTr="00B20027">
        <w:trPr>
          <w:trHeight w:val="480"/>
        </w:trPr>
        <w:tc>
          <w:tcPr>
            <w:tcW w:w="288" w:type="pct"/>
            <w:vMerge w:val="restart"/>
            <w:vAlign w:val="center"/>
          </w:tcPr>
          <w:p w14:paraId="5171255A"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6</w:t>
            </w:r>
          </w:p>
        </w:tc>
        <w:tc>
          <w:tcPr>
            <w:tcW w:w="452" w:type="pct"/>
            <w:vMerge w:val="restart"/>
            <w:vAlign w:val="center"/>
          </w:tcPr>
          <w:p w14:paraId="7CB2E188"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Agriculture</w:t>
            </w:r>
          </w:p>
        </w:tc>
        <w:tc>
          <w:tcPr>
            <w:tcW w:w="613" w:type="pct"/>
            <w:vMerge w:val="restart"/>
          </w:tcPr>
          <w:p w14:paraId="75831790"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Increase the Use of Modern and Efficient Energy Technologies in Agriculture </w:t>
            </w:r>
          </w:p>
        </w:tc>
        <w:tc>
          <w:tcPr>
            <w:tcW w:w="936" w:type="pct"/>
          </w:tcPr>
          <w:p w14:paraId="412BE493"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6.1: Modernization of Agricultural Equipment </w:t>
            </w:r>
          </w:p>
        </w:tc>
        <w:tc>
          <w:tcPr>
            <w:tcW w:w="2711" w:type="pct"/>
          </w:tcPr>
          <w:p w14:paraId="4BECBF95" w14:textId="4C676C8A"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Subsidy Program for Energy-Efficient Farm Equipment N/S</w:t>
            </w:r>
          </w:p>
          <w:p w14:paraId="547E8B59" w14:textId="5E230491"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Pan-African Equipment Modernization Fund C/M</w:t>
            </w:r>
          </w:p>
          <w:p w14:paraId="15B4B578" w14:textId="579367B4"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Regional Demonstrations of Advanced Farming Equipment R/M</w:t>
            </w:r>
          </w:p>
          <w:p w14:paraId="50A271CB" w14:textId="50DCD81D"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Harmonization of Farm Equipment Standards C/M-L</w:t>
            </w:r>
          </w:p>
          <w:p w14:paraId="02F4513E" w14:textId="2D22C7E1"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Electric and Renewable Fuels Powered Machinery Deployment Guidelines R/M-L</w:t>
            </w:r>
          </w:p>
          <w:p w14:paraId="71DD587D" w14:textId="7740944D"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Mobile Training Units for Rural Areas N/S-M</w:t>
            </w:r>
          </w:p>
          <w:p w14:paraId="5398B09E" w14:textId="52102A7E"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Nationwide Awareness Campaigns for Equipment Modernization N/S-M</w:t>
            </w:r>
          </w:p>
          <w:p w14:paraId="23BC7BE3" w14:textId="5E1AAD79" w:rsidR="00793369" w:rsidRPr="00662906" w:rsidRDefault="00793369" w:rsidP="005C5546">
            <w:pPr>
              <w:pStyle w:val="ListParagraph"/>
              <w:numPr>
                <w:ilvl w:val="0"/>
                <w:numId w:val="212"/>
              </w:numPr>
              <w:spacing w:before="0" w:after="0" w:line="240" w:lineRule="auto"/>
              <w:rPr>
                <w:rFonts w:cs="Arial"/>
                <w:sz w:val="16"/>
                <w:szCs w:val="16"/>
              </w:rPr>
            </w:pPr>
            <w:r w:rsidRPr="00662906">
              <w:rPr>
                <w:rFonts w:cs="Arial"/>
                <w:sz w:val="16"/>
                <w:szCs w:val="16"/>
              </w:rPr>
              <w:t>Equipment Leasing Programs C/M</w:t>
            </w:r>
          </w:p>
        </w:tc>
      </w:tr>
      <w:tr w:rsidR="00793369" w:rsidRPr="00662906" w14:paraId="4B045608" w14:textId="77777777" w:rsidTr="00B20027">
        <w:trPr>
          <w:trHeight w:val="495"/>
        </w:trPr>
        <w:tc>
          <w:tcPr>
            <w:tcW w:w="288" w:type="pct"/>
            <w:vMerge/>
            <w:vAlign w:val="center"/>
          </w:tcPr>
          <w:p w14:paraId="6566D9FD"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35C5A45D" w14:textId="77777777" w:rsidR="00793369" w:rsidRPr="00662906" w:rsidRDefault="00793369" w:rsidP="00B20027">
            <w:pPr>
              <w:spacing w:before="0" w:after="0" w:line="240" w:lineRule="auto"/>
              <w:jc w:val="center"/>
              <w:rPr>
                <w:rFonts w:cs="Arial"/>
                <w:sz w:val="16"/>
                <w:szCs w:val="16"/>
              </w:rPr>
            </w:pPr>
          </w:p>
        </w:tc>
        <w:tc>
          <w:tcPr>
            <w:tcW w:w="613" w:type="pct"/>
            <w:vMerge/>
          </w:tcPr>
          <w:p w14:paraId="7A3F5B60" w14:textId="77777777" w:rsidR="00793369" w:rsidRPr="00662906" w:rsidRDefault="00793369" w:rsidP="00B73071">
            <w:pPr>
              <w:spacing w:before="0" w:after="0" w:line="240" w:lineRule="auto"/>
              <w:rPr>
                <w:rFonts w:cs="Arial"/>
                <w:sz w:val="16"/>
                <w:szCs w:val="16"/>
              </w:rPr>
            </w:pPr>
          </w:p>
        </w:tc>
        <w:tc>
          <w:tcPr>
            <w:tcW w:w="936" w:type="pct"/>
          </w:tcPr>
          <w:p w14:paraId="6BA158AD" w14:textId="0B29B053"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6.2: Promotion of Renewable Energy in Agriculture </w:t>
            </w:r>
          </w:p>
        </w:tc>
        <w:tc>
          <w:tcPr>
            <w:tcW w:w="2711" w:type="pct"/>
          </w:tcPr>
          <w:p w14:paraId="27D3C6C8" w14:textId="27617957"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Training Programs on Renewable Energy Technologies N/S-L</w:t>
            </w:r>
          </w:p>
          <w:p w14:paraId="027DA9B9" w14:textId="6F2397FD"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Development of Biomass Energy Supply Chains N/M</w:t>
            </w:r>
          </w:p>
          <w:p w14:paraId="29E4C120" w14:textId="396EACAF"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Renewable Energy Mini/Micro-grids for Irrigation and Post-processing Equipment N/M</w:t>
            </w:r>
          </w:p>
          <w:p w14:paraId="47D1B4D4" w14:textId="672F7999"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Renewable Energy Driven Fertilizer Production R/L</w:t>
            </w:r>
          </w:p>
          <w:p w14:paraId="53130F71" w14:textId="2254BDF7"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Expansion of Biogas Programs N/M</w:t>
            </w:r>
          </w:p>
          <w:p w14:paraId="1D444782" w14:textId="64570350"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Renewable Energy Certifications for Agri-businesses N/S-L</w:t>
            </w:r>
          </w:p>
          <w:p w14:paraId="5F77F774" w14:textId="674A9406"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Online Marketplace for Renewable Energy Solutions C/M</w:t>
            </w:r>
          </w:p>
          <w:p w14:paraId="185D03F2" w14:textId="139A093A"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Public Awareness Campaigns on the Benefits of Renewables in Agriculture N/S-L</w:t>
            </w:r>
          </w:p>
          <w:p w14:paraId="436D167B" w14:textId="71EDB62F" w:rsidR="00793369" w:rsidRPr="00662906" w:rsidRDefault="00793369" w:rsidP="005C5546">
            <w:pPr>
              <w:pStyle w:val="ListParagraph"/>
              <w:numPr>
                <w:ilvl w:val="0"/>
                <w:numId w:val="213"/>
              </w:numPr>
              <w:spacing w:before="0" w:after="0" w:line="240" w:lineRule="auto"/>
              <w:rPr>
                <w:rFonts w:cs="Arial"/>
                <w:sz w:val="16"/>
                <w:szCs w:val="16"/>
              </w:rPr>
            </w:pPr>
            <w:r w:rsidRPr="00662906">
              <w:rPr>
                <w:rFonts w:cs="Arial"/>
                <w:sz w:val="16"/>
                <w:szCs w:val="16"/>
              </w:rPr>
              <w:t>Regulatory Frameworks for On-farm Renewable Energy N/S</w:t>
            </w:r>
          </w:p>
        </w:tc>
      </w:tr>
      <w:tr w:rsidR="00793369" w:rsidRPr="00662906" w14:paraId="4645DC1F" w14:textId="77777777" w:rsidTr="00B20027">
        <w:trPr>
          <w:trHeight w:val="60"/>
        </w:trPr>
        <w:tc>
          <w:tcPr>
            <w:tcW w:w="288" w:type="pct"/>
            <w:vMerge/>
            <w:vAlign w:val="center"/>
          </w:tcPr>
          <w:p w14:paraId="00655996"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4B2A7974" w14:textId="77777777" w:rsidR="00793369" w:rsidRPr="00662906" w:rsidRDefault="00793369" w:rsidP="00B20027">
            <w:pPr>
              <w:spacing w:before="0" w:after="0" w:line="240" w:lineRule="auto"/>
              <w:jc w:val="center"/>
              <w:rPr>
                <w:rFonts w:cs="Arial"/>
                <w:sz w:val="16"/>
                <w:szCs w:val="16"/>
              </w:rPr>
            </w:pPr>
          </w:p>
        </w:tc>
        <w:tc>
          <w:tcPr>
            <w:tcW w:w="613" w:type="pct"/>
            <w:vMerge/>
          </w:tcPr>
          <w:p w14:paraId="37822631" w14:textId="77777777" w:rsidR="00793369" w:rsidRPr="00662906" w:rsidRDefault="00793369" w:rsidP="00B73071">
            <w:pPr>
              <w:spacing w:before="0" w:after="0" w:line="240" w:lineRule="auto"/>
              <w:rPr>
                <w:rFonts w:cs="Arial"/>
                <w:sz w:val="16"/>
                <w:szCs w:val="16"/>
              </w:rPr>
            </w:pPr>
          </w:p>
        </w:tc>
        <w:tc>
          <w:tcPr>
            <w:tcW w:w="936" w:type="pct"/>
          </w:tcPr>
          <w:p w14:paraId="16FFFFDE" w14:textId="595E1FC4"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6.3: Enhancement of Agricultural Extension Services </w:t>
            </w:r>
          </w:p>
        </w:tc>
        <w:tc>
          <w:tcPr>
            <w:tcW w:w="2711" w:type="pct"/>
          </w:tcPr>
          <w:p w14:paraId="7607A7DC" w14:textId="542E8A13"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Build Capacity of Extension Workers in Energy Applications in Agriculture N/S</w:t>
            </w:r>
          </w:p>
          <w:p w14:paraId="1EBF9650" w14:textId="3072DAA7"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Deploy Digital Tools for Extension Services N/M</w:t>
            </w:r>
          </w:p>
          <w:p w14:paraId="36F64A6A" w14:textId="0E7362BE"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Establish Continental Extension Service Network C/M</w:t>
            </w:r>
          </w:p>
          <w:p w14:paraId="219185B3" w14:textId="3DE1F367"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Implement Mobile Extension Services N/S</w:t>
            </w:r>
          </w:p>
          <w:p w14:paraId="66C2D88D" w14:textId="5997D5F1"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Develop Online Training Modules for Farmers C/M</w:t>
            </w:r>
          </w:p>
          <w:p w14:paraId="5BFA7FB9" w14:textId="1F092358"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Standardize Extension Service Protocols R/M</w:t>
            </w:r>
          </w:p>
          <w:p w14:paraId="3402C8A1" w14:textId="06600BE6"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Launch Public Awareness Campaigns on Modern Farming N/S</w:t>
            </w:r>
          </w:p>
          <w:p w14:paraId="0F86ED2F" w14:textId="0368B170" w:rsidR="00793369" w:rsidRPr="00662906" w:rsidRDefault="00793369" w:rsidP="005C5546">
            <w:pPr>
              <w:pStyle w:val="ListParagraph"/>
              <w:numPr>
                <w:ilvl w:val="0"/>
                <w:numId w:val="214"/>
              </w:numPr>
              <w:spacing w:before="0" w:after="0" w:line="240" w:lineRule="auto"/>
              <w:rPr>
                <w:rFonts w:cs="Arial"/>
                <w:sz w:val="16"/>
                <w:szCs w:val="16"/>
              </w:rPr>
            </w:pPr>
            <w:r w:rsidRPr="00662906">
              <w:rPr>
                <w:rFonts w:cs="Arial"/>
                <w:sz w:val="16"/>
                <w:szCs w:val="16"/>
              </w:rPr>
              <w:t>Develop Partnerships with Agribusiness for Training N/M</w:t>
            </w:r>
          </w:p>
        </w:tc>
      </w:tr>
      <w:tr w:rsidR="00793369" w:rsidRPr="00662906" w14:paraId="7DBC42CD" w14:textId="77777777" w:rsidTr="00B20027">
        <w:trPr>
          <w:trHeight w:val="465"/>
        </w:trPr>
        <w:tc>
          <w:tcPr>
            <w:tcW w:w="288" w:type="pct"/>
            <w:vMerge w:val="restart"/>
            <w:vAlign w:val="center"/>
          </w:tcPr>
          <w:p w14:paraId="011A6603" w14:textId="77777777" w:rsidR="00793369" w:rsidRPr="00662906" w:rsidRDefault="00793369" w:rsidP="00DB46D5">
            <w:pPr>
              <w:spacing w:before="0" w:after="0" w:line="240" w:lineRule="auto"/>
              <w:jc w:val="center"/>
              <w:rPr>
                <w:rFonts w:cs="Arial"/>
                <w:sz w:val="16"/>
                <w:szCs w:val="16"/>
              </w:rPr>
            </w:pPr>
            <w:r w:rsidRPr="00662906">
              <w:rPr>
                <w:rFonts w:cs="Arial"/>
                <w:sz w:val="16"/>
                <w:szCs w:val="16"/>
              </w:rPr>
              <w:t>7</w:t>
            </w:r>
          </w:p>
        </w:tc>
        <w:tc>
          <w:tcPr>
            <w:tcW w:w="452" w:type="pct"/>
            <w:vMerge w:val="restart"/>
            <w:vAlign w:val="center"/>
          </w:tcPr>
          <w:p w14:paraId="6CC81EE9" w14:textId="77777777" w:rsidR="00793369" w:rsidRPr="00662906" w:rsidRDefault="00793369" w:rsidP="00B20027">
            <w:pPr>
              <w:spacing w:before="0" w:after="0" w:line="240" w:lineRule="auto"/>
              <w:jc w:val="center"/>
              <w:rPr>
                <w:rFonts w:cs="Arial"/>
                <w:sz w:val="16"/>
                <w:szCs w:val="16"/>
              </w:rPr>
            </w:pPr>
            <w:r w:rsidRPr="00662906">
              <w:rPr>
                <w:rFonts w:cs="Arial"/>
                <w:sz w:val="16"/>
                <w:szCs w:val="16"/>
              </w:rPr>
              <w:t>Clean cooking</w:t>
            </w:r>
          </w:p>
        </w:tc>
        <w:tc>
          <w:tcPr>
            <w:tcW w:w="613" w:type="pct"/>
            <w:vMerge w:val="restart"/>
          </w:tcPr>
          <w:p w14:paraId="5456B5B9" w14:textId="77777777" w:rsidR="00793369" w:rsidRPr="00662906" w:rsidRDefault="00793369" w:rsidP="00B73071">
            <w:pPr>
              <w:spacing w:before="0" w:after="0" w:line="240" w:lineRule="auto"/>
              <w:rPr>
                <w:rFonts w:cs="Arial"/>
                <w:sz w:val="16"/>
                <w:szCs w:val="16"/>
              </w:rPr>
            </w:pPr>
            <w:r w:rsidRPr="00662906">
              <w:rPr>
                <w:rFonts w:cs="Arial"/>
                <w:sz w:val="16"/>
                <w:szCs w:val="16"/>
              </w:rPr>
              <w:t>Promote the adoption of clean cooking technologies</w:t>
            </w:r>
          </w:p>
        </w:tc>
        <w:tc>
          <w:tcPr>
            <w:tcW w:w="936" w:type="pct"/>
          </w:tcPr>
          <w:p w14:paraId="1D8660C9" w14:textId="0AF58437"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7.1: Development and Deployment of Advanced Cooking Technologies </w:t>
            </w:r>
          </w:p>
        </w:tc>
        <w:tc>
          <w:tcPr>
            <w:tcW w:w="2711" w:type="pct"/>
          </w:tcPr>
          <w:p w14:paraId="473BCC0C" w14:textId="21DF873F"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Promote various Clean Cooking Technologies (CCT). N/S</w:t>
            </w:r>
          </w:p>
          <w:p w14:paraId="5C0FB7B5" w14:textId="1672B463"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Roll out Successful Pilot Projects N/M</w:t>
            </w:r>
          </w:p>
          <w:p w14:paraId="6207824E" w14:textId="276782B4"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Establish Quality Control and Standards for Clean Cooking Equipment C/S</w:t>
            </w:r>
          </w:p>
          <w:p w14:paraId="551EC539" w14:textId="3A5AEAE6"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Implement Tax Incentives for Clean Cooking Technologies N/S</w:t>
            </w:r>
          </w:p>
          <w:p w14:paraId="18810236" w14:textId="4E884937"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Launch Awareness Campaigns for New Technologies N/S</w:t>
            </w:r>
          </w:p>
          <w:p w14:paraId="283E97AD" w14:textId="52DAE24D"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Create a Clean Cooking Technology Certification Program R/M</w:t>
            </w:r>
          </w:p>
          <w:p w14:paraId="044D9B52" w14:textId="5A3AFA85"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lastRenderedPageBreak/>
              <w:t>Implement Consumer Financing Programs for Innovative Clean Cooking Technologies N/M</w:t>
            </w:r>
          </w:p>
          <w:p w14:paraId="304C599A" w14:textId="40741533"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Develop Cookbooks for Traditional Recipes Using Advanced Cooking Technologies N/S</w:t>
            </w:r>
          </w:p>
          <w:p w14:paraId="7C16475A" w14:textId="73A184F1" w:rsidR="00793369" w:rsidRPr="00662906" w:rsidRDefault="00793369" w:rsidP="005C5546">
            <w:pPr>
              <w:pStyle w:val="ListParagraph"/>
              <w:numPr>
                <w:ilvl w:val="0"/>
                <w:numId w:val="215"/>
              </w:numPr>
              <w:spacing w:before="0" w:after="0" w:line="240" w:lineRule="auto"/>
              <w:rPr>
                <w:rFonts w:cs="Arial"/>
                <w:sz w:val="16"/>
                <w:szCs w:val="16"/>
              </w:rPr>
            </w:pPr>
            <w:r w:rsidRPr="00662906">
              <w:rPr>
                <w:rFonts w:cs="Arial"/>
                <w:sz w:val="16"/>
                <w:szCs w:val="16"/>
              </w:rPr>
              <w:t>Deployment of Clean Cooking Solutions in Institutional Kitchens N/S</w:t>
            </w:r>
          </w:p>
        </w:tc>
      </w:tr>
      <w:tr w:rsidR="00793369" w:rsidRPr="00662906" w14:paraId="62341FC4" w14:textId="77777777" w:rsidTr="00B20027">
        <w:trPr>
          <w:trHeight w:val="540"/>
        </w:trPr>
        <w:tc>
          <w:tcPr>
            <w:tcW w:w="288" w:type="pct"/>
            <w:vMerge/>
            <w:vAlign w:val="center"/>
          </w:tcPr>
          <w:p w14:paraId="3A5B9D19"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67A68DD7" w14:textId="77777777" w:rsidR="00793369" w:rsidRPr="00662906" w:rsidRDefault="00793369" w:rsidP="00B20027">
            <w:pPr>
              <w:spacing w:before="0" w:after="0" w:line="240" w:lineRule="auto"/>
              <w:jc w:val="center"/>
              <w:rPr>
                <w:rFonts w:cs="Arial"/>
                <w:sz w:val="16"/>
                <w:szCs w:val="16"/>
              </w:rPr>
            </w:pPr>
          </w:p>
        </w:tc>
        <w:tc>
          <w:tcPr>
            <w:tcW w:w="613" w:type="pct"/>
            <w:vMerge/>
          </w:tcPr>
          <w:p w14:paraId="7B9C4F10" w14:textId="77777777" w:rsidR="00793369" w:rsidRPr="00662906" w:rsidRDefault="00793369" w:rsidP="00B73071">
            <w:pPr>
              <w:spacing w:before="0" w:after="0" w:line="240" w:lineRule="auto"/>
              <w:rPr>
                <w:rFonts w:cs="Arial"/>
                <w:sz w:val="16"/>
                <w:szCs w:val="16"/>
              </w:rPr>
            </w:pPr>
          </w:p>
        </w:tc>
        <w:tc>
          <w:tcPr>
            <w:tcW w:w="936" w:type="pct"/>
          </w:tcPr>
          <w:p w14:paraId="36921079" w14:textId="07DDD593"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7.2: Enhancing Market Structures and Supply Chains: </w:t>
            </w:r>
          </w:p>
        </w:tc>
        <w:tc>
          <w:tcPr>
            <w:tcW w:w="2711" w:type="pct"/>
          </w:tcPr>
          <w:p w14:paraId="1C8ECEF2" w14:textId="339AE5C2"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Implement Policy Frameworks to Support Local Manufacturing N/S</w:t>
            </w:r>
          </w:p>
          <w:p w14:paraId="2DA5DD5A" w14:textId="5986603E"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Facilitate Cross-border Clean Cooking Equipment Trade Agreements under AfCFTA C/S</w:t>
            </w:r>
          </w:p>
          <w:p w14:paraId="4F298B74" w14:textId="6DCD4881"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Create Incentive Schemes for Local Production N/M</w:t>
            </w:r>
          </w:p>
          <w:p w14:paraId="07D7BF1B" w14:textId="3C2F849D"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Enhance Electricity Distribution Networks for Rural Access N/S</w:t>
            </w:r>
          </w:p>
          <w:p w14:paraId="7ACB19BD" w14:textId="2F22EA27"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Subsidize Transportation Costs for Clean Cooking Solutions to Remote Areas N/S</w:t>
            </w:r>
          </w:p>
          <w:p w14:paraId="5CA76AEF" w14:textId="4F6DD4D7"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Coordinate Continental Clean Cooking Exhibitions and Trade Shows</w:t>
            </w:r>
            <w:r w:rsidR="00AE7D1F" w:rsidRPr="00662906">
              <w:rPr>
                <w:rFonts w:cs="Arial"/>
                <w:sz w:val="16"/>
                <w:szCs w:val="16"/>
              </w:rPr>
              <w:t xml:space="preserve"> </w:t>
            </w:r>
            <w:r w:rsidRPr="00662906">
              <w:rPr>
                <w:rFonts w:cs="Arial"/>
                <w:sz w:val="16"/>
                <w:szCs w:val="16"/>
              </w:rPr>
              <w:t>C/M</w:t>
            </w:r>
          </w:p>
          <w:p w14:paraId="1DBE35A8" w14:textId="438B180B"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Develop Online Platforms for Clean Cooking Technologies</w:t>
            </w:r>
            <w:r w:rsidR="00AE7D1F" w:rsidRPr="00662906">
              <w:rPr>
                <w:rFonts w:cs="Arial"/>
                <w:sz w:val="16"/>
                <w:szCs w:val="16"/>
              </w:rPr>
              <w:t xml:space="preserve"> </w:t>
            </w:r>
            <w:r w:rsidRPr="00662906">
              <w:rPr>
                <w:rFonts w:cs="Arial"/>
                <w:sz w:val="16"/>
                <w:szCs w:val="16"/>
              </w:rPr>
              <w:t>N/S</w:t>
            </w:r>
          </w:p>
          <w:p w14:paraId="251D37EA" w14:textId="4A2632F7"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Promote Investment in Clean Cooking Technology Startups</w:t>
            </w:r>
            <w:r w:rsidR="00AE7D1F" w:rsidRPr="00662906">
              <w:rPr>
                <w:rFonts w:cs="Arial"/>
                <w:sz w:val="16"/>
                <w:szCs w:val="16"/>
              </w:rPr>
              <w:t xml:space="preserve"> </w:t>
            </w:r>
            <w:r w:rsidRPr="00662906">
              <w:rPr>
                <w:rFonts w:cs="Arial"/>
                <w:sz w:val="16"/>
                <w:szCs w:val="16"/>
              </w:rPr>
              <w:t>N/M</w:t>
            </w:r>
          </w:p>
          <w:p w14:paraId="6CF6C33A" w14:textId="07349AA5"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Implement Targeted Subsidies for Critical Supply Chain Components N/S</w:t>
            </w:r>
          </w:p>
          <w:p w14:paraId="51AC8340" w14:textId="2045AA14" w:rsidR="00793369" w:rsidRPr="00662906" w:rsidRDefault="00793369" w:rsidP="005C5546">
            <w:pPr>
              <w:pStyle w:val="ListParagraph"/>
              <w:numPr>
                <w:ilvl w:val="0"/>
                <w:numId w:val="216"/>
              </w:numPr>
              <w:spacing w:before="0" w:after="0" w:line="240" w:lineRule="auto"/>
              <w:rPr>
                <w:rFonts w:cs="Arial"/>
                <w:sz w:val="16"/>
                <w:szCs w:val="16"/>
              </w:rPr>
            </w:pPr>
            <w:r w:rsidRPr="00662906">
              <w:rPr>
                <w:rFonts w:cs="Arial"/>
                <w:sz w:val="16"/>
                <w:szCs w:val="16"/>
              </w:rPr>
              <w:t>Establish Sustainable Supply Chains for Communal Cooking Technologies R/M</w:t>
            </w:r>
          </w:p>
        </w:tc>
      </w:tr>
      <w:tr w:rsidR="00793369" w:rsidRPr="00662906" w14:paraId="4AEDA877" w14:textId="77777777" w:rsidTr="00B20027">
        <w:trPr>
          <w:trHeight w:val="540"/>
        </w:trPr>
        <w:tc>
          <w:tcPr>
            <w:tcW w:w="288" w:type="pct"/>
            <w:vMerge/>
            <w:vAlign w:val="center"/>
          </w:tcPr>
          <w:p w14:paraId="04B3832A"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75BB9761" w14:textId="77777777" w:rsidR="00793369" w:rsidRPr="00662906" w:rsidRDefault="00793369" w:rsidP="00B20027">
            <w:pPr>
              <w:spacing w:before="0" w:after="0" w:line="240" w:lineRule="auto"/>
              <w:jc w:val="center"/>
              <w:rPr>
                <w:rFonts w:cs="Arial"/>
                <w:sz w:val="16"/>
                <w:szCs w:val="16"/>
              </w:rPr>
            </w:pPr>
          </w:p>
        </w:tc>
        <w:tc>
          <w:tcPr>
            <w:tcW w:w="613" w:type="pct"/>
            <w:vMerge/>
          </w:tcPr>
          <w:p w14:paraId="38AB5C20" w14:textId="77777777" w:rsidR="00793369" w:rsidRPr="00662906" w:rsidRDefault="00793369" w:rsidP="00B73071">
            <w:pPr>
              <w:spacing w:before="0" w:after="0" w:line="240" w:lineRule="auto"/>
              <w:rPr>
                <w:rFonts w:cs="Arial"/>
                <w:sz w:val="16"/>
                <w:szCs w:val="16"/>
              </w:rPr>
            </w:pPr>
          </w:p>
        </w:tc>
        <w:tc>
          <w:tcPr>
            <w:tcW w:w="936" w:type="pct"/>
          </w:tcPr>
          <w:p w14:paraId="20FA0314" w14:textId="77777777" w:rsidR="00793369" w:rsidRPr="00662906" w:rsidRDefault="00793369" w:rsidP="00B73071">
            <w:pPr>
              <w:spacing w:before="0" w:after="0" w:line="240" w:lineRule="auto"/>
              <w:rPr>
                <w:rFonts w:cs="Arial"/>
                <w:sz w:val="16"/>
                <w:szCs w:val="16"/>
              </w:rPr>
            </w:pPr>
            <w:r w:rsidRPr="00662906">
              <w:rPr>
                <w:rFonts w:cs="Arial"/>
                <w:sz w:val="16"/>
                <w:szCs w:val="16"/>
              </w:rPr>
              <w:t xml:space="preserve">Strategic Intervention 7.3: Policy Development and Regulatory Support </w:t>
            </w:r>
          </w:p>
        </w:tc>
        <w:tc>
          <w:tcPr>
            <w:tcW w:w="2711" w:type="pct"/>
          </w:tcPr>
          <w:p w14:paraId="3254ECBC" w14:textId="25A89FA8"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Development of a National Strategy on Clean Cooking N/S</w:t>
            </w:r>
          </w:p>
          <w:p w14:paraId="7F0AB34C" w14:textId="4BFDC971"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Development of Guidelines on Clean Cooking Strategy Development and Link with Available Financing C/S</w:t>
            </w:r>
          </w:p>
          <w:p w14:paraId="588D63FE" w14:textId="61D698CA"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Implement Tax Breaks and Subsidies for Clean Cooking Equipment N/M</w:t>
            </w:r>
          </w:p>
          <w:p w14:paraId="4341EB01" w14:textId="08DDEE12"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Coordinate with International Bodies for Policy Alignment C/S-L</w:t>
            </w:r>
          </w:p>
          <w:p w14:paraId="52E15623" w14:textId="1B3511D1"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Facilitate Access to International Clean Cooking Funds N/S</w:t>
            </w:r>
          </w:p>
          <w:p w14:paraId="29B24F36" w14:textId="3E627052"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Develop Impact Assessment Studies for Clean Cooking Policies N/M</w:t>
            </w:r>
          </w:p>
          <w:p w14:paraId="3895A3EF" w14:textId="65058995"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Establish Clean Cooking Advocacy Groups R/S</w:t>
            </w:r>
          </w:p>
          <w:p w14:paraId="5FBECF14" w14:textId="51C55BFE"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Strengthen Legal Frameworks for Clean Cooking Implementations N/M</w:t>
            </w:r>
          </w:p>
          <w:p w14:paraId="361B2881" w14:textId="5A1BEBF0" w:rsidR="00793369" w:rsidRPr="00662906" w:rsidRDefault="00793369" w:rsidP="005C5546">
            <w:pPr>
              <w:pStyle w:val="ListParagraph"/>
              <w:numPr>
                <w:ilvl w:val="0"/>
                <w:numId w:val="217"/>
              </w:numPr>
              <w:spacing w:before="0" w:after="0" w:line="240" w:lineRule="auto"/>
              <w:rPr>
                <w:rFonts w:cs="Arial"/>
                <w:sz w:val="16"/>
                <w:szCs w:val="16"/>
              </w:rPr>
            </w:pPr>
            <w:r w:rsidRPr="00662906">
              <w:rPr>
                <w:rFonts w:cs="Arial"/>
                <w:sz w:val="16"/>
                <w:szCs w:val="16"/>
              </w:rPr>
              <w:t>Foster Inter-regional Collaboration on Clean Cooking Initiatives C/M</w:t>
            </w:r>
          </w:p>
        </w:tc>
      </w:tr>
      <w:tr w:rsidR="00793369" w:rsidRPr="00662906" w14:paraId="7DF7B4FF" w14:textId="77777777" w:rsidTr="00B20027">
        <w:trPr>
          <w:trHeight w:val="540"/>
        </w:trPr>
        <w:tc>
          <w:tcPr>
            <w:tcW w:w="288" w:type="pct"/>
            <w:vMerge/>
            <w:vAlign w:val="center"/>
          </w:tcPr>
          <w:p w14:paraId="1A64C1A3" w14:textId="77777777" w:rsidR="00793369" w:rsidRPr="00662906" w:rsidRDefault="00793369" w:rsidP="00DB46D5">
            <w:pPr>
              <w:spacing w:before="0" w:after="0" w:line="240" w:lineRule="auto"/>
              <w:jc w:val="center"/>
              <w:rPr>
                <w:rFonts w:cs="Arial"/>
                <w:sz w:val="16"/>
                <w:szCs w:val="16"/>
              </w:rPr>
            </w:pPr>
          </w:p>
        </w:tc>
        <w:tc>
          <w:tcPr>
            <w:tcW w:w="452" w:type="pct"/>
            <w:vMerge/>
            <w:vAlign w:val="center"/>
          </w:tcPr>
          <w:p w14:paraId="26654CFA" w14:textId="77777777" w:rsidR="00793369" w:rsidRPr="00662906" w:rsidRDefault="00793369" w:rsidP="00B20027">
            <w:pPr>
              <w:spacing w:before="0" w:after="0" w:line="240" w:lineRule="auto"/>
              <w:jc w:val="center"/>
              <w:rPr>
                <w:rFonts w:cs="Arial"/>
                <w:sz w:val="16"/>
                <w:szCs w:val="16"/>
              </w:rPr>
            </w:pPr>
          </w:p>
        </w:tc>
        <w:tc>
          <w:tcPr>
            <w:tcW w:w="613" w:type="pct"/>
            <w:vMerge/>
          </w:tcPr>
          <w:p w14:paraId="1746E698" w14:textId="77777777" w:rsidR="00793369" w:rsidRPr="00662906" w:rsidRDefault="00793369" w:rsidP="00B73071">
            <w:pPr>
              <w:spacing w:before="0" w:after="0" w:line="240" w:lineRule="auto"/>
              <w:rPr>
                <w:rFonts w:cs="Arial"/>
                <w:sz w:val="16"/>
                <w:szCs w:val="16"/>
              </w:rPr>
            </w:pPr>
          </w:p>
        </w:tc>
        <w:tc>
          <w:tcPr>
            <w:tcW w:w="936" w:type="pct"/>
          </w:tcPr>
          <w:p w14:paraId="16090B8B" w14:textId="77777777" w:rsidR="00793369" w:rsidRPr="00662906" w:rsidRDefault="00793369" w:rsidP="00B73071">
            <w:pPr>
              <w:spacing w:before="0" w:after="0" w:line="240" w:lineRule="auto"/>
              <w:rPr>
                <w:rFonts w:cs="Arial"/>
                <w:sz w:val="16"/>
                <w:szCs w:val="16"/>
              </w:rPr>
            </w:pPr>
            <w:r w:rsidRPr="00662906">
              <w:rPr>
                <w:rFonts w:cs="Arial"/>
                <w:sz w:val="16"/>
                <w:szCs w:val="16"/>
              </w:rPr>
              <w:t>Strategic Intervention 7.4: Public Awareness Campaigns and Education</w:t>
            </w:r>
          </w:p>
        </w:tc>
        <w:tc>
          <w:tcPr>
            <w:tcW w:w="2711" w:type="pct"/>
          </w:tcPr>
          <w:p w14:paraId="740CA16B" w14:textId="6C206F60"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Launch Continental Clean Cooking Awareness Campaign C/S</w:t>
            </w:r>
          </w:p>
          <w:p w14:paraId="2399827B" w14:textId="2CDFB1DC"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Develop Educational Programs for Schools and Universities N/M</w:t>
            </w:r>
          </w:p>
          <w:p w14:paraId="532F5EDB" w14:textId="3574EF6C"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Organize Community Workshops on the Benefits of Clean Cooking N/S</w:t>
            </w:r>
          </w:p>
          <w:p w14:paraId="5B56DDE9" w14:textId="60434CF2"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Create a Digital Campaign for Clean Cooking Adoption N/S</w:t>
            </w:r>
          </w:p>
          <w:p w14:paraId="2E8C1221" w14:textId="418C2CE5"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Implement Regional Exhibitions and Clean Cooking Fairs R/S-M</w:t>
            </w:r>
          </w:p>
          <w:p w14:paraId="4EA057B3" w14:textId="40516FC8"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Facilitate Training Programs for Artisans and Local Manufacturers N/S-L</w:t>
            </w:r>
          </w:p>
          <w:p w14:paraId="78515474" w14:textId="43393C45"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Coordinate with Religious and Traditional Leaders R/S-L</w:t>
            </w:r>
          </w:p>
          <w:p w14:paraId="6321CB97" w14:textId="2E09E3B5"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Produce and Distribute Clean Cooking Educational Material N/S-L</w:t>
            </w:r>
          </w:p>
          <w:p w14:paraId="228C5DD0" w14:textId="371EA736" w:rsidR="00793369" w:rsidRPr="00662906" w:rsidRDefault="00793369" w:rsidP="005C5546">
            <w:pPr>
              <w:pStyle w:val="ListParagraph"/>
              <w:numPr>
                <w:ilvl w:val="0"/>
                <w:numId w:val="218"/>
              </w:numPr>
              <w:spacing w:before="0" w:after="0" w:line="240" w:lineRule="auto"/>
              <w:rPr>
                <w:rFonts w:cs="Arial"/>
                <w:sz w:val="16"/>
                <w:szCs w:val="16"/>
              </w:rPr>
            </w:pPr>
            <w:r w:rsidRPr="00662906">
              <w:rPr>
                <w:rFonts w:cs="Arial"/>
                <w:sz w:val="16"/>
                <w:szCs w:val="16"/>
              </w:rPr>
              <w:t>Organize Roadshows in Rural and Urban Areas N/S</w:t>
            </w:r>
          </w:p>
        </w:tc>
      </w:tr>
    </w:tbl>
    <w:p w14:paraId="2785BD6E"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3C0D490" w14:textId="3EE3D9CC" w:rsidR="00DD7FEA" w:rsidRPr="00662906" w:rsidRDefault="00DD7FEA" w:rsidP="00DD7FEA"/>
    <w:p w14:paraId="4A0BB2CD" w14:textId="77777777" w:rsidR="00793369" w:rsidRPr="00662906" w:rsidRDefault="00793369" w:rsidP="00DD7FEA"/>
    <w:p w14:paraId="11F87A7D" w14:textId="77777777" w:rsidR="00793369" w:rsidRPr="00662906" w:rsidRDefault="00793369" w:rsidP="00DD7FEA"/>
    <w:p w14:paraId="659BFEA5" w14:textId="77777777" w:rsidR="00793369" w:rsidRPr="00662906" w:rsidRDefault="00793369" w:rsidP="00DD7FEA">
      <w:pPr>
        <w:sectPr w:rsidR="00793369" w:rsidRPr="00662906" w:rsidSect="0098698D">
          <w:pgSz w:w="16838" w:h="11906" w:orient="landscape"/>
          <w:pgMar w:top="1440" w:right="1440" w:bottom="1440" w:left="1440" w:header="720" w:footer="720" w:gutter="0"/>
          <w:pgNumType w:fmt="lowerRoman"/>
          <w:cols w:space="720"/>
          <w:titlePg/>
          <w:docGrid w:linePitch="360"/>
        </w:sectPr>
      </w:pPr>
    </w:p>
    <w:p w14:paraId="25B44C69" w14:textId="161E39FC" w:rsidR="00DD7FEA" w:rsidRPr="00662906" w:rsidRDefault="00DD7FEA" w:rsidP="00B20027">
      <w:r w:rsidRPr="00662906">
        <w:lastRenderedPageBreak/>
        <w:t xml:space="preserve">The ETSAP is a continental Framework that has energy transition actions that will be implemented at </w:t>
      </w:r>
      <w:r w:rsidR="00167F0C" w:rsidRPr="00662906">
        <w:t xml:space="preserve">national, regional and continental </w:t>
      </w:r>
      <w:r w:rsidRPr="00662906">
        <w:t>level and has an implementation timeframe from 2025 to 2063, with short term of 2025 to 2030, medium term 2031-2040 and long term 2041-2063.</w:t>
      </w:r>
    </w:p>
    <w:p w14:paraId="10E43116" w14:textId="1459D5A9" w:rsidR="00DD7FEA" w:rsidRPr="00662906" w:rsidRDefault="00DD7FEA" w:rsidP="00B20027">
      <w:r w:rsidRPr="00662906">
        <w:t>The Strategic Actions included are of “soft” nature to pave the way for technical measures that can be implemented to decarbonize the energy sector.</w:t>
      </w:r>
      <w:r w:rsidR="000F4509" w:rsidRPr="00662906">
        <w:t xml:space="preserve"> </w:t>
      </w:r>
      <w:r w:rsidRPr="00662906">
        <w:t>They largely include tracking investments and decarbonization, loss reduction, developing master plans, strategies, market assessment, capacity building, awareness building and regulatory frameworks. It is hence not feasible to determine the decarbonization effect of each of the Actions of this nature. The tracking of implementation of the technical measures like investments in RE and EE will reflect response of some of these ‘soft’ measures by the markets and industries.</w:t>
      </w:r>
    </w:p>
    <w:p w14:paraId="1D3BE3C6" w14:textId="77777777" w:rsidR="00DD7FEA" w:rsidRPr="00662906" w:rsidRDefault="00DD7FEA" w:rsidP="00B20027">
      <w:r w:rsidRPr="00662906">
        <w:t>Relevant Cross cutting (standardization, inclusivity- gender, youth and policies), and cross sectoral issues (across the subsectors mentioned) related to implementation of the ETSAP are presented and some of them require collective planning and resource mobilization by the various sectors</w:t>
      </w:r>
    </w:p>
    <w:p w14:paraId="4CCF5317" w14:textId="77777777" w:rsidR="00DD7FEA" w:rsidRPr="00662906" w:rsidRDefault="00DD7FEA" w:rsidP="00B20027">
      <w:r w:rsidRPr="00662906">
        <w:t>A summary of the Horizontal planning Actions, Cross cutting and Cross sectoral Actions is presented in Table ES 2 below.</w:t>
      </w:r>
    </w:p>
    <w:p w14:paraId="48B36901" w14:textId="24192A17" w:rsidR="00DD7FEA" w:rsidRPr="00662906" w:rsidRDefault="000F4509" w:rsidP="000F4509">
      <w:pPr>
        <w:pStyle w:val="Caption"/>
        <w:rPr>
          <w:i w:val="0"/>
          <w:iCs w:val="0"/>
        </w:rPr>
      </w:pPr>
      <w:bookmarkStart w:id="51" w:name="_Toc197433886"/>
      <w:r w:rsidRPr="00662906">
        <w:t xml:space="preserve">Table ES </w:t>
      </w:r>
      <w:fldSimple w:instr=" SEQ Table \* ARABIC ">
        <w:r w:rsidR="00610F61">
          <w:rPr>
            <w:noProof/>
          </w:rPr>
          <w:t>2</w:t>
        </w:r>
      </w:fldSimple>
      <w:r w:rsidR="00835677" w:rsidRPr="00662906">
        <w:t xml:space="preserve">: </w:t>
      </w:r>
      <w:r w:rsidR="00DD7FEA" w:rsidRPr="00662906">
        <w:t>Summary of Horizontal Planning, Cross Cutting and Cross sectoral Actions.</w:t>
      </w:r>
      <w:bookmarkEnd w:id="51"/>
    </w:p>
    <w:tbl>
      <w:tblPr>
        <w:tblStyle w:val="TableGrid"/>
        <w:tblW w:w="5000" w:type="pct"/>
        <w:tblBorders>
          <w:top w:val="single" w:sz="4" w:space="0" w:color="9F2241" w:themeColor="background1"/>
          <w:left w:val="single" w:sz="4" w:space="0" w:color="9F2241" w:themeColor="background1"/>
          <w:bottom w:val="single" w:sz="4" w:space="0" w:color="9F2241" w:themeColor="background1"/>
          <w:right w:val="single" w:sz="4" w:space="0" w:color="9F2241" w:themeColor="background1"/>
          <w:insideH w:val="single" w:sz="4" w:space="0" w:color="9F2241" w:themeColor="background1"/>
          <w:insideV w:val="single" w:sz="4" w:space="0" w:color="9F2241" w:themeColor="background1"/>
        </w:tblBorders>
        <w:tblLook w:val="06A0" w:firstRow="1" w:lastRow="0" w:firstColumn="1" w:lastColumn="0" w:noHBand="1" w:noVBand="1"/>
      </w:tblPr>
      <w:tblGrid>
        <w:gridCol w:w="1794"/>
        <w:gridCol w:w="25"/>
        <w:gridCol w:w="2586"/>
        <w:gridCol w:w="4611"/>
      </w:tblGrid>
      <w:tr w:rsidR="00DD7FEA" w:rsidRPr="00662906" w14:paraId="57FC0E55" w14:textId="77777777" w:rsidTr="00E7745C">
        <w:trPr>
          <w:trHeight w:val="300"/>
        </w:trPr>
        <w:tc>
          <w:tcPr>
            <w:tcW w:w="1009" w:type="pct"/>
            <w:gridSpan w:val="2"/>
            <w:vMerge w:val="restart"/>
            <w:shd w:val="clear" w:color="auto" w:fill="B4A269" w:themeFill="text2"/>
            <w:vAlign w:val="center"/>
          </w:tcPr>
          <w:p w14:paraId="25D0286D" w14:textId="77777777" w:rsidR="00DD7FEA" w:rsidRPr="00662906" w:rsidRDefault="00DD7FEA" w:rsidP="000F4509">
            <w:pPr>
              <w:spacing w:line="259" w:lineRule="auto"/>
              <w:jc w:val="center"/>
              <w:rPr>
                <w:color w:val="FFFFFF" w:themeColor="background2"/>
                <w:sz w:val="18"/>
                <w:szCs w:val="18"/>
              </w:rPr>
            </w:pPr>
            <w:r w:rsidRPr="00662906">
              <w:rPr>
                <w:color w:val="FFFFFF" w:themeColor="background2"/>
                <w:sz w:val="18"/>
                <w:szCs w:val="18"/>
              </w:rPr>
              <w:t>Horizontal Planning</w:t>
            </w:r>
          </w:p>
        </w:tc>
        <w:tc>
          <w:tcPr>
            <w:tcW w:w="1434" w:type="pct"/>
            <w:shd w:val="clear" w:color="auto" w:fill="B4A269" w:themeFill="text2"/>
            <w:vAlign w:val="center"/>
          </w:tcPr>
          <w:p w14:paraId="3DABA800" w14:textId="77777777" w:rsidR="00DD7FEA" w:rsidRPr="00662906" w:rsidRDefault="00DD7FEA" w:rsidP="000F4509">
            <w:pPr>
              <w:spacing w:line="259" w:lineRule="auto"/>
              <w:jc w:val="center"/>
              <w:rPr>
                <w:b/>
                <w:bCs/>
                <w:i/>
                <w:iCs/>
                <w:color w:val="FFFFFF" w:themeColor="background2"/>
                <w:sz w:val="18"/>
                <w:szCs w:val="18"/>
              </w:rPr>
            </w:pPr>
            <w:r w:rsidRPr="00662906">
              <w:rPr>
                <w:b/>
                <w:bCs/>
                <w:i/>
                <w:iCs/>
                <w:color w:val="FFFFFF" w:themeColor="background2"/>
                <w:sz w:val="18"/>
                <w:szCs w:val="18"/>
              </w:rPr>
              <w:t>Strategic Intervention</w:t>
            </w:r>
          </w:p>
        </w:tc>
        <w:tc>
          <w:tcPr>
            <w:tcW w:w="2557" w:type="pct"/>
            <w:shd w:val="clear" w:color="auto" w:fill="B4A269" w:themeFill="text2"/>
            <w:vAlign w:val="center"/>
          </w:tcPr>
          <w:p w14:paraId="7D58EFFF" w14:textId="77777777" w:rsidR="00DD7FEA" w:rsidRPr="00662906" w:rsidRDefault="00DD7FEA" w:rsidP="000F4509">
            <w:pPr>
              <w:spacing w:line="259" w:lineRule="auto"/>
              <w:jc w:val="center"/>
              <w:rPr>
                <w:b/>
                <w:bCs/>
                <w:color w:val="FFFFFF" w:themeColor="background2"/>
                <w:sz w:val="18"/>
                <w:szCs w:val="18"/>
              </w:rPr>
            </w:pPr>
            <w:r w:rsidRPr="00662906">
              <w:rPr>
                <w:b/>
                <w:bCs/>
                <w:color w:val="FFFFFF" w:themeColor="background2"/>
                <w:sz w:val="18"/>
                <w:szCs w:val="18"/>
              </w:rPr>
              <w:t>Actions</w:t>
            </w:r>
          </w:p>
        </w:tc>
      </w:tr>
      <w:tr w:rsidR="00DD7FEA" w:rsidRPr="00662906" w14:paraId="3C72624F" w14:textId="77777777" w:rsidTr="2D9E25B5">
        <w:trPr>
          <w:trHeight w:val="300"/>
        </w:trPr>
        <w:tc>
          <w:tcPr>
            <w:tcW w:w="1009" w:type="pct"/>
            <w:gridSpan w:val="2"/>
            <w:vMerge/>
            <w:vAlign w:val="center"/>
          </w:tcPr>
          <w:p w14:paraId="7BBEC717" w14:textId="77777777" w:rsidR="00DD7FEA" w:rsidRPr="00662906" w:rsidRDefault="00DD7FEA" w:rsidP="000F4509">
            <w:pPr>
              <w:spacing w:line="259" w:lineRule="auto"/>
              <w:jc w:val="center"/>
              <w:rPr>
                <w:color w:val="FFFFFF" w:themeColor="background2"/>
                <w:sz w:val="18"/>
                <w:szCs w:val="18"/>
              </w:rPr>
            </w:pPr>
          </w:p>
        </w:tc>
        <w:tc>
          <w:tcPr>
            <w:tcW w:w="1434" w:type="pct"/>
            <w:vMerge w:val="restart"/>
            <w:vAlign w:val="center"/>
          </w:tcPr>
          <w:p w14:paraId="60E8B2FE" w14:textId="47948377" w:rsidR="00DD7FEA" w:rsidRPr="00662906" w:rsidRDefault="00DD7FEA" w:rsidP="00DD7FEA">
            <w:pPr>
              <w:spacing w:line="259" w:lineRule="auto"/>
              <w:rPr>
                <w:sz w:val="18"/>
                <w:szCs w:val="18"/>
              </w:rPr>
            </w:pPr>
            <w:r w:rsidRPr="00662906">
              <w:rPr>
                <w:sz w:val="18"/>
                <w:szCs w:val="18"/>
              </w:rPr>
              <w:t xml:space="preserve">Supporting AU-MS to develop their national </w:t>
            </w:r>
            <w:r w:rsidR="00C27B49" w:rsidRPr="00662906">
              <w:rPr>
                <w:sz w:val="18"/>
                <w:szCs w:val="18"/>
              </w:rPr>
              <w:t>Deep Decarbonization Pathways (</w:t>
            </w:r>
            <w:r w:rsidRPr="00662906">
              <w:rPr>
                <w:sz w:val="18"/>
                <w:szCs w:val="18"/>
              </w:rPr>
              <w:t>DDPs</w:t>
            </w:r>
            <w:r w:rsidR="00C27B49" w:rsidRPr="00662906">
              <w:rPr>
                <w:sz w:val="18"/>
                <w:szCs w:val="18"/>
              </w:rPr>
              <w:t>)</w:t>
            </w:r>
          </w:p>
        </w:tc>
        <w:tc>
          <w:tcPr>
            <w:tcW w:w="2557" w:type="pct"/>
          </w:tcPr>
          <w:p w14:paraId="5A279B01" w14:textId="77777777" w:rsidR="00DD7FEA" w:rsidRPr="00662906" w:rsidRDefault="00DD7FEA" w:rsidP="00DD7FEA">
            <w:pPr>
              <w:spacing w:line="259" w:lineRule="auto"/>
              <w:rPr>
                <w:sz w:val="18"/>
                <w:szCs w:val="18"/>
              </w:rPr>
            </w:pPr>
            <w:r w:rsidRPr="00662906">
              <w:rPr>
                <w:sz w:val="18"/>
                <w:szCs w:val="18"/>
              </w:rPr>
              <w:t>Train MS on designing development of DDP and related data collection</w:t>
            </w:r>
          </w:p>
        </w:tc>
      </w:tr>
      <w:tr w:rsidR="00DD7FEA" w:rsidRPr="000561DD" w14:paraId="723B6B3E" w14:textId="77777777" w:rsidTr="2D9E25B5">
        <w:trPr>
          <w:trHeight w:val="300"/>
        </w:trPr>
        <w:tc>
          <w:tcPr>
            <w:tcW w:w="1009" w:type="pct"/>
            <w:gridSpan w:val="2"/>
            <w:vMerge/>
            <w:vAlign w:val="center"/>
          </w:tcPr>
          <w:p w14:paraId="0B324E97" w14:textId="77777777" w:rsidR="00DD7FEA" w:rsidRPr="00662906" w:rsidRDefault="00DD7FEA" w:rsidP="000F4509">
            <w:pPr>
              <w:spacing w:line="259" w:lineRule="auto"/>
              <w:jc w:val="center"/>
              <w:rPr>
                <w:color w:val="FFFFFF" w:themeColor="background2"/>
                <w:sz w:val="18"/>
                <w:szCs w:val="18"/>
              </w:rPr>
            </w:pPr>
          </w:p>
        </w:tc>
        <w:tc>
          <w:tcPr>
            <w:tcW w:w="1434" w:type="pct"/>
            <w:vMerge/>
            <w:vAlign w:val="center"/>
          </w:tcPr>
          <w:p w14:paraId="23FD9AD3" w14:textId="77777777" w:rsidR="00DD7FEA" w:rsidRPr="00662906" w:rsidRDefault="00DD7FEA" w:rsidP="00DD7FEA">
            <w:pPr>
              <w:spacing w:line="259" w:lineRule="auto"/>
              <w:rPr>
                <w:sz w:val="18"/>
                <w:szCs w:val="18"/>
              </w:rPr>
            </w:pPr>
          </w:p>
        </w:tc>
        <w:tc>
          <w:tcPr>
            <w:tcW w:w="2557" w:type="pct"/>
          </w:tcPr>
          <w:p w14:paraId="53294B52" w14:textId="77777777" w:rsidR="00DD7FEA" w:rsidRPr="000561DD" w:rsidRDefault="00DD7FEA" w:rsidP="00DD7FEA">
            <w:pPr>
              <w:spacing w:line="259" w:lineRule="auto"/>
              <w:rPr>
                <w:sz w:val="18"/>
                <w:szCs w:val="18"/>
                <w:lang w:val="it-IT"/>
              </w:rPr>
            </w:pPr>
            <w:r w:rsidRPr="000561DD">
              <w:rPr>
                <w:sz w:val="18"/>
                <w:szCs w:val="18"/>
                <w:lang w:val="it-IT"/>
              </w:rPr>
              <w:t>Train MS on Scenario modelling</w:t>
            </w:r>
          </w:p>
        </w:tc>
      </w:tr>
      <w:tr w:rsidR="00DD7FEA" w:rsidRPr="00662906" w14:paraId="71A6F360" w14:textId="77777777" w:rsidTr="2D9E25B5">
        <w:trPr>
          <w:trHeight w:val="300"/>
        </w:trPr>
        <w:tc>
          <w:tcPr>
            <w:tcW w:w="1009" w:type="pct"/>
            <w:gridSpan w:val="2"/>
            <w:vMerge/>
            <w:vAlign w:val="center"/>
          </w:tcPr>
          <w:p w14:paraId="6C8E1D49" w14:textId="77777777" w:rsidR="00DD7FEA" w:rsidRPr="000561DD" w:rsidRDefault="00DD7FEA" w:rsidP="000F4509">
            <w:pPr>
              <w:spacing w:line="259" w:lineRule="auto"/>
              <w:jc w:val="center"/>
              <w:rPr>
                <w:color w:val="FFFFFF" w:themeColor="background2"/>
                <w:sz w:val="18"/>
                <w:szCs w:val="18"/>
                <w:lang w:val="it-IT"/>
              </w:rPr>
            </w:pPr>
          </w:p>
        </w:tc>
        <w:tc>
          <w:tcPr>
            <w:tcW w:w="1434" w:type="pct"/>
            <w:vMerge w:val="restart"/>
            <w:vAlign w:val="center"/>
          </w:tcPr>
          <w:p w14:paraId="23066BCA" w14:textId="6D688406" w:rsidR="00DD7FEA" w:rsidRPr="00662906" w:rsidRDefault="0BB4D55B" w:rsidP="00DD7FEA">
            <w:pPr>
              <w:spacing w:line="259" w:lineRule="auto"/>
              <w:rPr>
                <w:sz w:val="18"/>
                <w:szCs w:val="18"/>
              </w:rPr>
            </w:pPr>
            <w:r w:rsidRPr="00662906">
              <w:rPr>
                <w:sz w:val="18"/>
                <w:szCs w:val="18"/>
              </w:rPr>
              <w:t>Energy Transition Information system</w:t>
            </w:r>
            <w:r w:rsidR="63395D0D" w:rsidRPr="00662906">
              <w:rPr>
                <w:sz w:val="18"/>
                <w:szCs w:val="18"/>
              </w:rPr>
              <w:t xml:space="preserve"> and Planning</w:t>
            </w:r>
          </w:p>
          <w:p w14:paraId="6CA8A455" w14:textId="77777777" w:rsidR="00DD7FEA" w:rsidRPr="00662906" w:rsidRDefault="00DD7FEA" w:rsidP="00DD7FEA">
            <w:pPr>
              <w:spacing w:line="259" w:lineRule="auto"/>
              <w:rPr>
                <w:sz w:val="18"/>
                <w:szCs w:val="18"/>
              </w:rPr>
            </w:pPr>
          </w:p>
        </w:tc>
        <w:tc>
          <w:tcPr>
            <w:tcW w:w="2557" w:type="pct"/>
          </w:tcPr>
          <w:p w14:paraId="1CB54864" w14:textId="1BB78169" w:rsidR="00DD7FEA" w:rsidRPr="00662906" w:rsidRDefault="00DD7FEA" w:rsidP="00DD7FEA">
            <w:pPr>
              <w:spacing w:line="259" w:lineRule="auto"/>
              <w:rPr>
                <w:sz w:val="18"/>
                <w:szCs w:val="18"/>
              </w:rPr>
            </w:pPr>
            <w:r w:rsidRPr="00662906">
              <w:rPr>
                <w:sz w:val="18"/>
                <w:szCs w:val="18"/>
              </w:rPr>
              <w:t xml:space="preserve">Develop a check list of data sets used for </w:t>
            </w:r>
            <w:r w:rsidR="00C27B49" w:rsidRPr="00662906">
              <w:rPr>
                <w:sz w:val="18"/>
                <w:szCs w:val="18"/>
              </w:rPr>
              <w:t>Energy Transition (</w:t>
            </w:r>
            <w:r w:rsidRPr="00662906">
              <w:rPr>
                <w:sz w:val="18"/>
                <w:szCs w:val="18"/>
              </w:rPr>
              <w:t>ET</w:t>
            </w:r>
            <w:r w:rsidR="00C27B49" w:rsidRPr="00662906">
              <w:rPr>
                <w:sz w:val="18"/>
                <w:szCs w:val="18"/>
              </w:rPr>
              <w:t>)</w:t>
            </w:r>
          </w:p>
        </w:tc>
      </w:tr>
      <w:tr w:rsidR="00DD7FEA" w:rsidRPr="00662906" w14:paraId="1EE0CB74" w14:textId="77777777" w:rsidTr="2D9E25B5">
        <w:trPr>
          <w:trHeight w:val="300"/>
        </w:trPr>
        <w:tc>
          <w:tcPr>
            <w:tcW w:w="1009" w:type="pct"/>
            <w:gridSpan w:val="2"/>
            <w:vMerge/>
            <w:vAlign w:val="center"/>
          </w:tcPr>
          <w:p w14:paraId="2CD39BEB" w14:textId="77777777" w:rsidR="00DD7FEA" w:rsidRPr="00662906" w:rsidRDefault="00DD7FEA" w:rsidP="000F4509">
            <w:pPr>
              <w:spacing w:line="259" w:lineRule="auto"/>
              <w:jc w:val="center"/>
              <w:rPr>
                <w:color w:val="FFFFFF" w:themeColor="background2"/>
                <w:sz w:val="18"/>
                <w:szCs w:val="18"/>
              </w:rPr>
            </w:pPr>
          </w:p>
        </w:tc>
        <w:tc>
          <w:tcPr>
            <w:tcW w:w="1434" w:type="pct"/>
            <w:vMerge/>
            <w:vAlign w:val="center"/>
          </w:tcPr>
          <w:p w14:paraId="4D114B88" w14:textId="77777777" w:rsidR="00DD7FEA" w:rsidRPr="00662906" w:rsidRDefault="00DD7FEA" w:rsidP="00DD7FEA">
            <w:pPr>
              <w:spacing w:line="259" w:lineRule="auto"/>
              <w:rPr>
                <w:sz w:val="18"/>
                <w:szCs w:val="18"/>
              </w:rPr>
            </w:pPr>
          </w:p>
        </w:tc>
        <w:tc>
          <w:tcPr>
            <w:tcW w:w="2557" w:type="pct"/>
          </w:tcPr>
          <w:p w14:paraId="2B8B6CFC" w14:textId="77777777" w:rsidR="00DD7FEA" w:rsidRPr="00662906" w:rsidRDefault="00DD7FEA" w:rsidP="00DD7FEA">
            <w:pPr>
              <w:spacing w:line="259" w:lineRule="auto"/>
              <w:rPr>
                <w:sz w:val="18"/>
                <w:szCs w:val="18"/>
              </w:rPr>
            </w:pPr>
            <w:r w:rsidRPr="00662906">
              <w:rPr>
                <w:sz w:val="18"/>
                <w:szCs w:val="18"/>
              </w:rPr>
              <w:t>Create a database for ET information</w:t>
            </w:r>
          </w:p>
        </w:tc>
      </w:tr>
      <w:tr w:rsidR="00DD7FEA" w:rsidRPr="00662906" w14:paraId="226022E4" w14:textId="77777777" w:rsidTr="2D9E25B5">
        <w:trPr>
          <w:trHeight w:val="197"/>
        </w:trPr>
        <w:tc>
          <w:tcPr>
            <w:tcW w:w="1009" w:type="pct"/>
            <w:gridSpan w:val="2"/>
            <w:vMerge/>
            <w:vAlign w:val="center"/>
          </w:tcPr>
          <w:p w14:paraId="30E9D4B1" w14:textId="77777777" w:rsidR="00DD7FEA" w:rsidRPr="00662906" w:rsidRDefault="00DD7FEA" w:rsidP="000F4509">
            <w:pPr>
              <w:spacing w:line="259" w:lineRule="auto"/>
              <w:jc w:val="center"/>
              <w:rPr>
                <w:color w:val="FFFFFF" w:themeColor="background2"/>
                <w:sz w:val="18"/>
                <w:szCs w:val="18"/>
              </w:rPr>
            </w:pPr>
          </w:p>
        </w:tc>
        <w:tc>
          <w:tcPr>
            <w:tcW w:w="1434" w:type="pct"/>
            <w:vMerge/>
            <w:vAlign w:val="center"/>
          </w:tcPr>
          <w:p w14:paraId="159162F2" w14:textId="77777777" w:rsidR="00DD7FEA" w:rsidRPr="00662906" w:rsidRDefault="00DD7FEA" w:rsidP="00DD7FEA">
            <w:pPr>
              <w:spacing w:line="259" w:lineRule="auto"/>
              <w:rPr>
                <w:sz w:val="18"/>
                <w:szCs w:val="18"/>
              </w:rPr>
            </w:pPr>
          </w:p>
        </w:tc>
        <w:tc>
          <w:tcPr>
            <w:tcW w:w="2557" w:type="pct"/>
          </w:tcPr>
          <w:p w14:paraId="058D8CD3" w14:textId="77777777" w:rsidR="00DD7FEA" w:rsidRPr="00662906" w:rsidRDefault="00DD7FEA" w:rsidP="00DD7FEA">
            <w:pPr>
              <w:spacing w:line="259" w:lineRule="auto"/>
              <w:rPr>
                <w:sz w:val="18"/>
                <w:szCs w:val="18"/>
              </w:rPr>
            </w:pPr>
            <w:r w:rsidRPr="00662906">
              <w:rPr>
                <w:sz w:val="18"/>
                <w:szCs w:val="18"/>
              </w:rPr>
              <w:t>Establish a Data collection and processing system</w:t>
            </w:r>
          </w:p>
        </w:tc>
      </w:tr>
      <w:tr w:rsidR="00DD7FEA" w:rsidRPr="00662906" w14:paraId="21C9B197" w14:textId="77777777" w:rsidTr="2D9E25B5">
        <w:trPr>
          <w:trHeight w:val="300"/>
        </w:trPr>
        <w:tc>
          <w:tcPr>
            <w:tcW w:w="1009" w:type="pct"/>
            <w:gridSpan w:val="2"/>
            <w:vMerge/>
            <w:vAlign w:val="center"/>
          </w:tcPr>
          <w:p w14:paraId="5D274D0F" w14:textId="77777777" w:rsidR="00DD7FEA" w:rsidRPr="00662906" w:rsidRDefault="00DD7FEA" w:rsidP="000F4509">
            <w:pPr>
              <w:spacing w:line="259" w:lineRule="auto"/>
              <w:jc w:val="center"/>
              <w:rPr>
                <w:color w:val="FFFFFF" w:themeColor="background2"/>
                <w:sz w:val="18"/>
                <w:szCs w:val="18"/>
              </w:rPr>
            </w:pPr>
          </w:p>
        </w:tc>
        <w:tc>
          <w:tcPr>
            <w:tcW w:w="1434" w:type="pct"/>
            <w:vMerge w:val="restart"/>
            <w:vAlign w:val="center"/>
          </w:tcPr>
          <w:p w14:paraId="47C4162F" w14:textId="77777777" w:rsidR="00DD7FEA" w:rsidRPr="00662906" w:rsidRDefault="00DD7FEA" w:rsidP="00DD7FEA">
            <w:pPr>
              <w:spacing w:line="259" w:lineRule="auto"/>
              <w:rPr>
                <w:sz w:val="18"/>
                <w:szCs w:val="18"/>
              </w:rPr>
            </w:pPr>
            <w:r w:rsidRPr="00662906">
              <w:rPr>
                <w:sz w:val="18"/>
                <w:szCs w:val="18"/>
              </w:rPr>
              <w:t>Capacity Building</w:t>
            </w:r>
          </w:p>
          <w:p w14:paraId="4893EBD4" w14:textId="77777777" w:rsidR="00DD7FEA" w:rsidRPr="00662906" w:rsidRDefault="00DD7FEA" w:rsidP="00DD7FEA">
            <w:pPr>
              <w:spacing w:line="259" w:lineRule="auto"/>
              <w:rPr>
                <w:sz w:val="18"/>
                <w:szCs w:val="18"/>
              </w:rPr>
            </w:pPr>
          </w:p>
        </w:tc>
        <w:tc>
          <w:tcPr>
            <w:tcW w:w="2557" w:type="pct"/>
          </w:tcPr>
          <w:p w14:paraId="6DCB0D4A" w14:textId="77777777" w:rsidR="00DD7FEA" w:rsidRPr="00662906" w:rsidRDefault="00DD7FEA" w:rsidP="00DD7FEA">
            <w:pPr>
              <w:spacing w:line="259" w:lineRule="auto"/>
              <w:rPr>
                <w:sz w:val="18"/>
                <w:szCs w:val="18"/>
              </w:rPr>
            </w:pPr>
            <w:r w:rsidRPr="00662906">
              <w:rPr>
                <w:sz w:val="18"/>
                <w:szCs w:val="18"/>
              </w:rPr>
              <w:t>Capacity Building of continental agencies</w:t>
            </w:r>
          </w:p>
        </w:tc>
      </w:tr>
      <w:tr w:rsidR="00DD7FEA" w:rsidRPr="00662906" w14:paraId="7CD9A379" w14:textId="77777777" w:rsidTr="2D9E25B5">
        <w:trPr>
          <w:trHeight w:val="188"/>
        </w:trPr>
        <w:tc>
          <w:tcPr>
            <w:tcW w:w="1009" w:type="pct"/>
            <w:gridSpan w:val="2"/>
            <w:vMerge/>
            <w:vAlign w:val="center"/>
          </w:tcPr>
          <w:p w14:paraId="51AEC24D" w14:textId="77777777" w:rsidR="00DD7FEA" w:rsidRPr="00662906" w:rsidRDefault="00DD7FEA" w:rsidP="000F4509">
            <w:pPr>
              <w:spacing w:line="259" w:lineRule="auto"/>
              <w:jc w:val="center"/>
              <w:rPr>
                <w:color w:val="FFFFFF" w:themeColor="background2"/>
                <w:sz w:val="18"/>
                <w:szCs w:val="18"/>
              </w:rPr>
            </w:pPr>
          </w:p>
        </w:tc>
        <w:tc>
          <w:tcPr>
            <w:tcW w:w="1434" w:type="pct"/>
            <w:vMerge/>
            <w:vAlign w:val="center"/>
          </w:tcPr>
          <w:p w14:paraId="3860D2A6" w14:textId="77777777" w:rsidR="00DD7FEA" w:rsidRPr="00662906" w:rsidRDefault="00DD7FEA" w:rsidP="00DD7FEA">
            <w:pPr>
              <w:spacing w:line="259" w:lineRule="auto"/>
              <w:rPr>
                <w:sz w:val="18"/>
                <w:szCs w:val="18"/>
              </w:rPr>
            </w:pPr>
          </w:p>
        </w:tc>
        <w:tc>
          <w:tcPr>
            <w:tcW w:w="2557" w:type="pct"/>
          </w:tcPr>
          <w:p w14:paraId="757DF980" w14:textId="77777777" w:rsidR="00DD7FEA" w:rsidRPr="00662906" w:rsidRDefault="00DD7FEA" w:rsidP="00DD7FEA">
            <w:pPr>
              <w:spacing w:line="259" w:lineRule="auto"/>
              <w:rPr>
                <w:sz w:val="18"/>
                <w:szCs w:val="18"/>
              </w:rPr>
            </w:pPr>
            <w:r w:rsidRPr="00662906">
              <w:rPr>
                <w:sz w:val="18"/>
                <w:szCs w:val="18"/>
              </w:rPr>
              <w:t>Capacity building of regional bodies</w:t>
            </w:r>
          </w:p>
        </w:tc>
      </w:tr>
      <w:tr w:rsidR="00DD7FEA" w:rsidRPr="00662906" w14:paraId="29C44470" w14:textId="77777777" w:rsidTr="2D9E25B5">
        <w:trPr>
          <w:trHeight w:val="300"/>
        </w:trPr>
        <w:tc>
          <w:tcPr>
            <w:tcW w:w="1009" w:type="pct"/>
            <w:gridSpan w:val="2"/>
            <w:vMerge/>
            <w:vAlign w:val="center"/>
          </w:tcPr>
          <w:p w14:paraId="44616273" w14:textId="77777777" w:rsidR="00DD7FEA" w:rsidRPr="00662906" w:rsidRDefault="00DD7FEA" w:rsidP="000F4509">
            <w:pPr>
              <w:spacing w:line="259" w:lineRule="auto"/>
              <w:jc w:val="center"/>
              <w:rPr>
                <w:color w:val="FFFFFF" w:themeColor="background2"/>
                <w:sz w:val="18"/>
                <w:szCs w:val="18"/>
              </w:rPr>
            </w:pPr>
          </w:p>
        </w:tc>
        <w:tc>
          <w:tcPr>
            <w:tcW w:w="1434" w:type="pct"/>
            <w:vMerge/>
            <w:vAlign w:val="center"/>
          </w:tcPr>
          <w:p w14:paraId="670ABB9A" w14:textId="77777777" w:rsidR="00DD7FEA" w:rsidRPr="00662906" w:rsidRDefault="00DD7FEA" w:rsidP="00DD7FEA">
            <w:pPr>
              <w:spacing w:line="259" w:lineRule="auto"/>
              <w:rPr>
                <w:sz w:val="18"/>
                <w:szCs w:val="18"/>
              </w:rPr>
            </w:pPr>
          </w:p>
        </w:tc>
        <w:tc>
          <w:tcPr>
            <w:tcW w:w="2557" w:type="pct"/>
          </w:tcPr>
          <w:p w14:paraId="21CBFD61" w14:textId="77777777" w:rsidR="00DD7FEA" w:rsidRPr="00662906" w:rsidRDefault="00DD7FEA" w:rsidP="00DD7FEA">
            <w:pPr>
              <w:spacing w:line="259" w:lineRule="auto"/>
              <w:rPr>
                <w:sz w:val="18"/>
                <w:szCs w:val="18"/>
                <w:u w:val="single"/>
              </w:rPr>
            </w:pPr>
            <w:r w:rsidRPr="00662906">
              <w:rPr>
                <w:sz w:val="18"/>
                <w:szCs w:val="18"/>
                <w:u w:val="single"/>
              </w:rPr>
              <w:t>National Capacity building</w:t>
            </w:r>
          </w:p>
        </w:tc>
      </w:tr>
      <w:tr w:rsidR="00DD7FEA" w:rsidRPr="00662906" w14:paraId="20CE6B11" w14:textId="77777777" w:rsidTr="002A7B9B">
        <w:trPr>
          <w:trHeight w:val="300"/>
        </w:trPr>
        <w:tc>
          <w:tcPr>
            <w:tcW w:w="995" w:type="pct"/>
            <w:vMerge w:val="restart"/>
            <w:shd w:val="clear" w:color="auto" w:fill="B4A269" w:themeFill="text2"/>
            <w:vAlign w:val="center"/>
          </w:tcPr>
          <w:p w14:paraId="43FCDBBB" w14:textId="77777777" w:rsidR="00DD7FEA" w:rsidRPr="00662906" w:rsidRDefault="00DD7FEA" w:rsidP="000F4509">
            <w:pPr>
              <w:spacing w:line="259" w:lineRule="auto"/>
              <w:jc w:val="center"/>
              <w:rPr>
                <w:color w:val="FFFFFF" w:themeColor="background2"/>
                <w:sz w:val="18"/>
                <w:szCs w:val="18"/>
              </w:rPr>
            </w:pPr>
            <w:r w:rsidRPr="00662906">
              <w:rPr>
                <w:color w:val="FFFFFF" w:themeColor="background2"/>
                <w:sz w:val="18"/>
                <w:szCs w:val="18"/>
              </w:rPr>
              <w:t>Cross Cutting</w:t>
            </w:r>
          </w:p>
        </w:tc>
        <w:tc>
          <w:tcPr>
            <w:tcW w:w="1448" w:type="pct"/>
            <w:gridSpan w:val="2"/>
            <w:shd w:val="clear" w:color="auto" w:fill="B4A269" w:themeFill="text2"/>
            <w:vAlign w:val="center"/>
          </w:tcPr>
          <w:p w14:paraId="5686634F" w14:textId="77777777" w:rsidR="00DD7FEA" w:rsidRPr="00662906" w:rsidRDefault="00DD7FEA" w:rsidP="00E7745C">
            <w:pPr>
              <w:spacing w:line="259" w:lineRule="auto"/>
              <w:jc w:val="center"/>
              <w:rPr>
                <w:b/>
                <w:bCs/>
                <w:color w:val="FFFFFF" w:themeColor="background2"/>
                <w:sz w:val="18"/>
                <w:szCs w:val="18"/>
              </w:rPr>
            </w:pPr>
            <w:r w:rsidRPr="00662906">
              <w:rPr>
                <w:b/>
                <w:bCs/>
                <w:color w:val="FFFFFF" w:themeColor="background2"/>
                <w:sz w:val="18"/>
                <w:szCs w:val="18"/>
              </w:rPr>
              <w:t>Strategic Intervention</w:t>
            </w:r>
          </w:p>
        </w:tc>
        <w:tc>
          <w:tcPr>
            <w:tcW w:w="2557" w:type="pct"/>
            <w:shd w:val="clear" w:color="auto" w:fill="B4A269" w:themeFill="text2"/>
            <w:vAlign w:val="center"/>
          </w:tcPr>
          <w:p w14:paraId="7C9CA763" w14:textId="77777777" w:rsidR="00DD7FEA" w:rsidRPr="00662906" w:rsidRDefault="00DD7FEA" w:rsidP="00E7745C">
            <w:pPr>
              <w:spacing w:line="259" w:lineRule="auto"/>
              <w:jc w:val="center"/>
              <w:rPr>
                <w:b/>
                <w:bCs/>
                <w:color w:val="FFFFFF" w:themeColor="background2"/>
                <w:sz w:val="18"/>
                <w:szCs w:val="18"/>
              </w:rPr>
            </w:pPr>
            <w:r w:rsidRPr="00662906">
              <w:rPr>
                <w:b/>
                <w:bCs/>
                <w:color w:val="FFFFFF" w:themeColor="background2"/>
                <w:sz w:val="18"/>
                <w:szCs w:val="18"/>
              </w:rPr>
              <w:t>Action</w:t>
            </w:r>
          </w:p>
        </w:tc>
      </w:tr>
      <w:tr w:rsidR="00DD7FEA" w:rsidRPr="00662906" w14:paraId="1E6BE1F4" w14:textId="77777777" w:rsidTr="002A7B9B">
        <w:trPr>
          <w:trHeight w:val="300"/>
        </w:trPr>
        <w:tc>
          <w:tcPr>
            <w:tcW w:w="995" w:type="pct"/>
            <w:vMerge/>
            <w:vAlign w:val="center"/>
          </w:tcPr>
          <w:p w14:paraId="29EE2672" w14:textId="77777777" w:rsidR="00DD7FEA" w:rsidRPr="00662906" w:rsidRDefault="00DD7FEA" w:rsidP="000F4509">
            <w:pPr>
              <w:spacing w:line="259" w:lineRule="auto"/>
              <w:jc w:val="center"/>
              <w:rPr>
                <w:color w:val="FFFFFF" w:themeColor="background2"/>
                <w:sz w:val="18"/>
                <w:szCs w:val="18"/>
              </w:rPr>
            </w:pPr>
          </w:p>
        </w:tc>
        <w:tc>
          <w:tcPr>
            <w:tcW w:w="1448" w:type="pct"/>
            <w:gridSpan w:val="2"/>
            <w:vMerge w:val="restart"/>
            <w:shd w:val="clear" w:color="auto" w:fill="B4A269" w:themeFill="text2"/>
            <w:vAlign w:val="center"/>
          </w:tcPr>
          <w:p w14:paraId="3045B0E4" w14:textId="77777777" w:rsidR="00DD7FEA" w:rsidRPr="00662906" w:rsidRDefault="00DD7FEA" w:rsidP="000F4509">
            <w:pPr>
              <w:spacing w:line="259" w:lineRule="auto"/>
              <w:jc w:val="center"/>
              <w:rPr>
                <w:color w:val="FFFFFF" w:themeColor="background2"/>
                <w:sz w:val="18"/>
                <w:szCs w:val="18"/>
              </w:rPr>
            </w:pPr>
            <w:r w:rsidRPr="00662906">
              <w:rPr>
                <w:color w:val="FFFFFF" w:themeColor="background2"/>
                <w:sz w:val="18"/>
                <w:szCs w:val="18"/>
              </w:rPr>
              <w:t>Gender- equitable distribution of energy benefits and the promotion of inclusive development</w:t>
            </w:r>
          </w:p>
        </w:tc>
        <w:tc>
          <w:tcPr>
            <w:tcW w:w="2557" w:type="pct"/>
          </w:tcPr>
          <w:p w14:paraId="7C9FED9F" w14:textId="77777777" w:rsidR="00DD7FEA" w:rsidRPr="00662906" w:rsidRDefault="00DD7FEA" w:rsidP="00DD7FEA">
            <w:pPr>
              <w:spacing w:line="259" w:lineRule="auto"/>
              <w:rPr>
                <w:sz w:val="18"/>
                <w:szCs w:val="18"/>
              </w:rPr>
            </w:pPr>
            <w:r w:rsidRPr="00662906">
              <w:rPr>
                <w:sz w:val="18"/>
                <w:szCs w:val="18"/>
              </w:rPr>
              <w:t>Integrating gender perspectives and emphasizing the involvement of women at all stages of energy policies, programs, and projects,</w:t>
            </w:r>
          </w:p>
        </w:tc>
      </w:tr>
      <w:tr w:rsidR="00DD7FEA" w:rsidRPr="00662906" w14:paraId="56CC7A1B" w14:textId="77777777" w:rsidTr="002A7B9B">
        <w:trPr>
          <w:trHeight w:val="300"/>
        </w:trPr>
        <w:tc>
          <w:tcPr>
            <w:tcW w:w="995" w:type="pct"/>
            <w:vMerge/>
            <w:vAlign w:val="center"/>
          </w:tcPr>
          <w:p w14:paraId="2BC8046A" w14:textId="77777777" w:rsidR="00DD7FEA" w:rsidRPr="00662906" w:rsidRDefault="00DD7FEA" w:rsidP="000F4509">
            <w:pPr>
              <w:spacing w:line="259" w:lineRule="auto"/>
              <w:jc w:val="center"/>
              <w:rPr>
                <w:color w:val="FFFFFF" w:themeColor="background2"/>
                <w:sz w:val="18"/>
                <w:szCs w:val="18"/>
              </w:rPr>
            </w:pPr>
          </w:p>
        </w:tc>
        <w:tc>
          <w:tcPr>
            <w:tcW w:w="1448" w:type="pct"/>
            <w:gridSpan w:val="2"/>
            <w:vMerge/>
            <w:vAlign w:val="center"/>
          </w:tcPr>
          <w:p w14:paraId="335E27E2" w14:textId="77777777" w:rsidR="00DD7FEA" w:rsidRPr="00662906" w:rsidRDefault="00DD7FEA" w:rsidP="000F4509">
            <w:pPr>
              <w:spacing w:line="259" w:lineRule="auto"/>
              <w:jc w:val="center"/>
              <w:rPr>
                <w:color w:val="FFFFFF" w:themeColor="background2"/>
                <w:sz w:val="18"/>
                <w:szCs w:val="18"/>
              </w:rPr>
            </w:pPr>
          </w:p>
        </w:tc>
        <w:tc>
          <w:tcPr>
            <w:tcW w:w="2557" w:type="pct"/>
          </w:tcPr>
          <w:p w14:paraId="3E2CC69E" w14:textId="77777777" w:rsidR="00DD7FEA" w:rsidRPr="00662906" w:rsidRDefault="00DD7FEA" w:rsidP="00DD7FEA">
            <w:pPr>
              <w:spacing w:line="259" w:lineRule="auto"/>
              <w:rPr>
                <w:sz w:val="18"/>
                <w:szCs w:val="18"/>
              </w:rPr>
            </w:pPr>
            <w:r w:rsidRPr="00662906">
              <w:rPr>
                <w:sz w:val="18"/>
                <w:szCs w:val="18"/>
              </w:rPr>
              <w:t>Youth Engagement and Empowerment</w:t>
            </w:r>
          </w:p>
        </w:tc>
      </w:tr>
      <w:tr w:rsidR="00DD7FEA" w:rsidRPr="00662906" w14:paraId="6D67FF39" w14:textId="77777777" w:rsidTr="002A7B9B">
        <w:trPr>
          <w:trHeight w:val="300"/>
        </w:trPr>
        <w:tc>
          <w:tcPr>
            <w:tcW w:w="995" w:type="pct"/>
            <w:vMerge/>
            <w:vAlign w:val="center"/>
          </w:tcPr>
          <w:p w14:paraId="7D754E6C" w14:textId="77777777" w:rsidR="00DD7FEA" w:rsidRPr="00662906" w:rsidRDefault="00DD7FEA" w:rsidP="000F4509">
            <w:pPr>
              <w:spacing w:line="259" w:lineRule="auto"/>
              <w:jc w:val="center"/>
              <w:rPr>
                <w:color w:val="FFFFFF" w:themeColor="background2"/>
                <w:sz w:val="18"/>
                <w:szCs w:val="18"/>
              </w:rPr>
            </w:pPr>
          </w:p>
        </w:tc>
        <w:tc>
          <w:tcPr>
            <w:tcW w:w="1448" w:type="pct"/>
            <w:gridSpan w:val="2"/>
            <w:vMerge/>
            <w:vAlign w:val="center"/>
          </w:tcPr>
          <w:p w14:paraId="184E85AA" w14:textId="77777777" w:rsidR="00DD7FEA" w:rsidRPr="00662906" w:rsidRDefault="00DD7FEA" w:rsidP="000F4509">
            <w:pPr>
              <w:spacing w:line="259" w:lineRule="auto"/>
              <w:jc w:val="center"/>
              <w:rPr>
                <w:color w:val="FFFFFF" w:themeColor="background2"/>
                <w:sz w:val="18"/>
                <w:szCs w:val="18"/>
              </w:rPr>
            </w:pPr>
          </w:p>
        </w:tc>
        <w:tc>
          <w:tcPr>
            <w:tcW w:w="2557" w:type="pct"/>
          </w:tcPr>
          <w:p w14:paraId="176A8B20" w14:textId="77777777" w:rsidR="00DD7FEA" w:rsidRPr="00662906" w:rsidRDefault="00DD7FEA" w:rsidP="00DD7FEA">
            <w:pPr>
              <w:spacing w:line="259" w:lineRule="auto"/>
              <w:rPr>
                <w:sz w:val="18"/>
                <w:szCs w:val="18"/>
              </w:rPr>
            </w:pPr>
            <w:r w:rsidRPr="00662906">
              <w:rPr>
                <w:sz w:val="18"/>
                <w:szCs w:val="18"/>
              </w:rPr>
              <w:t>Inclusivity and Standardization</w:t>
            </w:r>
          </w:p>
        </w:tc>
      </w:tr>
      <w:tr w:rsidR="00DD7FEA" w:rsidRPr="00662906" w14:paraId="5B6A4059" w14:textId="77777777" w:rsidTr="002A7B9B">
        <w:trPr>
          <w:trHeight w:val="300"/>
        </w:trPr>
        <w:tc>
          <w:tcPr>
            <w:tcW w:w="995" w:type="pct"/>
            <w:shd w:val="clear" w:color="auto" w:fill="B4A269" w:themeFill="text2"/>
            <w:vAlign w:val="center"/>
          </w:tcPr>
          <w:p w14:paraId="49B71B2D" w14:textId="77777777" w:rsidR="00DD7FEA" w:rsidRPr="00662906" w:rsidRDefault="00DD7FEA" w:rsidP="000F4509">
            <w:pPr>
              <w:spacing w:line="259" w:lineRule="auto"/>
              <w:jc w:val="center"/>
              <w:rPr>
                <w:color w:val="FFFFFF" w:themeColor="background2"/>
                <w:sz w:val="18"/>
                <w:szCs w:val="18"/>
              </w:rPr>
            </w:pPr>
            <w:r w:rsidRPr="00662906">
              <w:rPr>
                <w:color w:val="FFFFFF" w:themeColor="background2"/>
                <w:sz w:val="18"/>
                <w:szCs w:val="18"/>
              </w:rPr>
              <w:t>Cross Sectoral Issues</w:t>
            </w:r>
          </w:p>
        </w:tc>
        <w:tc>
          <w:tcPr>
            <w:tcW w:w="1448" w:type="pct"/>
            <w:gridSpan w:val="2"/>
            <w:shd w:val="clear" w:color="auto" w:fill="B4A269" w:themeFill="text2"/>
            <w:vAlign w:val="center"/>
          </w:tcPr>
          <w:p w14:paraId="109A75BA" w14:textId="77777777" w:rsidR="00DD7FEA" w:rsidRPr="00662906" w:rsidRDefault="00DD7FEA" w:rsidP="000F4509">
            <w:pPr>
              <w:spacing w:line="259" w:lineRule="auto"/>
              <w:jc w:val="center"/>
              <w:rPr>
                <w:color w:val="FFFFFF" w:themeColor="background2"/>
                <w:sz w:val="18"/>
                <w:szCs w:val="18"/>
              </w:rPr>
            </w:pPr>
            <w:r w:rsidRPr="00662906">
              <w:rPr>
                <w:color w:val="FFFFFF" w:themeColor="background2"/>
                <w:sz w:val="18"/>
                <w:szCs w:val="18"/>
              </w:rPr>
              <w:t>Integrated sub-sectoral planning</w:t>
            </w:r>
          </w:p>
        </w:tc>
        <w:tc>
          <w:tcPr>
            <w:tcW w:w="2557" w:type="pct"/>
          </w:tcPr>
          <w:p w14:paraId="10A31506" w14:textId="77777777" w:rsidR="00DD7FEA" w:rsidRPr="00662906" w:rsidRDefault="00DD7FEA" w:rsidP="00DD7FEA">
            <w:pPr>
              <w:spacing w:line="259" w:lineRule="auto"/>
              <w:rPr>
                <w:sz w:val="18"/>
                <w:szCs w:val="18"/>
              </w:rPr>
            </w:pPr>
            <w:r w:rsidRPr="00662906">
              <w:rPr>
                <w:sz w:val="18"/>
                <w:szCs w:val="18"/>
              </w:rPr>
              <w:t>Assessment of subsector cross-sectoral issues and synergy including other relevant sectors such as water, ICT, Industrialization</w:t>
            </w:r>
          </w:p>
        </w:tc>
      </w:tr>
    </w:tbl>
    <w:p w14:paraId="7E25C070"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5033704A" w14:textId="2AE71277" w:rsidR="00DD7FEA" w:rsidRPr="00662906" w:rsidRDefault="00DD7FEA" w:rsidP="00DD7FEA">
      <w:r w:rsidRPr="00662906">
        <w:t>The implementation</w:t>
      </w:r>
      <w:r w:rsidRPr="00662906">
        <w:rPr>
          <w:b/>
          <w:bCs/>
        </w:rPr>
        <w:t xml:space="preserve"> plan</w:t>
      </w:r>
      <w:r w:rsidRPr="00662906">
        <w:t xml:space="preserve"> of the ETSAP present. </w:t>
      </w:r>
    </w:p>
    <w:p w14:paraId="6067B9E5" w14:textId="77777777" w:rsidR="00DD7FEA" w:rsidRPr="00662906" w:rsidRDefault="00DD7FEA" w:rsidP="005C5546">
      <w:pPr>
        <w:numPr>
          <w:ilvl w:val="0"/>
          <w:numId w:val="49"/>
        </w:numPr>
        <w:spacing w:before="40" w:after="40"/>
        <w:ind w:left="714" w:hanging="357"/>
      </w:pPr>
      <w:r w:rsidRPr="00662906">
        <w:t>Guiding principles in terms of implementing Actions of priority,</w:t>
      </w:r>
    </w:p>
    <w:p w14:paraId="06537F6E" w14:textId="77777777" w:rsidR="00DD7FEA" w:rsidRPr="00662906" w:rsidRDefault="00DD7FEA" w:rsidP="005C5546">
      <w:pPr>
        <w:numPr>
          <w:ilvl w:val="0"/>
          <w:numId w:val="49"/>
        </w:numPr>
        <w:spacing w:before="40" w:after="40"/>
        <w:ind w:left="714" w:hanging="357"/>
      </w:pPr>
      <w:r w:rsidRPr="00662906">
        <w:t>Institutional roles for overall management of and participation in the ETSAP implementation,</w:t>
      </w:r>
    </w:p>
    <w:p w14:paraId="4C4C4E64" w14:textId="448561B5" w:rsidR="00DD7FEA" w:rsidRPr="00662906" w:rsidRDefault="00DD7FEA" w:rsidP="005C5546">
      <w:pPr>
        <w:numPr>
          <w:ilvl w:val="0"/>
          <w:numId w:val="49"/>
        </w:numPr>
        <w:spacing w:before="40" w:after="40"/>
        <w:ind w:left="714" w:hanging="357"/>
      </w:pPr>
      <w:r w:rsidRPr="00662906">
        <w:lastRenderedPageBreak/>
        <w:t xml:space="preserve">Resource mobilization for implementation of ETSAP considering amenability of the various sources of financing. </w:t>
      </w:r>
    </w:p>
    <w:p w14:paraId="26682B58" w14:textId="0E748206" w:rsidR="00DD7FEA" w:rsidRPr="00662906" w:rsidRDefault="00DD7FEA" w:rsidP="005C5546">
      <w:pPr>
        <w:numPr>
          <w:ilvl w:val="0"/>
          <w:numId w:val="49"/>
        </w:numPr>
        <w:spacing w:before="40" w:after="40"/>
        <w:ind w:left="714" w:hanging="357"/>
      </w:pPr>
      <w:r w:rsidRPr="00662906">
        <w:t>A M&amp;E framework to track achievement of the ETSAP strategic objectives and interventions only considering high level indicators.</w:t>
      </w:r>
    </w:p>
    <w:p w14:paraId="0553A0B8" w14:textId="77777777" w:rsidR="00DD7FEA" w:rsidRPr="00662906" w:rsidRDefault="00DD7FEA" w:rsidP="005C5546">
      <w:pPr>
        <w:numPr>
          <w:ilvl w:val="0"/>
          <w:numId w:val="49"/>
        </w:numPr>
        <w:spacing w:before="40" w:after="40"/>
        <w:ind w:left="714" w:hanging="357"/>
      </w:pPr>
      <w:r w:rsidRPr="00662906">
        <w:t>A communication plan to support dissemination of the ETSAP to the various stakeholders that will include decision makers, implementers, consumers, funders, and investors.</w:t>
      </w:r>
    </w:p>
    <w:p w14:paraId="74496CD6" w14:textId="77777777" w:rsidR="00DD7FEA" w:rsidRPr="00662906" w:rsidRDefault="00DD7FEA" w:rsidP="00DD7FEA">
      <w:pPr>
        <w:rPr>
          <w:b/>
          <w:bCs/>
        </w:rPr>
      </w:pPr>
      <w:r w:rsidRPr="00662906">
        <w:rPr>
          <w:b/>
          <w:bCs/>
        </w:rPr>
        <w:t>ETSAP Budget</w:t>
      </w:r>
    </w:p>
    <w:p w14:paraId="3FE13E36" w14:textId="09B184B6" w:rsidR="00DD7FEA" w:rsidRPr="00662906" w:rsidRDefault="00DD7FEA" w:rsidP="00DD7FEA">
      <w:r w:rsidRPr="00662906">
        <w:t xml:space="preserve">The grand short-term budget to implement continental Actions from 2025 to 2030 is about </w:t>
      </w:r>
      <w:r w:rsidR="00CD30D5" w:rsidRPr="00662906">
        <w:t xml:space="preserve">USD </w:t>
      </w:r>
      <w:r w:rsidRPr="00662906">
        <w:t>12.</w:t>
      </w:r>
      <w:r w:rsidR="00A1255D" w:rsidRPr="00662906">
        <w:t xml:space="preserve">35 </w:t>
      </w:r>
      <w:r w:rsidR="000F4509" w:rsidRPr="00662906">
        <w:t>million</w:t>
      </w:r>
      <w:r w:rsidRPr="00662906">
        <w:t xml:space="preserve"> and is summarized as indicated in Table ES3 below. The full and detailed budget for the ETSAP subsectors, horizontal Planning, Cross Cutting and Cross Sectoral Actions is presented in Chapter </w:t>
      </w:r>
      <w:r w:rsidR="00B14F3C" w:rsidRPr="00662906">
        <w:t>5.</w:t>
      </w:r>
      <w:r w:rsidRPr="00662906">
        <w:t xml:space="preserve"> </w:t>
      </w:r>
    </w:p>
    <w:p w14:paraId="3F1C69D2" w14:textId="733DDC68" w:rsidR="00DD7FEA" w:rsidRPr="00662906" w:rsidRDefault="000F4509" w:rsidP="000F4509">
      <w:pPr>
        <w:pStyle w:val="Caption"/>
        <w:rPr>
          <w:i w:val="0"/>
          <w:iCs w:val="0"/>
        </w:rPr>
      </w:pPr>
      <w:bookmarkStart w:id="52" w:name="_Toc197433887"/>
      <w:r w:rsidRPr="00662906">
        <w:t xml:space="preserve">Table ES </w:t>
      </w:r>
      <w:fldSimple w:instr=" SEQ Table \* ARABIC ">
        <w:r w:rsidR="00610F61">
          <w:rPr>
            <w:noProof/>
          </w:rPr>
          <w:t>3</w:t>
        </w:r>
      </w:fldSimple>
      <w:r w:rsidR="00835677" w:rsidRPr="00662906">
        <w:t xml:space="preserve">: </w:t>
      </w:r>
      <w:r w:rsidR="00DD7FEA" w:rsidRPr="00662906">
        <w:t>Summarized budget for all short term ETSAP actions by category</w:t>
      </w:r>
      <w:bookmarkEnd w:id="52"/>
    </w:p>
    <w:tbl>
      <w:tblPr>
        <w:tblStyle w:val="TableGrid"/>
        <w:tblW w:w="0" w:type="auto"/>
        <w:tblLayout w:type="fixed"/>
        <w:tblLook w:val="06A0" w:firstRow="1" w:lastRow="0" w:firstColumn="1" w:lastColumn="0" w:noHBand="1" w:noVBand="1"/>
      </w:tblPr>
      <w:tblGrid>
        <w:gridCol w:w="4508"/>
        <w:gridCol w:w="4508"/>
      </w:tblGrid>
      <w:tr w:rsidR="00DD7FEA" w:rsidRPr="00662906" w14:paraId="683CF3FB" w14:textId="77777777" w:rsidTr="002E08DF">
        <w:trPr>
          <w:trHeight w:val="300"/>
        </w:trPr>
        <w:tc>
          <w:tcPr>
            <w:tcW w:w="4508" w:type="dxa"/>
            <w:shd w:val="clear" w:color="auto" w:fill="B4A269" w:themeFill="text2"/>
            <w:vAlign w:val="center"/>
          </w:tcPr>
          <w:p w14:paraId="40146CB7" w14:textId="77777777" w:rsidR="00DD7FEA" w:rsidRPr="00662906" w:rsidRDefault="00DD7FEA" w:rsidP="00071126">
            <w:pPr>
              <w:spacing w:before="0" w:after="0"/>
              <w:rPr>
                <w:b/>
                <w:bCs/>
                <w:color w:val="FFFFFF" w:themeColor="background2"/>
                <w:sz w:val="18"/>
                <w:szCs w:val="18"/>
              </w:rPr>
            </w:pPr>
            <w:r w:rsidRPr="00662906">
              <w:rPr>
                <w:b/>
                <w:bCs/>
                <w:color w:val="FFFFFF" w:themeColor="background2"/>
                <w:sz w:val="18"/>
                <w:szCs w:val="18"/>
              </w:rPr>
              <w:t>Budget Item</w:t>
            </w:r>
          </w:p>
        </w:tc>
        <w:tc>
          <w:tcPr>
            <w:tcW w:w="4508" w:type="dxa"/>
            <w:shd w:val="clear" w:color="auto" w:fill="B4A269" w:themeFill="text2"/>
            <w:vAlign w:val="center"/>
          </w:tcPr>
          <w:p w14:paraId="6A9B70A2" w14:textId="7A3CF90E" w:rsidR="00DD7FEA" w:rsidRPr="00662906" w:rsidRDefault="00DD7FEA" w:rsidP="00071126">
            <w:pPr>
              <w:spacing w:before="0" w:after="0"/>
              <w:rPr>
                <w:b/>
                <w:bCs/>
                <w:color w:val="FFFFFF" w:themeColor="background2"/>
                <w:sz w:val="18"/>
                <w:szCs w:val="18"/>
              </w:rPr>
            </w:pPr>
            <w:r w:rsidRPr="00662906">
              <w:rPr>
                <w:b/>
                <w:bCs/>
                <w:color w:val="FFFFFF" w:themeColor="background2"/>
                <w:sz w:val="18"/>
                <w:szCs w:val="18"/>
              </w:rPr>
              <w:t xml:space="preserve">Total Amount (2025-2030) </w:t>
            </w:r>
            <w:r w:rsidR="00CD30D5" w:rsidRPr="00662906">
              <w:rPr>
                <w:b/>
                <w:bCs/>
                <w:color w:val="FFFFFF" w:themeColor="background2"/>
                <w:sz w:val="18"/>
                <w:szCs w:val="18"/>
              </w:rPr>
              <w:t>USD</w:t>
            </w:r>
          </w:p>
        </w:tc>
      </w:tr>
      <w:tr w:rsidR="00DD7FEA" w:rsidRPr="00662906" w14:paraId="41B2268F" w14:textId="77777777" w:rsidTr="002E08DF">
        <w:trPr>
          <w:trHeight w:val="300"/>
        </w:trPr>
        <w:tc>
          <w:tcPr>
            <w:tcW w:w="4508" w:type="dxa"/>
          </w:tcPr>
          <w:p w14:paraId="0568CB10" w14:textId="5B401958" w:rsidR="00DD7FEA" w:rsidRPr="00662906" w:rsidRDefault="00DD7FEA" w:rsidP="00071126">
            <w:pPr>
              <w:spacing w:before="0" w:after="0"/>
              <w:rPr>
                <w:sz w:val="18"/>
                <w:szCs w:val="18"/>
              </w:rPr>
            </w:pPr>
            <w:r w:rsidRPr="00662906">
              <w:rPr>
                <w:sz w:val="18"/>
                <w:szCs w:val="18"/>
              </w:rPr>
              <w:t>Subsectors</w:t>
            </w:r>
            <w:r w:rsidR="00CD6ADF" w:rsidRPr="00662906">
              <w:rPr>
                <w:rStyle w:val="FootnoteReference"/>
                <w:sz w:val="18"/>
                <w:szCs w:val="18"/>
              </w:rPr>
              <w:footnoteReference w:id="6"/>
            </w:r>
          </w:p>
        </w:tc>
        <w:tc>
          <w:tcPr>
            <w:tcW w:w="4508" w:type="dxa"/>
          </w:tcPr>
          <w:p w14:paraId="2042E75A" w14:textId="102B7E1B" w:rsidR="00DD7FEA" w:rsidRPr="00662906" w:rsidRDefault="00DD7FEA" w:rsidP="00F7188C">
            <w:pPr>
              <w:spacing w:before="0" w:after="0"/>
              <w:ind w:right="1681"/>
              <w:jc w:val="right"/>
              <w:rPr>
                <w:sz w:val="18"/>
                <w:szCs w:val="18"/>
              </w:rPr>
            </w:pPr>
            <w:r w:rsidRPr="00662906">
              <w:rPr>
                <w:sz w:val="18"/>
                <w:szCs w:val="18"/>
              </w:rPr>
              <w:t>11</w:t>
            </w:r>
            <w:r w:rsidR="00A1255D" w:rsidRPr="00662906">
              <w:rPr>
                <w:sz w:val="18"/>
                <w:szCs w:val="18"/>
              </w:rPr>
              <w:t>,102,000</w:t>
            </w:r>
          </w:p>
        </w:tc>
      </w:tr>
      <w:tr w:rsidR="00DD7FEA" w:rsidRPr="00662906" w14:paraId="2E75C248" w14:textId="77777777" w:rsidTr="002E08DF">
        <w:trPr>
          <w:trHeight w:val="300"/>
        </w:trPr>
        <w:tc>
          <w:tcPr>
            <w:tcW w:w="4508" w:type="dxa"/>
          </w:tcPr>
          <w:p w14:paraId="6A7E24FF" w14:textId="77777777" w:rsidR="00DD7FEA" w:rsidRPr="00662906" w:rsidRDefault="00DD7FEA" w:rsidP="00071126">
            <w:pPr>
              <w:spacing w:before="0" w:after="0"/>
              <w:rPr>
                <w:sz w:val="18"/>
                <w:szCs w:val="18"/>
              </w:rPr>
            </w:pPr>
            <w:r w:rsidRPr="00662906">
              <w:rPr>
                <w:sz w:val="18"/>
                <w:szCs w:val="18"/>
              </w:rPr>
              <w:t>Horizontal Planning</w:t>
            </w:r>
          </w:p>
        </w:tc>
        <w:tc>
          <w:tcPr>
            <w:tcW w:w="4508" w:type="dxa"/>
          </w:tcPr>
          <w:p w14:paraId="045E3DCE" w14:textId="6F919A90" w:rsidR="00DD7FEA" w:rsidRPr="00662906" w:rsidRDefault="00DD7FEA" w:rsidP="00F7188C">
            <w:pPr>
              <w:spacing w:before="0" w:after="0"/>
              <w:ind w:right="1681"/>
              <w:jc w:val="right"/>
              <w:rPr>
                <w:sz w:val="18"/>
                <w:szCs w:val="18"/>
              </w:rPr>
            </w:pPr>
            <w:r w:rsidRPr="00662906">
              <w:rPr>
                <w:sz w:val="18"/>
                <w:szCs w:val="18"/>
              </w:rPr>
              <w:t>900</w:t>
            </w:r>
            <w:r w:rsidR="00A1255D" w:rsidRPr="00662906">
              <w:rPr>
                <w:sz w:val="18"/>
                <w:szCs w:val="18"/>
              </w:rPr>
              <w:t>,</w:t>
            </w:r>
            <w:r w:rsidRPr="00662906">
              <w:rPr>
                <w:sz w:val="18"/>
                <w:szCs w:val="18"/>
              </w:rPr>
              <w:t>000</w:t>
            </w:r>
          </w:p>
        </w:tc>
      </w:tr>
      <w:tr w:rsidR="00DD7FEA" w:rsidRPr="00662906" w14:paraId="0E79872C" w14:textId="77777777" w:rsidTr="002E08DF">
        <w:trPr>
          <w:trHeight w:val="300"/>
        </w:trPr>
        <w:tc>
          <w:tcPr>
            <w:tcW w:w="4508" w:type="dxa"/>
          </w:tcPr>
          <w:p w14:paraId="76AB11B4" w14:textId="77777777" w:rsidR="00DD7FEA" w:rsidRPr="00662906" w:rsidRDefault="00DD7FEA" w:rsidP="00071126">
            <w:pPr>
              <w:spacing w:before="0" w:after="0"/>
              <w:rPr>
                <w:sz w:val="18"/>
                <w:szCs w:val="18"/>
              </w:rPr>
            </w:pPr>
            <w:r w:rsidRPr="00662906">
              <w:rPr>
                <w:sz w:val="18"/>
                <w:szCs w:val="18"/>
              </w:rPr>
              <w:t>Cross cutting</w:t>
            </w:r>
          </w:p>
        </w:tc>
        <w:tc>
          <w:tcPr>
            <w:tcW w:w="4508" w:type="dxa"/>
          </w:tcPr>
          <w:p w14:paraId="1BD32685" w14:textId="3FE36E77" w:rsidR="00DD7FEA" w:rsidRPr="00662906" w:rsidRDefault="00DD7FEA" w:rsidP="00F7188C">
            <w:pPr>
              <w:spacing w:before="0" w:after="0"/>
              <w:ind w:right="1681"/>
              <w:jc w:val="right"/>
              <w:rPr>
                <w:sz w:val="18"/>
                <w:szCs w:val="18"/>
              </w:rPr>
            </w:pPr>
            <w:r w:rsidRPr="00662906">
              <w:rPr>
                <w:sz w:val="18"/>
                <w:szCs w:val="18"/>
              </w:rPr>
              <w:t>220</w:t>
            </w:r>
            <w:r w:rsidR="00A1255D" w:rsidRPr="00662906">
              <w:rPr>
                <w:sz w:val="18"/>
                <w:szCs w:val="18"/>
              </w:rPr>
              <w:t>,</w:t>
            </w:r>
            <w:r w:rsidRPr="00662906">
              <w:rPr>
                <w:sz w:val="18"/>
                <w:szCs w:val="18"/>
              </w:rPr>
              <w:t>000</w:t>
            </w:r>
          </w:p>
        </w:tc>
      </w:tr>
      <w:tr w:rsidR="00DD7FEA" w:rsidRPr="00662906" w14:paraId="2B35C1D4" w14:textId="77777777" w:rsidTr="002E08DF">
        <w:trPr>
          <w:trHeight w:val="300"/>
        </w:trPr>
        <w:tc>
          <w:tcPr>
            <w:tcW w:w="4508" w:type="dxa"/>
          </w:tcPr>
          <w:p w14:paraId="67436811" w14:textId="77777777" w:rsidR="00DD7FEA" w:rsidRPr="00662906" w:rsidRDefault="00DD7FEA" w:rsidP="00071126">
            <w:pPr>
              <w:spacing w:before="0" w:after="0"/>
              <w:rPr>
                <w:sz w:val="18"/>
                <w:szCs w:val="18"/>
              </w:rPr>
            </w:pPr>
            <w:r w:rsidRPr="00662906">
              <w:rPr>
                <w:sz w:val="18"/>
                <w:szCs w:val="18"/>
              </w:rPr>
              <w:t>Cross sectoral</w:t>
            </w:r>
          </w:p>
        </w:tc>
        <w:tc>
          <w:tcPr>
            <w:tcW w:w="4508" w:type="dxa"/>
          </w:tcPr>
          <w:p w14:paraId="1FFC4026" w14:textId="1311914B" w:rsidR="00DD7FEA" w:rsidRPr="00662906" w:rsidRDefault="00DD7FEA" w:rsidP="00F7188C">
            <w:pPr>
              <w:spacing w:before="0" w:after="0"/>
              <w:ind w:right="1681"/>
              <w:jc w:val="right"/>
              <w:rPr>
                <w:sz w:val="18"/>
                <w:szCs w:val="18"/>
              </w:rPr>
            </w:pPr>
            <w:r w:rsidRPr="00662906">
              <w:rPr>
                <w:sz w:val="18"/>
                <w:szCs w:val="18"/>
              </w:rPr>
              <w:t>126</w:t>
            </w:r>
            <w:r w:rsidR="00A1255D" w:rsidRPr="00662906">
              <w:rPr>
                <w:sz w:val="18"/>
                <w:szCs w:val="18"/>
              </w:rPr>
              <w:t>,</w:t>
            </w:r>
            <w:r w:rsidRPr="00662906">
              <w:rPr>
                <w:sz w:val="18"/>
                <w:szCs w:val="18"/>
              </w:rPr>
              <w:t>000</w:t>
            </w:r>
          </w:p>
        </w:tc>
      </w:tr>
      <w:tr w:rsidR="00DD7FEA" w:rsidRPr="00662906" w14:paraId="1A451343" w14:textId="77777777" w:rsidTr="002E08DF">
        <w:trPr>
          <w:trHeight w:val="300"/>
        </w:trPr>
        <w:tc>
          <w:tcPr>
            <w:tcW w:w="4508" w:type="dxa"/>
          </w:tcPr>
          <w:p w14:paraId="4859BB8E" w14:textId="77777777" w:rsidR="00DD7FEA" w:rsidRPr="00662906" w:rsidRDefault="00DD7FEA" w:rsidP="00071126">
            <w:pPr>
              <w:spacing w:before="0" w:after="0"/>
              <w:rPr>
                <w:b/>
                <w:bCs/>
                <w:sz w:val="18"/>
                <w:szCs w:val="18"/>
              </w:rPr>
            </w:pPr>
            <w:r w:rsidRPr="00662906">
              <w:rPr>
                <w:b/>
                <w:bCs/>
                <w:sz w:val="18"/>
                <w:szCs w:val="18"/>
              </w:rPr>
              <w:t>Grand Total</w:t>
            </w:r>
          </w:p>
        </w:tc>
        <w:tc>
          <w:tcPr>
            <w:tcW w:w="4508" w:type="dxa"/>
          </w:tcPr>
          <w:p w14:paraId="357D12C0" w14:textId="23FF975B" w:rsidR="00DD7FEA" w:rsidRPr="00662906" w:rsidRDefault="00DD7FEA" w:rsidP="00F7188C">
            <w:pPr>
              <w:spacing w:before="0" w:after="0"/>
              <w:ind w:right="1681"/>
              <w:jc w:val="right"/>
              <w:rPr>
                <w:b/>
                <w:bCs/>
                <w:sz w:val="18"/>
                <w:szCs w:val="18"/>
              </w:rPr>
            </w:pPr>
            <w:r w:rsidRPr="00662906">
              <w:rPr>
                <w:b/>
                <w:bCs/>
                <w:sz w:val="18"/>
                <w:szCs w:val="18"/>
              </w:rPr>
              <w:t>12</w:t>
            </w:r>
            <w:r w:rsidR="00A1255D" w:rsidRPr="00662906">
              <w:rPr>
                <w:b/>
                <w:bCs/>
                <w:sz w:val="18"/>
                <w:szCs w:val="18"/>
              </w:rPr>
              <w:t>,348,000</w:t>
            </w:r>
          </w:p>
        </w:tc>
      </w:tr>
    </w:tbl>
    <w:p w14:paraId="4D083609"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E85C0E2" w14:textId="1F5E3EE0" w:rsidR="00793369" w:rsidRPr="00662906" w:rsidRDefault="00DD7FEA" w:rsidP="00DD7FEA">
      <w:r w:rsidRPr="00662906">
        <w:t>A</w:t>
      </w:r>
      <w:r w:rsidR="002A7B9B" w:rsidRPr="00662906">
        <w:t xml:space="preserve"> </w:t>
      </w:r>
      <w:r w:rsidRPr="00662906">
        <w:t xml:space="preserve">M&amp;E Framework that is included in the Implementation Plan features what needs to be measured and the </w:t>
      </w:r>
      <w:r w:rsidR="00504943" w:rsidRPr="00662906">
        <w:t>high-level</w:t>
      </w:r>
      <w:r w:rsidRPr="00662906">
        <w:t xml:space="preserve"> indicators for each subsector, strategic objective and Strategic Interventions. Similar indicators are presented for the horizontal planning, cross cutting and cross sectoral aspects of the ETSAP as indicated in Table ES4 below. Details on how the Monitoring and Evaluation of the ETSAP will be structured and effected are presented in Chapter </w:t>
      </w:r>
      <w:r w:rsidR="003C4B5B" w:rsidRPr="00662906">
        <w:t>5</w:t>
      </w:r>
      <w:r w:rsidRPr="00662906">
        <w:t>.</w:t>
      </w:r>
    </w:p>
    <w:p w14:paraId="4BDC4EA6" w14:textId="45967748" w:rsidR="00793369" w:rsidRPr="00662906" w:rsidRDefault="00793369" w:rsidP="00DD7FEA">
      <w:pPr>
        <w:sectPr w:rsidR="00793369" w:rsidRPr="00662906" w:rsidSect="003B08A4">
          <w:pgSz w:w="11906" w:h="16838"/>
          <w:pgMar w:top="1440" w:right="1440" w:bottom="1440" w:left="1440" w:header="720" w:footer="720" w:gutter="0"/>
          <w:pgNumType w:fmt="lowerRoman"/>
          <w:cols w:space="720"/>
          <w:titlePg/>
          <w:docGrid w:linePitch="360"/>
        </w:sectPr>
      </w:pPr>
      <w:r w:rsidRPr="00662906">
        <w:t>Apart from the Stocktaking Report detailing information derived to inform the development of the ETSAP a Guidelines document presenting ‘quick wins’/low hanging fruit Actions accompanies this ETSAP.</w:t>
      </w:r>
      <w:r w:rsidR="00422224" w:rsidRPr="00662906">
        <w:t xml:space="preserve"> </w:t>
      </w:r>
      <w:r w:rsidRPr="00662906">
        <w:t>The Guidelines are also prepared to support and facilitate AU-MS developing their own national DDPs</w:t>
      </w:r>
    </w:p>
    <w:p w14:paraId="1B2EB6B6" w14:textId="2B84E6DB" w:rsidR="00C709FA" w:rsidRPr="00662906" w:rsidRDefault="00504943" w:rsidP="00C709FA">
      <w:pPr>
        <w:pStyle w:val="Caption"/>
      </w:pPr>
      <w:bookmarkStart w:id="53" w:name="_Toc197433888"/>
      <w:r w:rsidRPr="00662906">
        <w:lastRenderedPageBreak/>
        <w:t xml:space="preserve">Table ES </w:t>
      </w:r>
      <w:fldSimple w:instr=" SEQ Table \* ARABIC ">
        <w:r w:rsidR="00610F61">
          <w:rPr>
            <w:noProof/>
          </w:rPr>
          <w:t>4</w:t>
        </w:r>
      </w:fldSimple>
      <w:r w:rsidR="00835677" w:rsidRPr="00662906">
        <w:t xml:space="preserve">: </w:t>
      </w:r>
      <w:r w:rsidR="00DD7FEA" w:rsidRPr="00662906">
        <w:t>M&amp;E Framework for the ETSA</w:t>
      </w:r>
      <w:r w:rsidR="00C27B49" w:rsidRPr="00662906">
        <w:t>P</w:t>
      </w:r>
      <w:bookmarkEnd w:id="53"/>
    </w:p>
    <w:tbl>
      <w:tblPr>
        <w:tblW w:w="5000" w:type="pct"/>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ook w:val="06A0" w:firstRow="1" w:lastRow="0" w:firstColumn="1" w:lastColumn="0" w:noHBand="1" w:noVBand="1"/>
      </w:tblPr>
      <w:tblGrid>
        <w:gridCol w:w="2252"/>
        <w:gridCol w:w="2352"/>
        <w:gridCol w:w="3226"/>
        <w:gridCol w:w="2896"/>
        <w:gridCol w:w="3226"/>
      </w:tblGrid>
      <w:tr w:rsidR="00793369" w:rsidRPr="00662906" w14:paraId="6A958298" w14:textId="77777777" w:rsidTr="00793369">
        <w:trPr>
          <w:trHeight w:val="900"/>
        </w:trPr>
        <w:tc>
          <w:tcPr>
            <w:tcW w:w="807" w:type="pct"/>
            <w:shd w:val="clear" w:color="auto" w:fill="B4A269" w:themeFill="text2"/>
            <w:tcMar>
              <w:left w:w="108" w:type="dxa"/>
              <w:right w:w="108" w:type="dxa"/>
            </w:tcMar>
            <w:vAlign w:val="center"/>
          </w:tcPr>
          <w:p w14:paraId="6A2418DD" w14:textId="77777777" w:rsidR="00C709FA" w:rsidRPr="00662906" w:rsidRDefault="00C709FA" w:rsidP="00B73071">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Sub Sector</w:t>
            </w:r>
          </w:p>
        </w:tc>
        <w:tc>
          <w:tcPr>
            <w:tcW w:w="843" w:type="pct"/>
            <w:shd w:val="clear" w:color="auto" w:fill="B4A269" w:themeFill="text2"/>
            <w:tcMar>
              <w:left w:w="108" w:type="dxa"/>
              <w:right w:w="108" w:type="dxa"/>
            </w:tcMar>
            <w:vAlign w:val="center"/>
          </w:tcPr>
          <w:p w14:paraId="05DAD1B2" w14:textId="77777777" w:rsidR="00C709FA" w:rsidRPr="00662906" w:rsidRDefault="00C709FA" w:rsidP="00B73071">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Objectives</w:t>
            </w:r>
          </w:p>
        </w:tc>
        <w:tc>
          <w:tcPr>
            <w:tcW w:w="1156" w:type="pct"/>
            <w:shd w:val="clear" w:color="auto" w:fill="B4A269" w:themeFill="text2"/>
            <w:tcMar>
              <w:left w:w="108" w:type="dxa"/>
              <w:right w:w="108" w:type="dxa"/>
            </w:tcMar>
            <w:vAlign w:val="center"/>
          </w:tcPr>
          <w:p w14:paraId="36AB535C" w14:textId="77777777" w:rsidR="00C709FA" w:rsidRPr="00662906" w:rsidRDefault="00C709FA" w:rsidP="00B73071">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Interventions</w:t>
            </w:r>
          </w:p>
        </w:tc>
        <w:tc>
          <w:tcPr>
            <w:tcW w:w="1038" w:type="pct"/>
            <w:shd w:val="clear" w:color="auto" w:fill="B4A269" w:themeFill="text2"/>
            <w:tcMar>
              <w:left w:w="108" w:type="dxa"/>
              <w:right w:w="108" w:type="dxa"/>
            </w:tcMar>
            <w:vAlign w:val="center"/>
          </w:tcPr>
          <w:p w14:paraId="65A9C504" w14:textId="77777777" w:rsidR="00C709FA" w:rsidRPr="00662906" w:rsidRDefault="00C709FA" w:rsidP="00B73071">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What is to be measured</w:t>
            </w:r>
          </w:p>
        </w:tc>
        <w:tc>
          <w:tcPr>
            <w:tcW w:w="1156" w:type="pct"/>
            <w:shd w:val="clear" w:color="auto" w:fill="B4A269" w:themeFill="text2"/>
            <w:tcMar>
              <w:left w:w="108" w:type="dxa"/>
              <w:right w:w="108" w:type="dxa"/>
            </w:tcMar>
            <w:vAlign w:val="center"/>
          </w:tcPr>
          <w:p w14:paraId="3CF80711" w14:textId="77777777" w:rsidR="00C709FA" w:rsidRPr="00662906" w:rsidRDefault="00C709FA" w:rsidP="00B73071">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High level Indicators</w:t>
            </w:r>
          </w:p>
        </w:tc>
      </w:tr>
      <w:tr w:rsidR="00793369" w:rsidRPr="00662906" w14:paraId="2AD93813" w14:textId="77777777" w:rsidTr="00793369">
        <w:trPr>
          <w:trHeight w:val="300"/>
        </w:trPr>
        <w:tc>
          <w:tcPr>
            <w:tcW w:w="807" w:type="pct"/>
            <w:vMerge w:val="restart"/>
            <w:shd w:val="clear" w:color="auto" w:fill="FFFFFF" w:themeFill="background2"/>
            <w:tcMar>
              <w:left w:w="108" w:type="dxa"/>
              <w:right w:w="108" w:type="dxa"/>
            </w:tcMar>
          </w:tcPr>
          <w:p w14:paraId="6ADD98B6"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Electricity sector </w:t>
            </w:r>
          </w:p>
        </w:tc>
        <w:tc>
          <w:tcPr>
            <w:tcW w:w="843" w:type="pct"/>
            <w:vMerge w:val="restart"/>
            <w:shd w:val="clear" w:color="auto" w:fill="FFFFFF" w:themeFill="background2"/>
            <w:tcMar>
              <w:left w:w="108" w:type="dxa"/>
              <w:right w:w="108" w:type="dxa"/>
            </w:tcMar>
          </w:tcPr>
          <w:p w14:paraId="52388091"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Strengthen and Modernize Energy Infrastructure and Systems in the Electricity Supply Industry</w:t>
            </w:r>
          </w:p>
        </w:tc>
        <w:tc>
          <w:tcPr>
            <w:tcW w:w="1156" w:type="pct"/>
            <w:shd w:val="clear" w:color="auto" w:fill="FFFFFF" w:themeFill="background2"/>
            <w:tcMar>
              <w:left w:w="108" w:type="dxa"/>
              <w:right w:w="108" w:type="dxa"/>
            </w:tcMar>
          </w:tcPr>
          <w:p w14:paraId="5CA91DA8" w14:textId="75C05C67" w:rsidR="00C709FA" w:rsidRPr="00662906" w:rsidRDefault="00C709FA" w:rsidP="00B73071">
            <w:pPr>
              <w:spacing w:line="214" w:lineRule="auto"/>
              <w:jc w:val="left"/>
              <w:rPr>
                <w:rFonts w:eastAsia="Arial" w:cs="Arial"/>
                <w:color w:val="394A58"/>
                <w:sz w:val="18"/>
                <w:szCs w:val="18"/>
              </w:rPr>
            </w:pPr>
            <w:r w:rsidRPr="00662906">
              <w:rPr>
                <w:rFonts w:eastAsia="Arial" w:cs="Arial"/>
                <w:color w:val="394A58"/>
                <w:sz w:val="18"/>
                <w:szCs w:val="18"/>
              </w:rPr>
              <w:t>Strategic Intervention 1: Accelerate the deployment of RE</w:t>
            </w:r>
          </w:p>
          <w:p w14:paraId="5EE38DD8" w14:textId="77777777" w:rsidR="00C709FA" w:rsidRPr="00662906" w:rsidRDefault="00C709FA" w:rsidP="00B73071">
            <w:pPr>
              <w:spacing w:line="214" w:lineRule="auto"/>
              <w:jc w:val="left"/>
              <w:rPr>
                <w:rFonts w:eastAsia="Arial" w:cs="Arial"/>
                <w:color w:val="394A58"/>
                <w:sz w:val="18"/>
                <w:szCs w:val="18"/>
              </w:rPr>
            </w:pPr>
          </w:p>
        </w:tc>
        <w:tc>
          <w:tcPr>
            <w:tcW w:w="1038" w:type="pct"/>
            <w:shd w:val="clear" w:color="auto" w:fill="FFFFFF" w:themeFill="background2"/>
            <w:tcMar>
              <w:left w:w="108" w:type="dxa"/>
              <w:right w:w="108" w:type="dxa"/>
            </w:tcMar>
          </w:tcPr>
          <w:p w14:paraId="5AC5932D" w14:textId="77777777" w:rsidR="00C709FA" w:rsidRPr="00662906" w:rsidRDefault="00C709FA" w:rsidP="00B73071">
            <w:pPr>
              <w:spacing w:line="214" w:lineRule="auto"/>
              <w:jc w:val="left"/>
              <w:rPr>
                <w:rFonts w:eastAsia="Arial" w:cs="Arial"/>
                <w:color w:val="394A58"/>
                <w:sz w:val="18"/>
                <w:szCs w:val="18"/>
              </w:rPr>
            </w:pPr>
            <w:r w:rsidRPr="00662906">
              <w:rPr>
                <w:rFonts w:eastAsia="Arial" w:cs="Arial"/>
                <w:color w:val="394A58"/>
                <w:sz w:val="18"/>
                <w:szCs w:val="18"/>
              </w:rPr>
              <w:t xml:space="preserve">Additional supply capacity by clean energy sources </w:t>
            </w:r>
          </w:p>
          <w:p w14:paraId="68ABFAEA" w14:textId="77777777" w:rsidR="00C709FA" w:rsidRPr="00662906" w:rsidRDefault="00C709FA" w:rsidP="00B73071">
            <w:pPr>
              <w:spacing w:line="214" w:lineRule="auto"/>
              <w:jc w:val="left"/>
              <w:rPr>
                <w:rFonts w:eastAsia="Arial" w:cs="Arial"/>
                <w:color w:val="394A58"/>
                <w:sz w:val="18"/>
                <w:szCs w:val="18"/>
              </w:rPr>
            </w:pPr>
            <w:r w:rsidRPr="00662906">
              <w:rPr>
                <w:rFonts w:eastAsia="Arial" w:cs="Arial"/>
                <w:color w:val="394A58"/>
                <w:sz w:val="18"/>
                <w:szCs w:val="18"/>
              </w:rPr>
              <w:t>Innovation on clean energy systems</w:t>
            </w:r>
          </w:p>
          <w:p w14:paraId="28C5CD7C" w14:textId="77777777" w:rsidR="00C709FA" w:rsidRPr="00662906" w:rsidRDefault="00C709FA" w:rsidP="00B73071">
            <w:pPr>
              <w:spacing w:line="214" w:lineRule="auto"/>
              <w:jc w:val="left"/>
              <w:rPr>
                <w:rFonts w:eastAsia="Arial" w:cs="Arial"/>
                <w:color w:val="394A58"/>
                <w:sz w:val="18"/>
                <w:szCs w:val="18"/>
              </w:rPr>
            </w:pPr>
          </w:p>
        </w:tc>
        <w:tc>
          <w:tcPr>
            <w:tcW w:w="1156" w:type="pct"/>
            <w:shd w:val="clear" w:color="auto" w:fill="FFFFFF" w:themeFill="background2"/>
            <w:tcMar>
              <w:left w:w="108" w:type="dxa"/>
              <w:right w:w="108" w:type="dxa"/>
            </w:tcMar>
          </w:tcPr>
          <w:p w14:paraId="4768C5CB" w14:textId="1DE59130" w:rsidR="00C709FA" w:rsidRPr="00662906" w:rsidRDefault="00C709FA" w:rsidP="00B73071">
            <w:pPr>
              <w:spacing w:before="0" w:after="0"/>
              <w:jc w:val="left"/>
              <w:rPr>
                <w:rFonts w:eastAsia="Arial" w:cs="Arial"/>
                <w:color w:val="394A58"/>
                <w:sz w:val="18"/>
                <w:szCs w:val="18"/>
              </w:rPr>
            </w:pPr>
            <w:r w:rsidRPr="00662906">
              <w:rPr>
                <w:rFonts w:eastAsia="Arial" w:cs="Arial"/>
                <w:color w:val="394A58"/>
                <w:sz w:val="18"/>
                <w:szCs w:val="18"/>
              </w:rPr>
              <w:t>Additional capacity</w:t>
            </w:r>
            <w:r w:rsidR="00D97148" w:rsidRPr="00662906">
              <w:rPr>
                <w:rFonts w:eastAsia="Arial" w:cs="Arial"/>
                <w:color w:val="394A58"/>
                <w:sz w:val="18"/>
                <w:szCs w:val="18"/>
              </w:rPr>
              <w:t xml:space="preserve"> Megawatt</w:t>
            </w:r>
            <w:r w:rsidRPr="00662906">
              <w:rPr>
                <w:rFonts w:eastAsia="Arial" w:cs="Arial"/>
                <w:color w:val="394A58"/>
                <w:sz w:val="18"/>
                <w:szCs w:val="18"/>
              </w:rPr>
              <w:t xml:space="preserve"> </w:t>
            </w:r>
            <w:r w:rsidR="00D97148" w:rsidRPr="00662906">
              <w:rPr>
                <w:rFonts w:eastAsia="Arial" w:cs="Arial"/>
                <w:color w:val="394A58"/>
                <w:sz w:val="18"/>
                <w:szCs w:val="18"/>
              </w:rPr>
              <w:t>(</w:t>
            </w:r>
            <w:r w:rsidRPr="00662906">
              <w:rPr>
                <w:rFonts w:eastAsia="Arial" w:cs="Arial"/>
                <w:color w:val="394A58"/>
                <w:sz w:val="18"/>
                <w:szCs w:val="18"/>
              </w:rPr>
              <w:t>MW</w:t>
            </w:r>
            <w:r w:rsidR="00D97148" w:rsidRPr="00662906">
              <w:rPr>
                <w:rFonts w:eastAsia="Arial" w:cs="Arial"/>
                <w:color w:val="394A58"/>
                <w:sz w:val="18"/>
                <w:szCs w:val="18"/>
              </w:rPr>
              <w:t>)</w:t>
            </w:r>
            <w:r w:rsidRPr="00662906">
              <w:rPr>
                <w:rFonts w:eastAsia="Arial" w:cs="Arial"/>
                <w:color w:val="394A58"/>
                <w:sz w:val="18"/>
                <w:szCs w:val="18"/>
              </w:rPr>
              <w:t xml:space="preserve"> by RE, NG </w:t>
            </w:r>
          </w:p>
          <w:p w14:paraId="1978DBFC" w14:textId="77777777" w:rsidR="00C709FA" w:rsidRPr="00662906" w:rsidRDefault="00C709FA" w:rsidP="00B73071">
            <w:pPr>
              <w:spacing w:before="0" w:after="0"/>
              <w:jc w:val="left"/>
              <w:rPr>
                <w:rFonts w:eastAsia="Arial" w:cs="Arial"/>
                <w:color w:val="394A58"/>
                <w:sz w:val="18"/>
                <w:szCs w:val="18"/>
              </w:rPr>
            </w:pPr>
            <w:r w:rsidRPr="00662906">
              <w:rPr>
                <w:rFonts w:eastAsia="Arial" w:cs="Arial"/>
                <w:color w:val="394A58"/>
                <w:sz w:val="18"/>
                <w:szCs w:val="18"/>
              </w:rPr>
              <w:t xml:space="preserve">ESS </w:t>
            </w:r>
          </w:p>
          <w:p w14:paraId="4C9C00DA" w14:textId="7DF81970" w:rsidR="00C709FA" w:rsidRPr="00662906" w:rsidRDefault="00C709FA" w:rsidP="00B73071">
            <w:pPr>
              <w:spacing w:before="0" w:after="0"/>
              <w:jc w:val="left"/>
              <w:rPr>
                <w:rFonts w:eastAsia="Arial" w:cs="Arial"/>
                <w:color w:val="394A58"/>
                <w:sz w:val="18"/>
                <w:szCs w:val="18"/>
              </w:rPr>
            </w:pPr>
            <w:r w:rsidRPr="00662906">
              <w:rPr>
                <w:rFonts w:eastAsia="Arial" w:cs="Arial"/>
                <w:color w:val="394A58"/>
                <w:sz w:val="18"/>
                <w:szCs w:val="18"/>
              </w:rPr>
              <w:t xml:space="preserve">Mini grids/microgrids; </w:t>
            </w:r>
            <w:r w:rsidR="00F35296" w:rsidRPr="00662906">
              <w:rPr>
                <w:rFonts w:eastAsia="Arial" w:cs="Arial"/>
                <w:color w:val="394A58"/>
                <w:sz w:val="18"/>
                <w:szCs w:val="18"/>
              </w:rPr>
              <w:t>S</w:t>
            </w:r>
            <w:r w:rsidRPr="00662906">
              <w:rPr>
                <w:rFonts w:eastAsia="Arial" w:cs="Arial"/>
                <w:color w:val="394A58"/>
                <w:sz w:val="18"/>
                <w:szCs w:val="18"/>
              </w:rPr>
              <w:t>SDG</w:t>
            </w:r>
          </w:p>
          <w:p w14:paraId="17D98EC7" w14:textId="77777777" w:rsidR="00C709FA" w:rsidRPr="00662906" w:rsidRDefault="00C709FA" w:rsidP="00B73071">
            <w:pPr>
              <w:spacing w:line="214" w:lineRule="auto"/>
              <w:jc w:val="left"/>
              <w:rPr>
                <w:rFonts w:eastAsia="Arial" w:cs="Arial"/>
                <w:color w:val="394A58"/>
                <w:sz w:val="18"/>
                <w:szCs w:val="18"/>
              </w:rPr>
            </w:pPr>
            <w:r w:rsidRPr="00662906">
              <w:rPr>
                <w:rFonts w:eastAsia="Arial" w:cs="Arial"/>
                <w:color w:val="394A58"/>
                <w:sz w:val="18"/>
                <w:szCs w:val="18"/>
              </w:rPr>
              <w:t>New Battery and RE technologies and applications</w:t>
            </w:r>
          </w:p>
          <w:p w14:paraId="10472B22" w14:textId="77777777" w:rsidR="00C709FA" w:rsidRPr="00662906" w:rsidRDefault="00C709FA" w:rsidP="00B73071">
            <w:pPr>
              <w:spacing w:line="214" w:lineRule="auto"/>
              <w:jc w:val="left"/>
              <w:rPr>
                <w:rFonts w:eastAsia="Arial" w:cs="Arial"/>
                <w:color w:val="394A58"/>
                <w:sz w:val="18"/>
                <w:szCs w:val="18"/>
              </w:rPr>
            </w:pPr>
          </w:p>
        </w:tc>
      </w:tr>
      <w:tr w:rsidR="00C709FA" w:rsidRPr="00662906" w14:paraId="02602BA8" w14:textId="77777777" w:rsidTr="0098698D">
        <w:trPr>
          <w:trHeight w:val="300"/>
        </w:trPr>
        <w:tc>
          <w:tcPr>
            <w:tcW w:w="807" w:type="pct"/>
            <w:vMerge/>
            <w:vAlign w:val="center"/>
          </w:tcPr>
          <w:p w14:paraId="7C879722" w14:textId="77777777" w:rsidR="00C709FA" w:rsidRPr="00662906" w:rsidRDefault="00C709FA" w:rsidP="00B73071">
            <w:pPr>
              <w:spacing w:before="40" w:after="40"/>
              <w:jc w:val="left"/>
              <w:rPr>
                <w:rFonts w:eastAsia="Arial" w:cs="Arial"/>
                <w:color w:val="394A58"/>
                <w:sz w:val="18"/>
                <w:szCs w:val="18"/>
              </w:rPr>
            </w:pPr>
          </w:p>
        </w:tc>
        <w:tc>
          <w:tcPr>
            <w:tcW w:w="843" w:type="pct"/>
            <w:vMerge/>
            <w:vAlign w:val="center"/>
          </w:tcPr>
          <w:p w14:paraId="78BDE803" w14:textId="77777777" w:rsidR="00C709FA" w:rsidRPr="00662906" w:rsidRDefault="00C709FA" w:rsidP="00B73071">
            <w:pPr>
              <w:spacing w:before="40" w:after="40"/>
              <w:jc w:val="left"/>
              <w:rPr>
                <w:rFonts w:eastAsia="Arial" w:cs="Arial"/>
                <w:color w:val="394A58"/>
                <w:sz w:val="18"/>
                <w:szCs w:val="18"/>
              </w:rPr>
            </w:pPr>
          </w:p>
        </w:tc>
        <w:tc>
          <w:tcPr>
            <w:tcW w:w="1156" w:type="pct"/>
            <w:shd w:val="clear" w:color="auto" w:fill="FFFFFF" w:themeFill="background2"/>
            <w:tcMar>
              <w:left w:w="108" w:type="dxa"/>
              <w:right w:w="108" w:type="dxa"/>
            </w:tcMar>
          </w:tcPr>
          <w:p w14:paraId="287AB440" w14:textId="77777777" w:rsidR="00C709FA" w:rsidRPr="00662906" w:rsidRDefault="00C709FA" w:rsidP="00B73071">
            <w:pPr>
              <w:spacing w:before="40" w:after="40" w:line="214" w:lineRule="auto"/>
              <w:jc w:val="left"/>
              <w:rPr>
                <w:rFonts w:eastAsia="Arial" w:cs="Arial"/>
                <w:color w:val="394A58"/>
                <w:sz w:val="18"/>
                <w:szCs w:val="18"/>
              </w:rPr>
            </w:pPr>
            <w:r w:rsidRPr="00662906">
              <w:rPr>
                <w:rFonts w:eastAsia="Arial" w:cs="Arial"/>
                <w:color w:val="394A58"/>
                <w:sz w:val="18"/>
                <w:szCs w:val="18"/>
              </w:rPr>
              <w:t>Strategic Intervention 2: Foster and Accelerate development of resilient Transmission and Distribution networks to support deployment and trade of clean and RE power</w:t>
            </w:r>
          </w:p>
          <w:p w14:paraId="0661CA27" w14:textId="77777777" w:rsidR="00C709FA" w:rsidRPr="00662906" w:rsidRDefault="00C709FA" w:rsidP="00B73071">
            <w:pPr>
              <w:spacing w:before="40" w:after="40" w:line="214" w:lineRule="auto"/>
              <w:jc w:val="left"/>
              <w:rPr>
                <w:rFonts w:eastAsia="Arial" w:cs="Arial"/>
                <w:color w:val="394A58"/>
                <w:sz w:val="18"/>
                <w:szCs w:val="18"/>
              </w:rPr>
            </w:pPr>
          </w:p>
        </w:tc>
        <w:tc>
          <w:tcPr>
            <w:tcW w:w="1038" w:type="pct"/>
            <w:shd w:val="clear" w:color="auto" w:fill="FFFFFF" w:themeFill="background2"/>
            <w:tcMar>
              <w:left w:w="108" w:type="dxa"/>
              <w:right w:w="108" w:type="dxa"/>
            </w:tcMar>
          </w:tcPr>
          <w:p w14:paraId="7094F7E8" w14:textId="7E7065EA"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Connectivity across continent </w:t>
            </w:r>
          </w:p>
          <w:p w14:paraId="1DF772E6"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Performance of the continental network </w:t>
            </w:r>
          </w:p>
          <w:p w14:paraId="38FF9F85" w14:textId="77777777" w:rsidR="00C709FA" w:rsidRPr="00662906" w:rsidRDefault="00C709FA" w:rsidP="00B73071">
            <w:pPr>
              <w:spacing w:before="40" w:after="40" w:line="214" w:lineRule="auto"/>
              <w:jc w:val="left"/>
              <w:rPr>
                <w:rFonts w:eastAsia="Arial" w:cs="Arial"/>
                <w:color w:val="394A58"/>
                <w:sz w:val="18"/>
                <w:szCs w:val="18"/>
              </w:rPr>
            </w:pPr>
            <w:r w:rsidRPr="00662906">
              <w:rPr>
                <w:rFonts w:eastAsia="Arial" w:cs="Arial"/>
                <w:color w:val="394A58"/>
                <w:sz w:val="18"/>
                <w:szCs w:val="18"/>
              </w:rPr>
              <w:t xml:space="preserve">Innovation on efficient network systems </w:t>
            </w:r>
            <w:r w:rsidRPr="00662906">
              <w:rPr>
                <w:rFonts w:eastAsia="Arial" w:cs="Arial"/>
                <w:color w:val="394A58"/>
                <w:sz w:val="18"/>
                <w:szCs w:val="18"/>
              </w:rPr>
              <w:br/>
            </w:r>
          </w:p>
        </w:tc>
        <w:tc>
          <w:tcPr>
            <w:tcW w:w="1156" w:type="pct"/>
            <w:shd w:val="clear" w:color="auto" w:fill="FFFFFF" w:themeFill="background2"/>
            <w:tcMar>
              <w:left w:w="108" w:type="dxa"/>
              <w:right w:w="108" w:type="dxa"/>
            </w:tcMar>
          </w:tcPr>
          <w:p w14:paraId="41979379" w14:textId="77777777" w:rsidR="00C709FA" w:rsidRPr="00662906" w:rsidRDefault="00C709FA" w:rsidP="00B73071">
            <w:pPr>
              <w:spacing w:before="40" w:after="40" w:line="214" w:lineRule="auto"/>
              <w:jc w:val="left"/>
              <w:rPr>
                <w:rFonts w:eastAsia="Arial" w:cs="Arial"/>
                <w:color w:val="394A58"/>
                <w:sz w:val="18"/>
                <w:szCs w:val="18"/>
              </w:rPr>
            </w:pPr>
            <w:r w:rsidRPr="00662906">
              <w:rPr>
                <w:rFonts w:eastAsia="Arial" w:cs="Arial"/>
                <w:color w:val="394A58"/>
                <w:sz w:val="18"/>
                <w:szCs w:val="18"/>
              </w:rPr>
              <w:t xml:space="preserve">Connected power pools </w:t>
            </w:r>
          </w:p>
          <w:p w14:paraId="6F0160D8"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T&amp;D losses % </w:t>
            </w:r>
          </w:p>
          <w:p w14:paraId="22ED4125" w14:textId="4E4A9CB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Traded electricity</w:t>
            </w:r>
            <w:r w:rsidR="00D97148" w:rsidRPr="00662906">
              <w:rPr>
                <w:rFonts w:eastAsia="Arial" w:cs="Arial"/>
                <w:color w:val="394A58"/>
                <w:sz w:val="18"/>
                <w:szCs w:val="18"/>
              </w:rPr>
              <w:t xml:space="preserve"> Gigawatt hour</w:t>
            </w:r>
            <w:r w:rsidRPr="00662906">
              <w:rPr>
                <w:rFonts w:eastAsia="Arial" w:cs="Arial"/>
                <w:color w:val="394A58"/>
                <w:sz w:val="18"/>
                <w:szCs w:val="18"/>
              </w:rPr>
              <w:t xml:space="preserve"> </w:t>
            </w:r>
            <w:r w:rsidR="00D97148" w:rsidRPr="00662906">
              <w:rPr>
                <w:rFonts w:eastAsia="Arial" w:cs="Arial"/>
                <w:color w:val="394A58"/>
                <w:sz w:val="18"/>
                <w:szCs w:val="18"/>
              </w:rPr>
              <w:t>(</w:t>
            </w:r>
            <w:r w:rsidRPr="00662906">
              <w:rPr>
                <w:rFonts w:eastAsia="Arial" w:cs="Arial"/>
                <w:color w:val="394A58"/>
                <w:sz w:val="18"/>
                <w:szCs w:val="18"/>
              </w:rPr>
              <w:t>GWh</w:t>
            </w:r>
            <w:r w:rsidR="00D97148" w:rsidRPr="00662906">
              <w:rPr>
                <w:rFonts w:eastAsia="Arial" w:cs="Arial"/>
                <w:color w:val="394A58"/>
                <w:sz w:val="18"/>
                <w:szCs w:val="18"/>
              </w:rPr>
              <w:t>)</w:t>
            </w:r>
            <w:r w:rsidRPr="00662906">
              <w:rPr>
                <w:rFonts w:eastAsia="Arial" w:cs="Arial"/>
                <w:color w:val="394A58"/>
                <w:sz w:val="18"/>
                <w:szCs w:val="18"/>
              </w:rPr>
              <w:t xml:space="preserve"> </w:t>
            </w:r>
          </w:p>
          <w:p w14:paraId="02E8F9E4" w14:textId="77777777" w:rsidR="00C709FA" w:rsidRPr="00662906" w:rsidRDefault="00C709FA" w:rsidP="00B73071">
            <w:pPr>
              <w:spacing w:before="40" w:after="40" w:line="214" w:lineRule="auto"/>
              <w:jc w:val="left"/>
              <w:rPr>
                <w:rFonts w:eastAsia="Arial" w:cs="Arial"/>
                <w:color w:val="394A58"/>
                <w:sz w:val="18"/>
                <w:szCs w:val="18"/>
              </w:rPr>
            </w:pPr>
            <w:r w:rsidRPr="00662906">
              <w:rPr>
                <w:rFonts w:eastAsia="Arial" w:cs="Arial"/>
                <w:color w:val="394A58"/>
                <w:sz w:val="18"/>
                <w:szCs w:val="18"/>
              </w:rPr>
              <w:t>New Smart network systems</w:t>
            </w:r>
          </w:p>
          <w:p w14:paraId="3EC76450" w14:textId="77777777" w:rsidR="00C709FA" w:rsidRPr="00662906" w:rsidRDefault="00C709FA" w:rsidP="00B73071">
            <w:pPr>
              <w:spacing w:before="40" w:after="40" w:line="214" w:lineRule="auto"/>
              <w:jc w:val="left"/>
              <w:rPr>
                <w:rFonts w:eastAsia="Arial" w:cs="Arial"/>
                <w:color w:val="394A58"/>
                <w:sz w:val="18"/>
                <w:szCs w:val="18"/>
              </w:rPr>
            </w:pPr>
          </w:p>
        </w:tc>
      </w:tr>
      <w:tr w:rsidR="00793369" w:rsidRPr="00662906" w14:paraId="450A99AD" w14:textId="77777777" w:rsidTr="00793369">
        <w:trPr>
          <w:trHeight w:val="300"/>
        </w:trPr>
        <w:tc>
          <w:tcPr>
            <w:tcW w:w="807" w:type="pct"/>
            <w:vMerge w:val="restart"/>
            <w:shd w:val="clear" w:color="auto" w:fill="FFFFFF" w:themeFill="background2"/>
            <w:tcMar>
              <w:left w:w="108" w:type="dxa"/>
              <w:right w:w="108" w:type="dxa"/>
            </w:tcMar>
          </w:tcPr>
          <w:p w14:paraId="3E77874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Transport subsector </w:t>
            </w:r>
          </w:p>
        </w:tc>
        <w:tc>
          <w:tcPr>
            <w:tcW w:w="843" w:type="pct"/>
            <w:vMerge w:val="restart"/>
            <w:shd w:val="clear" w:color="auto" w:fill="FFFFFF" w:themeFill="background2"/>
            <w:tcMar>
              <w:left w:w="108" w:type="dxa"/>
              <w:right w:w="108" w:type="dxa"/>
            </w:tcMar>
          </w:tcPr>
          <w:p w14:paraId="0A8E6274"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Advance Sustainable Transport Solutions </w:t>
            </w:r>
          </w:p>
        </w:tc>
        <w:tc>
          <w:tcPr>
            <w:tcW w:w="1156" w:type="pct"/>
            <w:shd w:val="clear" w:color="auto" w:fill="FFFFFF" w:themeFill="background2"/>
            <w:tcMar>
              <w:left w:w="108" w:type="dxa"/>
              <w:right w:w="108" w:type="dxa"/>
            </w:tcMar>
          </w:tcPr>
          <w:p w14:paraId="1363BF94"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1. Promoting introduction of various NEVs and clean fuels in various sub sectors of the transport sector. </w:t>
            </w:r>
          </w:p>
        </w:tc>
        <w:tc>
          <w:tcPr>
            <w:tcW w:w="1038" w:type="pct"/>
            <w:shd w:val="clear" w:color="auto" w:fill="FFFFFF" w:themeFill="background2"/>
            <w:tcMar>
              <w:left w:w="108" w:type="dxa"/>
              <w:right w:w="108" w:type="dxa"/>
            </w:tcMar>
          </w:tcPr>
          <w:p w14:paraId="74B95685"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Population/fleet of NEVs</w:t>
            </w:r>
          </w:p>
          <w:p w14:paraId="053930A5"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Clean fuels/ used in transport </w:t>
            </w:r>
          </w:p>
        </w:tc>
        <w:tc>
          <w:tcPr>
            <w:tcW w:w="1156" w:type="pct"/>
            <w:shd w:val="clear" w:color="auto" w:fill="FFFFFF" w:themeFill="background2"/>
            <w:tcMar>
              <w:left w:w="108" w:type="dxa"/>
              <w:right w:w="108" w:type="dxa"/>
            </w:tcMar>
          </w:tcPr>
          <w:p w14:paraId="7E0BD4DF"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Number of NEV by type</w:t>
            </w:r>
          </w:p>
          <w:p w14:paraId="26F2724A"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Quantity of clean fuels supplied to transport sector </w:t>
            </w:r>
          </w:p>
          <w:p w14:paraId="3E173D5A" w14:textId="095A4DC0"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Estimated GHG reductions by NEV</w:t>
            </w:r>
            <w:r w:rsidR="00D97148" w:rsidRPr="00662906">
              <w:rPr>
                <w:rFonts w:eastAsia="Arial" w:cs="Arial"/>
                <w:color w:val="394A58"/>
                <w:sz w:val="18"/>
                <w:szCs w:val="18"/>
              </w:rPr>
              <w:t xml:space="preserve">s </w:t>
            </w:r>
            <w:r w:rsidRPr="00662906">
              <w:rPr>
                <w:rFonts w:eastAsia="Arial" w:cs="Arial"/>
                <w:color w:val="394A58"/>
                <w:sz w:val="18"/>
                <w:szCs w:val="18"/>
              </w:rPr>
              <w:t>and Clean fuels</w:t>
            </w:r>
          </w:p>
        </w:tc>
      </w:tr>
      <w:tr w:rsidR="00C709FA" w:rsidRPr="00662906" w14:paraId="52580A06" w14:textId="77777777" w:rsidTr="0098698D">
        <w:trPr>
          <w:trHeight w:val="300"/>
        </w:trPr>
        <w:tc>
          <w:tcPr>
            <w:tcW w:w="807" w:type="pct"/>
            <w:vMerge/>
            <w:vAlign w:val="center"/>
          </w:tcPr>
          <w:p w14:paraId="455A37FD" w14:textId="77777777" w:rsidR="00C709FA" w:rsidRPr="00662906" w:rsidRDefault="00C709FA" w:rsidP="00B73071">
            <w:pPr>
              <w:rPr>
                <w:rFonts w:cs="Arial"/>
                <w:sz w:val="18"/>
                <w:szCs w:val="18"/>
              </w:rPr>
            </w:pPr>
          </w:p>
        </w:tc>
        <w:tc>
          <w:tcPr>
            <w:tcW w:w="843" w:type="pct"/>
            <w:vMerge/>
            <w:vAlign w:val="center"/>
          </w:tcPr>
          <w:p w14:paraId="3122B9BB"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1C3C0617"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2: Transitioning the conventional transport systems to multi-modal transport systems for efficient use and energy demand reduction.  </w:t>
            </w:r>
          </w:p>
        </w:tc>
        <w:tc>
          <w:tcPr>
            <w:tcW w:w="1038" w:type="pct"/>
            <w:shd w:val="clear" w:color="auto" w:fill="FFFFFF" w:themeFill="background2"/>
            <w:tcMar>
              <w:left w:w="108" w:type="dxa"/>
              <w:right w:w="108" w:type="dxa"/>
            </w:tcMar>
          </w:tcPr>
          <w:p w14:paraId="45C25AF3" w14:textId="3902B3E6"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Services accessibility and mobility</w:t>
            </w:r>
          </w:p>
        </w:tc>
        <w:tc>
          <w:tcPr>
            <w:tcW w:w="1156" w:type="pct"/>
            <w:shd w:val="clear" w:color="auto" w:fill="FFFFFF" w:themeFill="background2"/>
            <w:tcMar>
              <w:left w:w="108" w:type="dxa"/>
              <w:right w:w="108" w:type="dxa"/>
            </w:tcMar>
          </w:tcPr>
          <w:p w14:paraId="4C27F7C4" w14:textId="37BC5BFE"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Passenger/tonne km per year/capita</w:t>
            </w:r>
          </w:p>
          <w:p w14:paraId="3458EBBA" w14:textId="7391B435"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Estimated GHG per</w:t>
            </w:r>
            <w:r w:rsidR="00182D6B" w:rsidRPr="00662906">
              <w:rPr>
                <w:rFonts w:eastAsia="Arial" w:cs="Arial"/>
                <w:color w:val="394A58"/>
                <w:sz w:val="18"/>
                <w:szCs w:val="18"/>
              </w:rPr>
              <w:t xml:space="preserve"> passenger-kilometres (p-km) for passenger transport and tonne-kilometres (t-km) for freight or goods transport.</w:t>
            </w:r>
          </w:p>
        </w:tc>
      </w:tr>
      <w:tr w:rsidR="00793369" w:rsidRPr="00662906" w14:paraId="34053B37" w14:textId="77777777" w:rsidTr="00793369">
        <w:trPr>
          <w:trHeight w:val="300"/>
        </w:trPr>
        <w:tc>
          <w:tcPr>
            <w:tcW w:w="807" w:type="pct"/>
            <w:vMerge w:val="restart"/>
            <w:shd w:val="clear" w:color="auto" w:fill="FFFFFF" w:themeFill="background2"/>
            <w:tcMar>
              <w:left w:w="108" w:type="dxa"/>
              <w:right w:w="108" w:type="dxa"/>
            </w:tcMar>
          </w:tcPr>
          <w:p w14:paraId="16855EA6"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Buildings</w:t>
            </w:r>
          </w:p>
        </w:tc>
        <w:tc>
          <w:tcPr>
            <w:tcW w:w="843" w:type="pct"/>
            <w:vMerge w:val="restart"/>
            <w:shd w:val="clear" w:color="auto" w:fill="FFFFFF" w:themeFill="background2"/>
            <w:tcMar>
              <w:left w:w="108" w:type="dxa"/>
              <w:right w:w="108" w:type="dxa"/>
            </w:tcMar>
          </w:tcPr>
          <w:p w14:paraId="158CD150"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Elevate Building Standards for Energy </w:t>
            </w:r>
          </w:p>
        </w:tc>
        <w:tc>
          <w:tcPr>
            <w:tcW w:w="1156" w:type="pct"/>
            <w:shd w:val="clear" w:color="auto" w:fill="FFFFFF" w:themeFill="background2"/>
            <w:tcMar>
              <w:left w:w="108" w:type="dxa"/>
              <w:right w:w="108" w:type="dxa"/>
            </w:tcMar>
          </w:tcPr>
          <w:p w14:paraId="564696B8"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1: Strengthen and adopt compliance with building energy codes  </w:t>
            </w:r>
          </w:p>
        </w:tc>
        <w:tc>
          <w:tcPr>
            <w:tcW w:w="1038" w:type="pct"/>
            <w:shd w:val="clear" w:color="auto" w:fill="FFFFFF" w:themeFill="background2"/>
            <w:tcMar>
              <w:left w:w="108" w:type="dxa"/>
              <w:right w:w="108" w:type="dxa"/>
            </w:tcMar>
          </w:tcPr>
          <w:p w14:paraId="6D10F492"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Adoption of building codes by buildings </w:t>
            </w:r>
          </w:p>
        </w:tc>
        <w:tc>
          <w:tcPr>
            <w:tcW w:w="1156" w:type="pct"/>
            <w:shd w:val="clear" w:color="auto" w:fill="FFFFFF" w:themeFill="background2"/>
            <w:tcMar>
              <w:left w:w="108" w:type="dxa"/>
              <w:right w:w="108" w:type="dxa"/>
            </w:tcMar>
          </w:tcPr>
          <w:p w14:paraId="3E837C2D"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No of AU Member States with harmonized building codes </w:t>
            </w:r>
          </w:p>
        </w:tc>
      </w:tr>
      <w:tr w:rsidR="00C709FA" w:rsidRPr="00662906" w14:paraId="236F81CC" w14:textId="77777777" w:rsidTr="0098698D">
        <w:trPr>
          <w:trHeight w:val="300"/>
        </w:trPr>
        <w:tc>
          <w:tcPr>
            <w:tcW w:w="807" w:type="pct"/>
            <w:vMerge/>
            <w:vAlign w:val="center"/>
          </w:tcPr>
          <w:p w14:paraId="0470E3CA" w14:textId="77777777" w:rsidR="00C709FA" w:rsidRPr="00662906" w:rsidRDefault="00C709FA" w:rsidP="00B73071">
            <w:pPr>
              <w:rPr>
                <w:rFonts w:cs="Arial"/>
                <w:sz w:val="18"/>
                <w:szCs w:val="18"/>
              </w:rPr>
            </w:pPr>
          </w:p>
        </w:tc>
        <w:tc>
          <w:tcPr>
            <w:tcW w:w="843" w:type="pct"/>
            <w:vMerge/>
            <w:vAlign w:val="center"/>
          </w:tcPr>
          <w:p w14:paraId="79DF5D46"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090A3CAC"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2: Boost market demand for Energy Efficient buildings  </w:t>
            </w:r>
          </w:p>
        </w:tc>
        <w:tc>
          <w:tcPr>
            <w:tcW w:w="1038" w:type="pct"/>
            <w:shd w:val="clear" w:color="auto" w:fill="FFFFFF" w:themeFill="background2"/>
            <w:tcMar>
              <w:left w:w="108" w:type="dxa"/>
              <w:right w:w="108" w:type="dxa"/>
            </w:tcMar>
          </w:tcPr>
          <w:p w14:paraId="68C637B9"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Building on EE </w:t>
            </w:r>
          </w:p>
        </w:tc>
        <w:tc>
          <w:tcPr>
            <w:tcW w:w="1156" w:type="pct"/>
            <w:shd w:val="clear" w:color="auto" w:fill="FFFFFF" w:themeFill="background2"/>
            <w:tcMar>
              <w:left w:w="108" w:type="dxa"/>
              <w:right w:w="108" w:type="dxa"/>
            </w:tcMar>
          </w:tcPr>
          <w:p w14:paraId="1754989D" w14:textId="4C48F9A9"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By Floor size (m</w:t>
            </w:r>
            <w:r w:rsidRPr="00662906">
              <w:rPr>
                <w:rFonts w:eastAsia="Arial" w:cs="Arial"/>
                <w:color w:val="394A58"/>
                <w:sz w:val="18"/>
                <w:szCs w:val="18"/>
                <w:vertAlign w:val="superscript"/>
              </w:rPr>
              <w:t>2</w:t>
            </w:r>
            <w:r w:rsidRPr="00662906">
              <w:rPr>
                <w:rFonts w:eastAsia="Arial" w:cs="Arial"/>
                <w:color w:val="394A58"/>
                <w:sz w:val="18"/>
                <w:szCs w:val="18"/>
              </w:rPr>
              <w:t>)</w:t>
            </w:r>
          </w:p>
        </w:tc>
      </w:tr>
      <w:tr w:rsidR="00C709FA" w:rsidRPr="00662906" w14:paraId="2557C68D" w14:textId="77777777" w:rsidTr="005A71B4">
        <w:trPr>
          <w:trHeight w:val="300"/>
        </w:trPr>
        <w:tc>
          <w:tcPr>
            <w:tcW w:w="807" w:type="pct"/>
            <w:vMerge/>
            <w:vAlign w:val="center"/>
          </w:tcPr>
          <w:p w14:paraId="07D342E2" w14:textId="77777777" w:rsidR="00C709FA" w:rsidRPr="00662906" w:rsidRDefault="00C709FA" w:rsidP="00B73071">
            <w:pPr>
              <w:rPr>
                <w:rFonts w:cs="Arial"/>
                <w:sz w:val="18"/>
                <w:szCs w:val="18"/>
              </w:rPr>
            </w:pPr>
          </w:p>
        </w:tc>
        <w:tc>
          <w:tcPr>
            <w:tcW w:w="843" w:type="pct"/>
            <w:vMerge/>
            <w:vAlign w:val="center"/>
          </w:tcPr>
          <w:p w14:paraId="4EB98E6D"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3F99B986"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3: Boost capacity for delivering energy efficient buildings  </w:t>
            </w:r>
          </w:p>
        </w:tc>
        <w:tc>
          <w:tcPr>
            <w:tcW w:w="1038" w:type="pct"/>
            <w:shd w:val="clear" w:color="auto" w:fill="FFFFFF" w:themeFill="background2"/>
            <w:tcMar>
              <w:left w:w="108" w:type="dxa"/>
              <w:right w:w="108" w:type="dxa"/>
            </w:tcMar>
          </w:tcPr>
          <w:p w14:paraId="076F1FED" w14:textId="77777777" w:rsidR="00C709FA" w:rsidRPr="00662906" w:rsidRDefault="00C709FA" w:rsidP="005A71B4">
            <w:pPr>
              <w:spacing w:after="0"/>
              <w:jc w:val="left"/>
              <w:rPr>
                <w:rFonts w:eastAsia="Arial" w:cs="Arial"/>
                <w:color w:val="394A58"/>
                <w:sz w:val="18"/>
                <w:szCs w:val="18"/>
              </w:rPr>
            </w:pPr>
            <w:r w:rsidRPr="00662906">
              <w:rPr>
                <w:rFonts w:eastAsia="Arial" w:cs="Arial"/>
                <w:color w:val="394A58"/>
                <w:sz w:val="18"/>
                <w:szCs w:val="18"/>
              </w:rPr>
              <w:t>Experts Accreditation Scheme and accreditation of Trained experts for EE in buildings</w:t>
            </w:r>
          </w:p>
        </w:tc>
        <w:tc>
          <w:tcPr>
            <w:tcW w:w="1156" w:type="pct"/>
            <w:shd w:val="clear" w:color="auto" w:fill="FFFFFF" w:themeFill="background2"/>
            <w:tcMar>
              <w:left w:w="108" w:type="dxa"/>
              <w:right w:w="108" w:type="dxa"/>
            </w:tcMar>
          </w:tcPr>
          <w:p w14:paraId="4D287D32"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No and types of skills</w:t>
            </w:r>
          </w:p>
        </w:tc>
      </w:tr>
      <w:tr w:rsidR="00793369" w:rsidRPr="00662906" w14:paraId="5D21BD93" w14:textId="77777777" w:rsidTr="00793369">
        <w:trPr>
          <w:trHeight w:val="300"/>
        </w:trPr>
        <w:tc>
          <w:tcPr>
            <w:tcW w:w="807" w:type="pct"/>
            <w:vMerge w:val="restart"/>
            <w:shd w:val="clear" w:color="auto" w:fill="FFFFFF" w:themeFill="background2"/>
            <w:tcMar>
              <w:left w:w="108" w:type="dxa"/>
              <w:right w:w="108" w:type="dxa"/>
            </w:tcMar>
          </w:tcPr>
          <w:p w14:paraId="3368CB77"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Industry</w:t>
            </w:r>
          </w:p>
        </w:tc>
        <w:tc>
          <w:tcPr>
            <w:tcW w:w="843" w:type="pct"/>
            <w:vMerge w:val="restart"/>
            <w:shd w:val="clear" w:color="auto" w:fill="FFFFFF" w:themeFill="background2"/>
            <w:tcMar>
              <w:left w:w="108" w:type="dxa"/>
              <w:right w:w="108" w:type="dxa"/>
            </w:tcMar>
          </w:tcPr>
          <w:p w14:paraId="56526F91"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Foster Sustainable and transformative Industrial Development:  </w:t>
            </w:r>
          </w:p>
        </w:tc>
        <w:tc>
          <w:tcPr>
            <w:tcW w:w="1156" w:type="pct"/>
            <w:shd w:val="clear" w:color="auto" w:fill="FFFFFF" w:themeFill="background2"/>
            <w:tcMar>
              <w:left w:w="108" w:type="dxa"/>
              <w:right w:w="108" w:type="dxa"/>
            </w:tcMar>
          </w:tcPr>
          <w:p w14:paraId="338EF7A0"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 Target reduction of fossil fuel demand in industry through fuel substitution, RE supply and EE Practices </w:t>
            </w:r>
          </w:p>
        </w:tc>
        <w:tc>
          <w:tcPr>
            <w:tcW w:w="1038" w:type="pct"/>
            <w:shd w:val="clear" w:color="auto" w:fill="FFFFFF" w:themeFill="background2"/>
            <w:tcMar>
              <w:left w:w="108" w:type="dxa"/>
              <w:right w:w="108" w:type="dxa"/>
            </w:tcMar>
          </w:tcPr>
          <w:p w14:paraId="0EBE88D3"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Fossil fuel consumption in industry</w:t>
            </w:r>
          </w:p>
          <w:p w14:paraId="3E93B602"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RE deployed in the sector</w:t>
            </w:r>
          </w:p>
          <w:p w14:paraId="43BA3CC6" w14:textId="77777777" w:rsidR="00C709FA" w:rsidRPr="00662906" w:rsidRDefault="00C709FA" w:rsidP="00B73071">
            <w:pPr>
              <w:spacing w:before="40" w:after="40"/>
              <w:jc w:val="left"/>
              <w:rPr>
                <w:rFonts w:eastAsia="Arial" w:cs="Arial"/>
                <w:color w:val="394A58"/>
                <w:sz w:val="18"/>
                <w:szCs w:val="18"/>
              </w:rPr>
            </w:pPr>
          </w:p>
        </w:tc>
        <w:tc>
          <w:tcPr>
            <w:tcW w:w="1156" w:type="pct"/>
            <w:shd w:val="clear" w:color="auto" w:fill="FFFFFF" w:themeFill="background2"/>
            <w:tcMar>
              <w:left w:w="108" w:type="dxa"/>
              <w:right w:w="108" w:type="dxa"/>
            </w:tcMar>
          </w:tcPr>
          <w:p w14:paraId="5ABA4DCC"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of fossil fuels used in industry subsector</w:t>
            </w:r>
          </w:p>
          <w:p w14:paraId="38476B18"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%RE </w:t>
            </w:r>
          </w:p>
        </w:tc>
      </w:tr>
      <w:tr w:rsidR="00C709FA" w:rsidRPr="00662906" w14:paraId="32F730D4" w14:textId="77777777" w:rsidTr="0098698D">
        <w:trPr>
          <w:trHeight w:val="300"/>
        </w:trPr>
        <w:tc>
          <w:tcPr>
            <w:tcW w:w="807" w:type="pct"/>
            <w:vMerge/>
            <w:vAlign w:val="center"/>
          </w:tcPr>
          <w:p w14:paraId="1E4521B4" w14:textId="77777777" w:rsidR="00C709FA" w:rsidRPr="00662906" w:rsidRDefault="00C709FA" w:rsidP="00B73071">
            <w:pPr>
              <w:rPr>
                <w:rFonts w:cs="Arial"/>
                <w:sz w:val="18"/>
                <w:szCs w:val="18"/>
              </w:rPr>
            </w:pPr>
          </w:p>
        </w:tc>
        <w:tc>
          <w:tcPr>
            <w:tcW w:w="843" w:type="pct"/>
            <w:vMerge/>
            <w:vAlign w:val="center"/>
          </w:tcPr>
          <w:p w14:paraId="5D2ABCF9"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4BA07A57"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 Strategic Intervention 2. Transformative industrialization to leverage Africa’s comparative advantage </w:t>
            </w:r>
          </w:p>
        </w:tc>
        <w:tc>
          <w:tcPr>
            <w:tcW w:w="1038" w:type="pct"/>
            <w:shd w:val="clear" w:color="auto" w:fill="FFFFFF" w:themeFill="background2"/>
            <w:tcMar>
              <w:left w:w="108" w:type="dxa"/>
              <w:right w:w="108" w:type="dxa"/>
            </w:tcMar>
          </w:tcPr>
          <w:p w14:paraId="66824C4C"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Battery and hydrogen manufacturing capacity on the continent </w:t>
            </w:r>
          </w:p>
          <w:p w14:paraId="2FB5E0A5" w14:textId="77777777" w:rsidR="00C709FA" w:rsidRPr="00662906" w:rsidRDefault="00C709FA" w:rsidP="00B73071">
            <w:pPr>
              <w:spacing w:before="0" w:after="0"/>
              <w:jc w:val="left"/>
              <w:rPr>
                <w:rFonts w:eastAsia="Arial" w:cs="Arial"/>
                <w:color w:val="394A58"/>
                <w:sz w:val="18"/>
                <w:szCs w:val="18"/>
              </w:rPr>
            </w:pPr>
            <w:r w:rsidRPr="00662906">
              <w:rPr>
                <w:rFonts w:eastAsia="Arial" w:cs="Arial"/>
                <w:color w:val="394A58"/>
                <w:sz w:val="18"/>
                <w:szCs w:val="18"/>
              </w:rPr>
              <w:t xml:space="preserve">Investment in industry </w:t>
            </w:r>
          </w:p>
          <w:p w14:paraId="6F77D608"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Innovative battery and hydrogen technologies and fuels</w:t>
            </w:r>
          </w:p>
        </w:tc>
        <w:tc>
          <w:tcPr>
            <w:tcW w:w="1156" w:type="pct"/>
            <w:shd w:val="clear" w:color="auto" w:fill="FFFFFF" w:themeFill="background2"/>
            <w:tcMar>
              <w:left w:w="108" w:type="dxa"/>
              <w:right w:w="108" w:type="dxa"/>
            </w:tcMar>
          </w:tcPr>
          <w:p w14:paraId="635AE4AB"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Battery MW</w:t>
            </w:r>
          </w:p>
          <w:p w14:paraId="6A7BBDE0" w14:textId="37BB3F0E"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Hydrogen Quantity (M</w:t>
            </w:r>
            <w:r w:rsidR="00BA6EAE" w:rsidRPr="00662906">
              <w:rPr>
                <w:rFonts w:eastAsia="Arial" w:cs="Arial"/>
                <w:color w:val="394A58"/>
                <w:sz w:val="18"/>
                <w:szCs w:val="18"/>
              </w:rPr>
              <w:t>T-</w:t>
            </w:r>
            <w:r w:rsidRPr="00662906">
              <w:rPr>
                <w:rFonts w:eastAsia="Arial" w:cs="Arial"/>
                <w:color w:val="394A58"/>
                <w:sz w:val="18"/>
                <w:szCs w:val="18"/>
              </w:rPr>
              <w:t>H</w:t>
            </w:r>
            <w:r w:rsidRPr="00662906">
              <w:rPr>
                <w:rFonts w:eastAsia="Arial" w:cs="Arial"/>
                <w:color w:val="394A58"/>
                <w:sz w:val="18"/>
                <w:szCs w:val="18"/>
                <w:vertAlign w:val="subscript"/>
              </w:rPr>
              <w:t>2</w:t>
            </w:r>
            <w:r w:rsidRPr="00662906">
              <w:rPr>
                <w:rFonts w:eastAsia="Arial" w:cs="Arial"/>
                <w:color w:val="394A58"/>
                <w:sz w:val="18"/>
                <w:szCs w:val="18"/>
              </w:rPr>
              <w:t>/year)</w:t>
            </w:r>
          </w:p>
          <w:p w14:paraId="28303961"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US$</w:t>
            </w:r>
          </w:p>
          <w:p w14:paraId="5D161381"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New battery and hydrogen technologies and fuels</w:t>
            </w:r>
          </w:p>
        </w:tc>
      </w:tr>
      <w:tr w:rsidR="00793369" w:rsidRPr="00662906" w14:paraId="65D22591" w14:textId="77777777" w:rsidTr="00793369">
        <w:trPr>
          <w:trHeight w:val="300"/>
        </w:trPr>
        <w:tc>
          <w:tcPr>
            <w:tcW w:w="807" w:type="pct"/>
            <w:vMerge w:val="restart"/>
            <w:shd w:val="clear" w:color="auto" w:fill="FFFFFF" w:themeFill="background2"/>
            <w:tcMar>
              <w:left w:w="108" w:type="dxa"/>
              <w:right w:w="108" w:type="dxa"/>
            </w:tcMar>
          </w:tcPr>
          <w:p w14:paraId="5018FD3F"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Oil and Gas </w:t>
            </w:r>
          </w:p>
        </w:tc>
        <w:tc>
          <w:tcPr>
            <w:tcW w:w="843" w:type="pct"/>
            <w:vMerge w:val="restart"/>
            <w:shd w:val="clear" w:color="auto" w:fill="FFFFFF" w:themeFill="background2"/>
            <w:tcMar>
              <w:left w:w="108" w:type="dxa"/>
              <w:right w:w="108" w:type="dxa"/>
            </w:tcMar>
          </w:tcPr>
          <w:p w14:paraId="69B8379F"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Optimize Oil and Gas Sector Transition </w:t>
            </w:r>
          </w:p>
        </w:tc>
        <w:tc>
          <w:tcPr>
            <w:tcW w:w="1156" w:type="pct"/>
            <w:shd w:val="clear" w:color="auto" w:fill="FFFFFF" w:themeFill="background2"/>
            <w:tcMar>
              <w:left w:w="108" w:type="dxa"/>
              <w:right w:w="108" w:type="dxa"/>
            </w:tcMar>
          </w:tcPr>
          <w:p w14:paraId="5B3AB184"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1: Sustainable supply of natural gas on the continent   </w:t>
            </w:r>
          </w:p>
        </w:tc>
        <w:tc>
          <w:tcPr>
            <w:tcW w:w="1038" w:type="pct"/>
            <w:shd w:val="clear" w:color="auto" w:fill="FFFFFF" w:themeFill="background2"/>
            <w:tcMar>
              <w:left w:w="108" w:type="dxa"/>
              <w:right w:w="108" w:type="dxa"/>
            </w:tcMar>
          </w:tcPr>
          <w:p w14:paraId="75B8FE39"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Existing and planned natural gas network coverage leading to increased Supplied NG on the continent</w:t>
            </w:r>
          </w:p>
          <w:p w14:paraId="54FDD8C7"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Share of Natural Gas in the energy Mix </w:t>
            </w:r>
          </w:p>
          <w:p w14:paraId="29721EBD"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Share of Natural as in power generation</w:t>
            </w:r>
          </w:p>
        </w:tc>
        <w:tc>
          <w:tcPr>
            <w:tcW w:w="1156" w:type="pct"/>
            <w:shd w:val="clear" w:color="auto" w:fill="FFFFFF" w:themeFill="background2"/>
            <w:tcMar>
              <w:left w:w="108" w:type="dxa"/>
              <w:right w:w="108" w:type="dxa"/>
            </w:tcMar>
          </w:tcPr>
          <w:p w14:paraId="1A120756"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Additional NG supplied Trillion Cubic Feet ((TCF</w:t>
            </w:r>
            <w:r w:rsidRPr="00662906">
              <w:rPr>
                <w:rFonts w:eastAsia="Candara" w:cs="Arial"/>
                <w:color w:val="394A58"/>
                <w:sz w:val="18"/>
                <w:szCs w:val="18"/>
              </w:rPr>
              <w:t>)</w:t>
            </w:r>
            <w:r w:rsidRPr="00662906">
              <w:rPr>
                <w:rFonts w:eastAsia="Arial" w:cs="Arial"/>
                <w:color w:val="394A58"/>
                <w:sz w:val="18"/>
                <w:szCs w:val="18"/>
              </w:rPr>
              <w:t xml:space="preserve">) </w:t>
            </w:r>
          </w:p>
          <w:p w14:paraId="4431F1AA" w14:textId="77777777" w:rsidR="00C709FA" w:rsidRPr="00662906" w:rsidRDefault="00C709FA" w:rsidP="00B73071">
            <w:pPr>
              <w:spacing w:after="0" w:line="230" w:lineRule="auto"/>
              <w:rPr>
                <w:rFonts w:eastAsia="Arial" w:cs="Arial"/>
                <w:color w:val="394A58"/>
                <w:sz w:val="18"/>
                <w:szCs w:val="18"/>
              </w:rPr>
            </w:pPr>
          </w:p>
          <w:p w14:paraId="3866AE8E" w14:textId="77777777" w:rsidR="005A71B4" w:rsidRPr="00662906" w:rsidRDefault="005A71B4" w:rsidP="00B73071">
            <w:pPr>
              <w:spacing w:after="0" w:line="230" w:lineRule="auto"/>
              <w:rPr>
                <w:rFonts w:eastAsia="Arial" w:cs="Arial"/>
                <w:color w:val="394A58"/>
                <w:sz w:val="18"/>
                <w:szCs w:val="18"/>
              </w:rPr>
            </w:pPr>
          </w:p>
          <w:p w14:paraId="4B10E9E3"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in the energy mix</w:t>
            </w:r>
          </w:p>
        </w:tc>
      </w:tr>
      <w:tr w:rsidR="00C709FA" w:rsidRPr="00662906" w14:paraId="6277C15A" w14:textId="77777777" w:rsidTr="0098698D">
        <w:trPr>
          <w:trHeight w:val="300"/>
        </w:trPr>
        <w:tc>
          <w:tcPr>
            <w:tcW w:w="807" w:type="pct"/>
            <w:vMerge/>
            <w:vAlign w:val="center"/>
          </w:tcPr>
          <w:p w14:paraId="35282472" w14:textId="77777777" w:rsidR="00C709FA" w:rsidRPr="00662906" w:rsidRDefault="00C709FA" w:rsidP="00B73071">
            <w:pPr>
              <w:rPr>
                <w:rFonts w:cs="Arial"/>
                <w:sz w:val="18"/>
                <w:szCs w:val="18"/>
              </w:rPr>
            </w:pPr>
          </w:p>
        </w:tc>
        <w:tc>
          <w:tcPr>
            <w:tcW w:w="843" w:type="pct"/>
            <w:vMerge/>
            <w:vAlign w:val="center"/>
          </w:tcPr>
          <w:p w14:paraId="600AFFBB"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21018C5E"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Strategic Intervention 2: Promote economic and technical efficiency in the production, transport, and use of oil and gas</w:t>
            </w:r>
          </w:p>
        </w:tc>
        <w:tc>
          <w:tcPr>
            <w:tcW w:w="1038" w:type="pct"/>
            <w:shd w:val="clear" w:color="auto" w:fill="FFFFFF" w:themeFill="background2"/>
            <w:tcMar>
              <w:left w:w="108" w:type="dxa"/>
              <w:right w:w="108" w:type="dxa"/>
            </w:tcMar>
          </w:tcPr>
          <w:p w14:paraId="5372A70C"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Investment into Natural gas</w:t>
            </w:r>
          </w:p>
          <w:p w14:paraId="707F5A56"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IOC/NOC </w:t>
            </w:r>
          </w:p>
          <w:p w14:paraId="60B9936B"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Financial stability (profit/debts) of public energy companies</w:t>
            </w:r>
          </w:p>
          <w:p w14:paraId="4A596B94"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Sustained subsidies</w:t>
            </w:r>
          </w:p>
        </w:tc>
        <w:tc>
          <w:tcPr>
            <w:tcW w:w="1156" w:type="pct"/>
            <w:shd w:val="clear" w:color="auto" w:fill="FFFFFF" w:themeFill="background2"/>
            <w:tcMar>
              <w:left w:w="108" w:type="dxa"/>
              <w:right w:w="108" w:type="dxa"/>
            </w:tcMar>
          </w:tcPr>
          <w:p w14:paraId="6380E255"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 US$ </w:t>
            </w:r>
          </w:p>
        </w:tc>
      </w:tr>
      <w:tr w:rsidR="00C709FA" w:rsidRPr="00662906" w14:paraId="06003011" w14:textId="77777777" w:rsidTr="0098698D">
        <w:trPr>
          <w:trHeight w:val="300"/>
        </w:trPr>
        <w:tc>
          <w:tcPr>
            <w:tcW w:w="807" w:type="pct"/>
            <w:vMerge/>
            <w:vAlign w:val="center"/>
          </w:tcPr>
          <w:p w14:paraId="274177CF" w14:textId="77777777" w:rsidR="00C709FA" w:rsidRPr="00662906" w:rsidRDefault="00C709FA" w:rsidP="00B73071">
            <w:pPr>
              <w:rPr>
                <w:rFonts w:cs="Arial"/>
                <w:sz w:val="18"/>
                <w:szCs w:val="18"/>
              </w:rPr>
            </w:pPr>
          </w:p>
        </w:tc>
        <w:tc>
          <w:tcPr>
            <w:tcW w:w="843" w:type="pct"/>
            <w:vMerge/>
            <w:vAlign w:val="center"/>
          </w:tcPr>
          <w:p w14:paraId="159DF913"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6868FC35"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3 ESG sustainability </w:t>
            </w:r>
          </w:p>
        </w:tc>
        <w:tc>
          <w:tcPr>
            <w:tcW w:w="1038" w:type="pct"/>
            <w:shd w:val="clear" w:color="auto" w:fill="FFFFFF" w:themeFill="background2"/>
            <w:tcMar>
              <w:left w:w="108" w:type="dxa"/>
              <w:right w:w="108" w:type="dxa"/>
            </w:tcMar>
          </w:tcPr>
          <w:p w14:paraId="1EA060D6"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Participation of IOC/NOC in Corporate Social Responsibility (CSR) activities</w:t>
            </w:r>
          </w:p>
          <w:p w14:paraId="09AFB495"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Job creation</w:t>
            </w:r>
          </w:p>
        </w:tc>
        <w:tc>
          <w:tcPr>
            <w:tcW w:w="1156" w:type="pct"/>
            <w:shd w:val="clear" w:color="auto" w:fill="FFFFFF" w:themeFill="background2"/>
            <w:tcMar>
              <w:left w:w="108" w:type="dxa"/>
              <w:right w:w="108" w:type="dxa"/>
            </w:tcMar>
          </w:tcPr>
          <w:p w14:paraId="34AF6C81"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US$ </w:t>
            </w:r>
          </w:p>
          <w:p w14:paraId="48E2696E"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Number of additional jobs created</w:t>
            </w:r>
          </w:p>
          <w:p w14:paraId="30F36F43"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IOC/NOC with ESG strategies</w:t>
            </w:r>
          </w:p>
        </w:tc>
      </w:tr>
      <w:tr w:rsidR="00793369" w:rsidRPr="00662906" w14:paraId="06595668" w14:textId="77777777" w:rsidTr="00793369">
        <w:trPr>
          <w:trHeight w:val="300"/>
        </w:trPr>
        <w:tc>
          <w:tcPr>
            <w:tcW w:w="807" w:type="pct"/>
            <w:vMerge w:val="restart"/>
            <w:shd w:val="clear" w:color="auto" w:fill="FFFFFF" w:themeFill="background2"/>
            <w:tcMar>
              <w:left w:w="108" w:type="dxa"/>
              <w:right w:w="108" w:type="dxa"/>
            </w:tcMar>
          </w:tcPr>
          <w:p w14:paraId="50409DAB"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lastRenderedPageBreak/>
              <w:t>Agriculture</w:t>
            </w:r>
          </w:p>
        </w:tc>
        <w:tc>
          <w:tcPr>
            <w:tcW w:w="843" w:type="pct"/>
            <w:vMerge w:val="restart"/>
            <w:shd w:val="clear" w:color="auto" w:fill="FFFFFF" w:themeFill="background2"/>
            <w:tcMar>
              <w:left w:w="108" w:type="dxa"/>
              <w:right w:w="108" w:type="dxa"/>
            </w:tcMar>
          </w:tcPr>
          <w:p w14:paraId="59ED8A60"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Increase the Use of Modern and Efficient Energy Technologies in Agriculture </w:t>
            </w:r>
          </w:p>
        </w:tc>
        <w:tc>
          <w:tcPr>
            <w:tcW w:w="1156" w:type="pct"/>
            <w:shd w:val="clear" w:color="auto" w:fill="FFFFFF" w:themeFill="background2"/>
            <w:tcMar>
              <w:left w:w="108" w:type="dxa"/>
              <w:right w:w="108" w:type="dxa"/>
            </w:tcMar>
          </w:tcPr>
          <w:p w14:paraId="08E27C3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1: Modernization of Agricultural Equipment  </w:t>
            </w:r>
          </w:p>
        </w:tc>
        <w:tc>
          <w:tcPr>
            <w:tcW w:w="1038" w:type="pct"/>
            <w:vMerge w:val="restart"/>
            <w:shd w:val="clear" w:color="auto" w:fill="FFFFFF" w:themeFill="background2"/>
            <w:tcMar>
              <w:left w:w="108" w:type="dxa"/>
              <w:right w:w="108" w:type="dxa"/>
            </w:tcMar>
          </w:tcPr>
          <w:p w14:paraId="73C4F132"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Modern and clean energy use in Agriculture </w:t>
            </w:r>
          </w:p>
          <w:p w14:paraId="6565FE7A"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Labour statistics</w:t>
            </w:r>
          </w:p>
        </w:tc>
        <w:tc>
          <w:tcPr>
            <w:tcW w:w="1156" w:type="pct"/>
            <w:vMerge w:val="restart"/>
            <w:shd w:val="clear" w:color="auto" w:fill="FFFFFF" w:themeFill="background2"/>
            <w:tcMar>
              <w:left w:w="108" w:type="dxa"/>
              <w:right w:w="108" w:type="dxa"/>
            </w:tcMar>
          </w:tcPr>
          <w:p w14:paraId="14E07D24"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of clean energy used in Agriculture </w:t>
            </w:r>
          </w:p>
          <w:p w14:paraId="032D9A5C"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of agriculture employment per hectare</w:t>
            </w:r>
          </w:p>
          <w:p w14:paraId="07876B74"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w:t>
            </w:r>
          </w:p>
        </w:tc>
      </w:tr>
      <w:tr w:rsidR="00C709FA" w:rsidRPr="00662906" w14:paraId="168D50F7" w14:textId="77777777" w:rsidTr="0098698D">
        <w:trPr>
          <w:trHeight w:val="300"/>
        </w:trPr>
        <w:tc>
          <w:tcPr>
            <w:tcW w:w="807" w:type="pct"/>
            <w:vMerge/>
            <w:vAlign w:val="center"/>
          </w:tcPr>
          <w:p w14:paraId="26FD7D7C" w14:textId="77777777" w:rsidR="00C709FA" w:rsidRPr="00662906" w:rsidRDefault="00C709FA" w:rsidP="00B73071">
            <w:pPr>
              <w:rPr>
                <w:rFonts w:cs="Arial"/>
                <w:sz w:val="18"/>
                <w:szCs w:val="18"/>
              </w:rPr>
            </w:pPr>
          </w:p>
        </w:tc>
        <w:tc>
          <w:tcPr>
            <w:tcW w:w="843" w:type="pct"/>
            <w:vMerge/>
          </w:tcPr>
          <w:p w14:paraId="65C3C90C"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2304CABF"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2: Promotion of Renewable Energy in Agriculture  </w:t>
            </w:r>
          </w:p>
        </w:tc>
        <w:tc>
          <w:tcPr>
            <w:tcW w:w="1038" w:type="pct"/>
            <w:vMerge/>
            <w:vAlign w:val="center"/>
          </w:tcPr>
          <w:p w14:paraId="09E2BEC2" w14:textId="77777777" w:rsidR="00C709FA" w:rsidRPr="00662906" w:rsidRDefault="00C709FA" w:rsidP="00B73071">
            <w:pPr>
              <w:rPr>
                <w:rFonts w:cs="Arial"/>
                <w:sz w:val="18"/>
                <w:szCs w:val="18"/>
              </w:rPr>
            </w:pPr>
          </w:p>
        </w:tc>
        <w:tc>
          <w:tcPr>
            <w:tcW w:w="1156" w:type="pct"/>
            <w:vMerge/>
            <w:vAlign w:val="center"/>
          </w:tcPr>
          <w:p w14:paraId="5ABCC2E2" w14:textId="77777777" w:rsidR="00C709FA" w:rsidRPr="00662906" w:rsidRDefault="00C709FA" w:rsidP="00B73071">
            <w:pPr>
              <w:rPr>
                <w:rFonts w:cs="Arial"/>
                <w:sz w:val="18"/>
                <w:szCs w:val="18"/>
              </w:rPr>
            </w:pPr>
          </w:p>
        </w:tc>
      </w:tr>
      <w:tr w:rsidR="00C709FA" w:rsidRPr="00662906" w14:paraId="7A9B43C9" w14:textId="77777777" w:rsidTr="0098698D">
        <w:trPr>
          <w:trHeight w:val="300"/>
        </w:trPr>
        <w:tc>
          <w:tcPr>
            <w:tcW w:w="807" w:type="pct"/>
            <w:vMerge/>
            <w:vAlign w:val="center"/>
          </w:tcPr>
          <w:p w14:paraId="3AC84B57" w14:textId="77777777" w:rsidR="00C709FA" w:rsidRPr="00662906" w:rsidRDefault="00C709FA" w:rsidP="00B73071">
            <w:pPr>
              <w:rPr>
                <w:rFonts w:cs="Arial"/>
                <w:sz w:val="18"/>
                <w:szCs w:val="18"/>
              </w:rPr>
            </w:pPr>
          </w:p>
        </w:tc>
        <w:tc>
          <w:tcPr>
            <w:tcW w:w="843" w:type="pct"/>
            <w:vMerge/>
          </w:tcPr>
          <w:p w14:paraId="30FF254B"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47467C2C" w14:textId="7D9ECF6B"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w:t>
            </w:r>
            <w:r w:rsidR="00172C40" w:rsidRPr="00662906">
              <w:rPr>
                <w:rFonts w:eastAsia="Arial" w:cs="Arial"/>
                <w:color w:val="394A58"/>
                <w:sz w:val="18"/>
                <w:szCs w:val="18"/>
              </w:rPr>
              <w:t>3</w:t>
            </w:r>
            <w:r w:rsidRPr="00662906">
              <w:rPr>
                <w:rFonts w:eastAsia="Arial" w:cs="Arial"/>
                <w:color w:val="394A58"/>
                <w:sz w:val="18"/>
                <w:szCs w:val="18"/>
              </w:rPr>
              <w:t xml:space="preserve">: Enhancement of Agricultural Extension Services  </w:t>
            </w:r>
          </w:p>
        </w:tc>
        <w:tc>
          <w:tcPr>
            <w:tcW w:w="1038" w:type="pct"/>
            <w:shd w:val="clear" w:color="auto" w:fill="FFFFFF" w:themeFill="background2"/>
            <w:tcMar>
              <w:left w:w="108" w:type="dxa"/>
              <w:right w:w="108" w:type="dxa"/>
            </w:tcMar>
          </w:tcPr>
          <w:p w14:paraId="76167A39" w14:textId="6DC341B1"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Productivity of the agricultural sector </w:t>
            </w:r>
          </w:p>
        </w:tc>
        <w:tc>
          <w:tcPr>
            <w:tcW w:w="1156" w:type="pct"/>
            <w:shd w:val="clear" w:color="auto" w:fill="FFFFFF" w:themeFill="background2"/>
            <w:tcMar>
              <w:left w:w="108" w:type="dxa"/>
              <w:right w:w="108" w:type="dxa"/>
            </w:tcMar>
          </w:tcPr>
          <w:p w14:paraId="575BDF88"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tonne/hectare </w:t>
            </w:r>
          </w:p>
        </w:tc>
      </w:tr>
      <w:tr w:rsidR="00793369" w:rsidRPr="00662906" w14:paraId="7CC332F9" w14:textId="77777777" w:rsidTr="00793369">
        <w:trPr>
          <w:trHeight w:val="300"/>
        </w:trPr>
        <w:tc>
          <w:tcPr>
            <w:tcW w:w="807" w:type="pct"/>
            <w:vMerge w:val="restart"/>
            <w:shd w:val="clear" w:color="auto" w:fill="FFFFFF" w:themeFill="background2"/>
            <w:tcMar>
              <w:left w:w="108" w:type="dxa"/>
              <w:right w:w="108" w:type="dxa"/>
            </w:tcMar>
          </w:tcPr>
          <w:p w14:paraId="31847EF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Clean Cooking </w:t>
            </w:r>
          </w:p>
        </w:tc>
        <w:tc>
          <w:tcPr>
            <w:tcW w:w="843" w:type="pct"/>
            <w:vMerge w:val="restart"/>
            <w:shd w:val="clear" w:color="auto" w:fill="FFFFFF" w:themeFill="background2"/>
            <w:tcMar>
              <w:left w:w="108" w:type="dxa"/>
              <w:right w:w="108" w:type="dxa"/>
            </w:tcMar>
          </w:tcPr>
          <w:p w14:paraId="43088B3F"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Promote the adoption of clean cooking technologies</w:t>
            </w:r>
          </w:p>
        </w:tc>
        <w:tc>
          <w:tcPr>
            <w:tcW w:w="1156" w:type="pct"/>
            <w:shd w:val="clear" w:color="auto" w:fill="FFFFFF" w:themeFill="background2"/>
            <w:tcMar>
              <w:left w:w="108" w:type="dxa"/>
              <w:right w:w="108" w:type="dxa"/>
            </w:tcMar>
          </w:tcPr>
          <w:p w14:paraId="39D2D9D6" w14:textId="36F4DAD6"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1: Development and Deployment of Advanced Cooking Technologies </w:t>
            </w:r>
          </w:p>
        </w:tc>
        <w:tc>
          <w:tcPr>
            <w:tcW w:w="1038" w:type="pct"/>
            <w:shd w:val="clear" w:color="auto" w:fill="FFFFFF" w:themeFill="background2"/>
            <w:tcMar>
              <w:left w:w="108" w:type="dxa"/>
              <w:right w:w="108" w:type="dxa"/>
            </w:tcMar>
          </w:tcPr>
          <w:p w14:paraId="68FBBA6F"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Population with clean cooking on the continent</w:t>
            </w:r>
          </w:p>
        </w:tc>
        <w:tc>
          <w:tcPr>
            <w:tcW w:w="1156" w:type="pct"/>
            <w:shd w:val="clear" w:color="auto" w:fill="FFFFFF" w:themeFill="background2"/>
            <w:tcMar>
              <w:left w:w="108" w:type="dxa"/>
              <w:right w:w="108" w:type="dxa"/>
            </w:tcMar>
          </w:tcPr>
          <w:p w14:paraId="1C2C3068"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 of population with clean cooking</w:t>
            </w:r>
          </w:p>
        </w:tc>
      </w:tr>
      <w:tr w:rsidR="00C709FA" w:rsidRPr="00662906" w14:paraId="2C61B33E" w14:textId="77777777" w:rsidTr="0098698D">
        <w:trPr>
          <w:trHeight w:val="300"/>
        </w:trPr>
        <w:tc>
          <w:tcPr>
            <w:tcW w:w="807" w:type="pct"/>
            <w:vMerge/>
            <w:vAlign w:val="center"/>
          </w:tcPr>
          <w:p w14:paraId="39E9B5E2" w14:textId="77777777" w:rsidR="00C709FA" w:rsidRPr="00662906" w:rsidRDefault="00C709FA" w:rsidP="00B73071">
            <w:pPr>
              <w:rPr>
                <w:rFonts w:cs="Arial"/>
                <w:sz w:val="18"/>
                <w:szCs w:val="18"/>
              </w:rPr>
            </w:pPr>
          </w:p>
        </w:tc>
        <w:tc>
          <w:tcPr>
            <w:tcW w:w="843" w:type="pct"/>
            <w:vMerge/>
            <w:vAlign w:val="center"/>
          </w:tcPr>
          <w:p w14:paraId="55F37F15"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795F3C9D" w14:textId="0F4CF44A" w:rsidR="00C709FA" w:rsidRPr="00662906" w:rsidRDefault="005A71B4" w:rsidP="00B73071">
            <w:pPr>
              <w:spacing w:before="40" w:after="40"/>
              <w:jc w:val="left"/>
              <w:rPr>
                <w:rFonts w:eastAsia="Arial" w:cs="Arial"/>
                <w:color w:val="394A58"/>
                <w:sz w:val="18"/>
                <w:szCs w:val="18"/>
              </w:rPr>
            </w:pPr>
            <w:r w:rsidRPr="00662906">
              <w:rPr>
                <w:rFonts w:eastAsia="Arial" w:cs="Arial"/>
                <w:color w:val="394A58"/>
                <w:sz w:val="18"/>
                <w:szCs w:val="18"/>
              </w:rPr>
              <w:t>S</w:t>
            </w:r>
            <w:r w:rsidR="00C709FA" w:rsidRPr="00662906">
              <w:rPr>
                <w:rFonts w:eastAsia="Arial" w:cs="Arial"/>
                <w:color w:val="394A58"/>
                <w:sz w:val="18"/>
                <w:szCs w:val="18"/>
              </w:rPr>
              <w:t xml:space="preserve">trategic Intervention 2: Enhancing Market Structures and Supply Chains:  </w:t>
            </w:r>
          </w:p>
        </w:tc>
        <w:tc>
          <w:tcPr>
            <w:tcW w:w="1038" w:type="pct"/>
            <w:vMerge w:val="restart"/>
            <w:shd w:val="clear" w:color="auto" w:fill="FFFFFF" w:themeFill="background2"/>
            <w:tcMar>
              <w:left w:w="108" w:type="dxa"/>
              <w:right w:w="108" w:type="dxa"/>
            </w:tcMar>
          </w:tcPr>
          <w:p w14:paraId="55A55A21"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Traded clean cooking appliances </w:t>
            </w:r>
          </w:p>
          <w:p w14:paraId="437F9102"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 </w:t>
            </w:r>
          </w:p>
          <w:p w14:paraId="0FEADE95"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 </w:t>
            </w:r>
          </w:p>
        </w:tc>
        <w:tc>
          <w:tcPr>
            <w:tcW w:w="1156" w:type="pct"/>
            <w:vMerge w:val="restart"/>
            <w:shd w:val="clear" w:color="auto" w:fill="FFFFFF" w:themeFill="background2"/>
            <w:tcMar>
              <w:left w:w="108" w:type="dxa"/>
              <w:right w:w="108" w:type="dxa"/>
            </w:tcMar>
          </w:tcPr>
          <w:p w14:paraId="4069C056"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Volume of trade of clean cooking appliances at AfCFTA and by country </w:t>
            </w:r>
          </w:p>
          <w:p w14:paraId="340484A6" w14:textId="77777777" w:rsidR="00C709FA" w:rsidRPr="00662906" w:rsidRDefault="00C709FA" w:rsidP="00B73071">
            <w:pPr>
              <w:spacing w:before="240" w:after="240"/>
              <w:rPr>
                <w:rFonts w:eastAsia="Arial" w:cs="Arial"/>
                <w:color w:val="394A58"/>
                <w:sz w:val="18"/>
                <w:szCs w:val="18"/>
              </w:rPr>
            </w:pPr>
            <w:r w:rsidRPr="00662906">
              <w:rPr>
                <w:rFonts w:eastAsia="Arial" w:cs="Arial"/>
                <w:color w:val="394A58"/>
                <w:sz w:val="18"/>
                <w:szCs w:val="18"/>
              </w:rPr>
              <w:t xml:space="preserve"> </w:t>
            </w:r>
          </w:p>
        </w:tc>
      </w:tr>
      <w:tr w:rsidR="00C709FA" w:rsidRPr="00662906" w14:paraId="0597245E" w14:textId="77777777" w:rsidTr="0098698D">
        <w:trPr>
          <w:trHeight w:val="300"/>
        </w:trPr>
        <w:tc>
          <w:tcPr>
            <w:tcW w:w="807" w:type="pct"/>
            <w:vMerge/>
            <w:vAlign w:val="center"/>
          </w:tcPr>
          <w:p w14:paraId="3B260A52" w14:textId="77777777" w:rsidR="00C709FA" w:rsidRPr="00662906" w:rsidRDefault="00C709FA" w:rsidP="00B73071">
            <w:pPr>
              <w:rPr>
                <w:rFonts w:cs="Arial"/>
                <w:sz w:val="18"/>
                <w:szCs w:val="18"/>
              </w:rPr>
            </w:pPr>
          </w:p>
        </w:tc>
        <w:tc>
          <w:tcPr>
            <w:tcW w:w="843" w:type="pct"/>
            <w:vMerge/>
            <w:vAlign w:val="center"/>
          </w:tcPr>
          <w:p w14:paraId="3D66B97D"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28E6D81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3: Policy Development and Regulatory Support  </w:t>
            </w:r>
          </w:p>
        </w:tc>
        <w:tc>
          <w:tcPr>
            <w:tcW w:w="1038" w:type="pct"/>
            <w:vMerge/>
            <w:vAlign w:val="center"/>
          </w:tcPr>
          <w:p w14:paraId="3AFD92FF" w14:textId="77777777" w:rsidR="00C709FA" w:rsidRPr="00662906" w:rsidRDefault="00C709FA" w:rsidP="00B73071">
            <w:pPr>
              <w:rPr>
                <w:rFonts w:cs="Arial"/>
                <w:sz w:val="18"/>
                <w:szCs w:val="18"/>
              </w:rPr>
            </w:pPr>
          </w:p>
        </w:tc>
        <w:tc>
          <w:tcPr>
            <w:tcW w:w="1156" w:type="pct"/>
            <w:vMerge/>
            <w:vAlign w:val="center"/>
          </w:tcPr>
          <w:p w14:paraId="2CFD1EE6" w14:textId="77777777" w:rsidR="00C709FA" w:rsidRPr="00662906" w:rsidRDefault="00C709FA" w:rsidP="00B73071">
            <w:pPr>
              <w:rPr>
                <w:rFonts w:cs="Arial"/>
                <w:sz w:val="18"/>
                <w:szCs w:val="18"/>
              </w:rPr>
            </w:pPr>
          </w:p>
        </w:tc>
      </w:tr>
      <w:tr w:rsidR="00C709FA" w:rsidRPr="00662906" w14:paraId="397BD9E1" w14:textId="77777777" w:rsidTr="0098698D">
        <w:trPr>
          <w:trHeight w:val="300"/>
        </w:trPr>
        <w:tc>
          <w:tcPr>
            <w:tcW w:w="807" w:type="pct"/>
            <w:vMerge/>
            <w:vAlign w:val="center"/>
          </w:tcPr>
          <w:p w14:paraId="125AD037" w14:textId="77777777" w:rsidR="00C709FA" w:rsidRPr="00662906" w:rsidRDefault="00C709FA" w:rsidP="00B73071">
            <w:pPr>
              <w:rPr>
                <w:rFonts w:cs="Arial"/>
                <w:sz w:val="18"/>
                <w:szCs w:val="18"/>
              </w:rPr>
            </w:pPr>
          </w:p>
        </w:tc>
        <w:tc>
          <w:tcPr>
            <w:tcW w:w="843" w:type="pct"/>
            <w:vMerge/>
            <w:vAlign w:val="center"/>
          </w:tcPr>
          <w:p w14:paraId="40F28BF2"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33EFA512"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Strategic Intervention 4: Public Awareness Campaigns and Education  </w:t>
            </w:r>
          </w:p>
        </w:tc>
        <w:tc>
          <w:tcPr>
            <w:tcW w:w="1038" w:type="pct"/>
            <w:vMerge/>
            <w:vAlign w:val="center"/>
          </w:tcPr>
          <w:p w14:paraId="0B9C7B6F" w14:textId="77777777" w:rsidR="00C709FA" w:rsidRPr="00662906" w:rsidRDefault="00C709FA" w:rsidP="00B73071">
            <w:pPr>
              <w:rPr>
                <w:rFonts w:cs="Arial"/>
                <w:sz w:val="18"/>
                <w:szCs w:val="18"/>
              </w:rPr>
            </w:pPr>
          </w:p>
        </w:tc>
        <w:tc>
          <w:tcPr>
            <w:tcW w:w="1156" w:type="pct"/>
            <w:vMerge/>
            <w:vAlign w:val="center"/>
          </w:tcPr>
          <w:p w14:paraId="0D380747" w14:textId="77777777" w:rsidR="00C709FA" w:rsidRPr="00662906" w:rsidRDefault="00C709FA" w:rsidP="00B73071">
            <w:pPr>
              <w:rPr>
                <w:rFonts w:cs="Arial"/>
                <w:sz w:val="18"/>
                <w:szCs w:val="18"/>
              </w:rPr>
            </w:pPr>
          </w:p>
        </w:tc>
      </w:tr>
      <w:tr w:rsidR="00793369" w:rsidRPr="00662906" w14:paraId="1D0F5797" w14:textId="77777777" w:rsidTr="00793369">
        <w:trPr>
          <w:trHeight w:val="300"/>
        </w:trPr>
        <w:tc>
          <w:tcPr>
            <w:tcW w:w="807" w:type="pct"/>
            <w:shd w:val="clear" w:color="auto" w:fill="FFFFFF" w:themeFill="background2"/>
            <w:tcMar>
              <w:left w:w="108" w:type="dxa"/>
              <w:right w:w="108" w:type="dxa"/>
            </w:tcMar>
          </w:tcPr>
          <w:p w14:paraId="5F625139"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Horizontal Planning</w:t>
            </w:r>
          </w:p>
        </w:tc>
        <w:tc>
          <w:tcPr>
            <w:tcW w:w="843" w:type="pct"/>
            <w:shd w:val="clear" w:color="auto" w:fill="FFFFFF" w:themeFill="background2"/>
            <w:tcMar>
              <w:left w:w="108" w:type="dxa"/>
              <w:right w:w="108" w:type="dxa"/>
            </w:tcMar>
          </w:tcPr>
          <w:p w14:paraId="59D2D24B"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Support AU MS to develop their DDPs</w:t>
            </w:r>
          </w:p>
        </w:tc>
        <w:tc>
          <w:tcPr>
            <w:tcW w:w="1156" w:type="pct"/>
            <w:shd w:val="clear" w:color="auto" w:fill="FFFFFF" w:themeFill="background2"/>
            <w:tcMar>
              <w:left w:w="108" w:type="dxa"/>
              <w:right w:w="108" w:type="dxa"/>
            </w:tcMar>
          </w:tcPr>
          <w:p w14:paraId="07DA783E" w14:textId="77777777" w:rsidR="00C709FA" w:rsidRPr="00662906" w:rsidRDefault="00C709FA" w:rsidP="00B73071">
            <w:pPr>
              <w:rPr>
                <w:rFonts w:eastAsia="Arial" w:cs="Arial"/>
                <w:sz w:val="18"/>
                <w:szCs w:val="18"/>
              </w:rPr>
            </w:pPr>
            <w:r w:rsidRPr="00662906">
              <w:rPr>
                <w:rFonts w:eastAsia="Arial" w:cs="Arial"/>
                <w:sz w:val="18"/>
                <w:szCs w:val="18"/>
              </w:rPr>
              <w:t>Train MS on designing development of DDP and related data collection</w:t>
            </w:r>
          </w:p>
          <w:p w14:paraId="634392B3" w14:textId="77777777" w:rsidR="00C709FA" w:rsidRPr="000561DD" w:rsidRDefault="00C709FA" w:rsidP="00B73071">
            <w:pPr>
              <w:rPr>
                <w:rFonts w:eastAsia="Arial" w:cs="Arial"/>
                <w:sz w:val="18"/>
                <w:szCs w:val="18"/>
                <w:lang w:val="it-IT"/>
              </w:rPr>
            </w:pPr>
            <w:r w:rsidRPr="000561DD">
              <w:rPr>
                <w:rFonts w:eastAsia="Arial" w:cs="Arial"/>
                <w:sz w:val="18"/>
                <w:szCs w:val="18"/>
                <w:lang w:val="it-IT"/>
              </w:rPr>
              <w:t>Train MS on Scenario modelling</w:t>
            </w:r>
          </w:p>
        </w:tc>
        <w:tc>
          <w:tcPr>
            <w:tcW w:w="1038" w:type="pct"/>
            <w:shd w:val="clear" w:color="auto" w:fill="FFFFFF" w:themeFill="background2"/>
            <w:tcMar>
              <w:left w:w="108" w:type="dxa"/>
              <w:right w:w="108" w:type="dxa"/>
            </w:tcMar>
          </w:tcPr>
          <w:p w14:paraId="325FD55D"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AU MS supported to develop their DDPs</w:t>
            </w:r>
          </w:p>
        </w:tc>
        <w:tc>
          <w:tcPr>
            <w:tcW w:w="1156" w:type="pct"/>
            <w:shd w:val="clear" w:color="auto" w:fill="FFFFFF" w:themeFill="background2"/>
            <w:tcMar>
              <w:left w:w="108" w:type="dxa"/>
              <w:right w:w="108" w:type="dxa"/>
            </w:tcMar>
          </w:tcPr>
          <w:p w14:paraId="21891FB0"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Number of AU-MS supported, and collective estimated Carbon offsets achieved after DDP (MtCO2) introduction</w:t>
            </w:r>
          </w:p>
        </w:tc>
      </w:tr>
      <w:tr w:rsidR="00793369" w:rsidRPr="00662906" w14:paraId="71B95476" w14:textId="77777777" w:rsidTr="00793369">
        <w:trPr>
          <w:trHeight w:val="300"/>
        </w:trPr>
        <w:tc>
          <w:tcPr>
            <w:tcW w:w="807" w:type="pct"/>
            <w:shd w:val="clear" w:color="auto" w:fill="FFFFFF" w:themeFill="background2"/>
            <w:tcMar>
              <w:left w:w="108" w:type="dxa"/>
              <w:right w:w="108" w:type="dxa"/>
            </w:tcMar>
          </w:tcPr>
          <w:p w14:paraId="7836C075" w14:textId="77777777" w:rsidR="00C709FA" w:rsidRPr="00662906" w:rsidRDefault="00C709FA" w:rsidP="00B73071">
            <w:pPr>
              <w:spacing w:before="40" w:after="40"/>
              <w:jc w:val="left"/>
              <w:rPr>
                <w:rFonts w:eastAsia="Arial" w:cs="Arial"/>
                <w:color w:val="394A58"/>
                <w:sz w:val="18"/>
                <w:szCs w:val="18"/>
              </w:rPr>
            </w:pPr>
          </w:p>
        </w:tc>
        <w:tc>
          <w:tcPr>
            <w:tcW w:w="843" w:type="pct"/>
            <w:shd w:val="clear" w:color="auto" w:fill="FFFFFF" w:themeFill="background2"/>
            <w:tcMar>
              <w:left w:w="108" w:type="dxa"/>
              <w:right w:w="108" w:type="dxa"/>
            </w:tcMar>
          </w:tcPr>
          <w:p w14:paraId="6782531F"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Energy Information System that can support Energy Transition</w:t>
            </w:r>
          </w:p>
        </w:tc>
        <w:tc>
          <w:tcPr>
            <w:tcW w:w="1156" w:type="pct"/>
            <w:shd w:val="clear" w:color="auto" w:fill="FFFFFF" w:themeFill="background2"/>
            <w:tcMar>
              <w:left w:w="108" w:type="dxa"/>
              <w:right w:w="108" w:type="dxa"/>
            </w:tcMar>
          </w:tcPr>
          <w:p w14:paraId="0DBBA774" w14:textId="77777777" w:rsidR="00C709FA" w:rsidRPr="00662906" w:rsidRDefault="00C709FA" w:rsidP="00B73071">
            <w:pPr>
              <w:rPr>
                <w:rFonts w:eastAsia="Arial" w:cs="Arial"/>
                <w:color w:val="394A58"/>
                <w:sz w:val="18"/>
                <w:szCs w:val="18"/>
              </w:rPr>
            </w:pPr>
            <w:r w:rsidRPr="00662906">
              <w:rPr>
                <w:rFonts w:eastAsia="Arial" w:cs="Arial"/>
                <w:sz w:val="18"/>
                <w:szCs w:val="18"/>
              </w:rPr>
              <w:t>Creating a functional ET compatible energy system to support continental, regional and national ET Strategies</w:t>
            </w:r>
          </w:p>
        </w:tc>
        <w:tc>
          <w:tcPr>
            <w:tcW w:w="1038" w:type="pct"/>
            <w:shd w:val="clear" w:color="auto" w:fill="FFFFFF" w:themeFill="background2"/>
            <w:tcMar>
              <w:left w:w="108" w:type="dxa"/>
              <w:right w:w="108" w:type="dxa"/>
            </w:tcMar>
          </w:tcPr>
          <w:p w14:paraId="7313C2C9"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Energy Information System that can support Energy Transition</w:t>
            </w:r>
          </w:p>
        </w:tc>
        <w:tc>
          <w:tcPr>
            <w:tcW w:w="1156" w:type="pct"/>
            <w:shd w:val="clear" w:color="auto" w:fill="FFFFFF" w:themeFill="background2"/>
            <w:tcMar>
              <w:left w:w="108" w:type="dxa"/>
              <w:right w:w="108" w:type="dxa"/>
            </w:tcMar>
          </w:tcPr>
          <w:p w14:paraId="58249B52" w14:textId="46DE5A2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Energy Transition compatible data sets in </w:t>
            </w:r>
            <w:r w:rsidR="00D85A20" w:rsidRPr="00662906">
              <w:rPr>
                <w:rFonts w:eastAsia="Arial" w:cs="Arial"/>
                <w:color w:val="394A58"/>
                <w:sz w:val="18"/>
                <w:szCs w:val="18"/>
              </w:rPr>
              <w:t>African Energy Commission (</w:t>
            </w:r>
            <w:r w:rsidRPr="00662906">
              <w:rPr>
                <w:rFonts w:eastAsia="Arial" w:cs="Arial"/>
                <w:color w:val="394A58"/>
                <w:sz w:val="18"/>
                <w:szCs w:val="18"/>
              </w:rPr>
              <w:t>AFREC</w:t>
            </w:r>
            <w:r w:rsidR="00D85A20" w:rsidRPr="00662906">
              <w:rPr>
                <w:rFonts w:eastAsia="Arial" w:cs="Arial"/>
                <w:color w:val="394A58"/>
                <w:sz w:val="18"/>
                <w:szCs w:val="18"/>
              </w:rPr>
              <w:t>)</w:t>
            </w:r>
            <w:r w:rsidRPr="00662906">
              <w:rPr>
                <w:rFonts w:eastAsia="Arial" w:cs="Arial"/>
                <w:color w:val="394A58"/>
                <w:sz w:val="18"/>
                <w:szCs w:val="18"/>
              </w:rPr>
              <w:t xml:space="preserve"> database for all ETSAP energy subsectors</w:t>
            </w:r>
          </w:p>
        </w:tc>
      </w:tr>
      <w:tr w:rsidR="00793369" w:rsidRPr="00662906" w14:paraId="4DBF4FFB" w14:textId="77777777" w:rsidTr="00793369">
        <w:trPr>
          <w:trHeight w:val="300"/>
        </w:trPr>
        <w:tc>
          <w:tcPr>
            <w:tcW w:w="807" w:type="pct"/>
            <w:shd w:val="clear" w:color="auto" w:fill="FFFFFF" w:themeFill="background2"/>
            <w:tcMar>
              <w:left w:w="108" w:type="dxa"/>
              <w:right w:w="108" w:type="dxa"/>
            </w:tcMar>
          </w:tcPr>
          <w:p w14:paraId="0DED6471" w14:textId="77777777" w:rsidR="00C709FA" w:rsidRPr="00662906" w:rsidRDefault="00C709FA" w:rsidP="00B73071">
            <w:pPr>
              <w:spacing w:before="40" w:after="40"/>
              <w:jc w:val="left"/>
              <w:rPr>
                <w:rFonts w:eastAsia="Arial" w:cs="Arial"/>
                <w:color w:val="394A58"/>
                <w:sz w:val="18"/>
                <w:szCs w:val="18"/>
              </w:rPr>
            </w:pPr>
          </w:p>
        </w:tc>
        <w:tc>
          <w:tcPr>
            <w:tcW w:w="843" w:type="pct"/>
            <w:shd w:val="clear" w:color="auto" w:fill="FFFFFF" w:themeFill="background2"/>
            <w:tcMar>
              <w:left w:w="108" w:type="dxa"/>
              <w:right w:w="108" w:type="dxa"/>
            </w:tcMar>
          </w:tcPr>
          <w:p w14:paraId="6732F148"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Capacitated continental, regional and national ET agencies</w:t>
            </w:r>
          </w:p>
        </w:tc>
        <w:tc>
          <w:tcPr>
            <w:tcW w:w="1156" w:type="pct"/>
            <w:shd w:val="clear" w:color="auto" w:fill="FFFFFF" w:themeFill="background2"/>
            <w:tcMar>
              <w:left w:w="108" w:type="dxa"/>
              <w:right w:w="108" w:type="dxa"/>
            </w:tcMar>
          </w:tcPr>
          <w:p w14:paraId="285F33C5" w14:textId="77777777" w:rsidR="00C709FA" w:rsidRPr="00662906" w:rsidRDefault="00C709FA" w:rsidP="00B73071">
            <w:pPr>
              <w:rPr>
                <w:rFonts w:eastAsia="Arial" w:cs="Arial"/>
                <w:sz w:val="18"/>
                <w:szCs w:val="18"/>
              </w:rPr>
            </w:pPr>
            <w:r w:rsidRPr="00662906">
              <w:rPr>
                <w:rFonts w:eastAsia="Arial" w:cs="Arial"/>
                <w:sz w:val="18"/>
                <w:szCs w:val="18"/>
              </w:rPr>
              <w:t>Capacity Building of continental agencies</w:t>
            </w:r>
          </w:p>
          <w:p w14:paraId="6751D385" w14:textId="77777777" w:rsidR="00C709FA" w:rsidRPr="00662906" w:rsidRDefault="00C709FA" w:rsidP="00B73071">
            <w:pPr>
              <w:rPr>
                <w:rFonts w:eastAsia="Arial" w:cs="Arial"/>
                <w:sz w:val="18"/>
                <w:szCs w:val="18"/>
              </w:rPr>
            </w:pPr>
            <w:r w:rsidRPr="00662906">
              <w:rPr>
                <w:rFonts w:eastAsia="Arial" w:cs="Arial"/>
                <w:sz w:val="18"/>
                <w:szCs w:val="18"/>
              </w:rPr>
              <w:t>Regional and National bodies</w:t>
            </w:r>
          </w:p>
          <w:p w14:paraId="492C960B" w14:textId="014A7FA2" w:rsidR="00C709FA" w:rsidRPr="00662906" w:rsidRDefault="00C709FA" w:rsidP="00B73071">
            <w:pPr>
              <w:spacing w:before="40" w:after="40"/>
              <w:jc w:val="left"/>
              <w:rPr>
                <w:rFonts w:eastAsia="Arial" w:cs="Arial"/>
                <w:color w:val="394A58"/>
                <w:sz w:val="18"/>
                <w:szCs w:val="18"/>
              </w:rPr>
            </w:pPr>
            <w:r w:rsidRPr="00662906">
              <w:rPr>
                <w:rFonts w:eastAsia="Arial" w:cs="Arial"/>
                <w:sz w:val="18"/>
                <w:szCs w:val="18"/>
              </w:rPr>
              <w:t>For development ET strategies</w:t>
            </w:r>
          </w:p>
        </w:tc>
        <w:tc>
          <w:tcPr>
            <w:tcW w:w="1038" w:type="pct"/>
            <w:shd w:val="clear" w:color="auto" w:fill="FFFFFF" w:themeFill="background2"/>
            <w:tcMar>
              <w:left w:w="108" w:type="dxa"/>
              <w:right w:w="108" w:type="dxa"/>
            </w:tcMar>
          </w:tcPr>
          <w:p w14:paraId="4E850015"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Capacitated continental, regional and national ET agencies</w:t>
            </w:r>
          </w:p>
        </w:tc>
        <w:tc>
          <w:tcPr>
            <w:tcW w:w="1156" w:type="pct"/>
            <w:shd w:val="clear" w:color="auto" w:fill="FFFFFF" w:themeFill="background2"/>
            <w:tcMar>
              <w:left w:w="108" w:type="dxa"/>
              <w:right w:w="108" w:type="dxa"/>
            </w:tcMar>
          </w:tcPr>
          <w:p w14:paraId="5F610888"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Agencies capability to support ET strategies at continental, regional and national level</w:t>
            </w:r>
          </w:p>
        </w:tc>
      </w:tr>
      <w:tr w:rsidR="00793369" w:rsidRPr="00662906" w14:paraId="7EB16791" w14:textId="77777777" w:rsidTr="00793369">
        <w:trPr>
          <w:trHeight w:val="300"/>
        </w:trPr>
        <w:tc>
          <w:tcPr>
            <w:tcW w:w="807" w:type="pct"/>
            <w:vMerge w:val="restart"/>
            <w:shd w:val="clear" w:color="auto" w:fill="FFFFFF" w:themeFill="background2"/>
            <w:tcMar>
              <w:left w:w="108" w:type="dxa"/>
              <w:right w:w="108" w:type="dxa"/>
            </w:tcMar>
          </w:tcPr>
          <w:p w14:paraId="6768C6DC"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Cross Cutting </w:t>
            </w:r>
          </w:p>
        </w:tc>
        <w:tc>
          <w:tcPr>
            <w:tcW w:w="843" w:type="pct"/>
            <w:vMerge w:val="restart"/>
            <w:shd w:val="clear" w:color="auto" w:fill="FFFFFF" w:themeFill="background2"/>
            <w:tcMar>
              <w:left w:w="108" w:type="dxa"/>
              <w:right w:w="108" w:type="dxa"/>
            </w:tcMar>
          </w:tcPr>
          <w:p w14:paraId="39A1E17B"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Gender- equitable distribution of energy </w:t>
            </w:r>
            <w:r w:rsidRPr="00662906">
              <w:rPr>
                <w:rFonts w:eastAsia="Arial" w:cs="Arial"/>
                <w:color w:val="394A58"/>
                <w:sz w:val="18"/>
                <w:szCs w:val="18"/>
              </w:rPr>
              <w:lastRenderedPageBreak/>
              <w:t xml:space="preserve">benefits and the promotion of inclusive development </w:t>
            </w:r>
          </w:p>
        </w:tc>
        <w:tc>
          <w:tcPr>
            <w:tcW w:w="1156" w:type="pct"/>
            <w:shd w:val="clear" w:color="auto" w:fill="FFFFFF" w:themeFill="background2"/>
            <w:tcMar>
              <w:left w:w="108" w:type="dxa"/>
              <w:right w:w="108" w:type="dxa"/>
            </w:tcMar>
          </w:tcPr>
          <w:p w14:paraId="1253F351" w14:textId="596D3B0D" w:rsidR="00C709FA" w:rsidRPr="00662906" w:rsidRDefault="005A71B4" w:rsidP="00B73071">
            <w:pPr>
              <w:spacing w:before="40" w:after="40"/>
              <w:jc w:val="left"/>
              <w:rPr>
                <w:rFonts w:eastAsia="Arial" w:cs="Arial"/>
                <w:color w:val="394A58"/>
                <w:sz w:val="18"/>
                <w:szCs w:val="18"/>
              </w:rPr>
            </w:pPr>
            <w:r w:rsidRPr="00662906">
              <w:rPr>
                <w:rFonts w:eastAsia="Arial" w:cs="Arial"/>
                <w:color w:val="394A58"/>
                <w:sz w:val="18"/>
                <w:szCs w:val="18"/>
              </w:rPr>
              <w:lastRenderedPageBreak/>
              <w:t>I</w:t>
            </w:r>
            <w:r w:rsidR="00C709FA" w:rsidRPr="00662906">
              <w:rPr>
                <w:rFonts w:eastAsia="Arial" w:cs="Arial"/>
                <w:color w:val="394A58"/>
                <w:sz w:val="18"/>
                <w:szCs w:val="18"/>
              </w:rPr>
              <w:t xml:space="preserve">ntegrating gender perspectives and emphasizing the involvement of </w:t>
            </w:r>
            <w:r w:rsidR="00C709FA" w:rsidRPr="00662906">
              <w:rPr>
                <w:rFonts w:eastAsia="Arial" w:cs="Arial"/>
                <w:color w:val="394A58"/>
                <w:sz w:val="18"/>
                <w:szCs w:val="18"/>
              </w:rPr>
              <w:lastRenderedPageBreak/>
              <w:t xml:space="preserve">women at all stages of energy policies, programs, and projects, </w:t>
            </w:r>
          </w:p>
        </w:tc>
        <w:tc>
          <w:tcPr>
            <w:tcW w:w="1038" w:type="pct"/>
            <w:shd w:val="clear" w:color="auto" w:fill="FFFFFF" w:themeFill="background2"/>
            <w:tcMar>
              <w:left w:w="108" w:type="dxa"/>
              <w:right w:w="108" w:type="dxa"/>
            </w:tcMar>
          </w:tcPr>
          <w:p w14:paraId="39AA36C7"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lastRenderedPageBreak/>
              <w:t>Gender mainstreaming in policies, plans, budgets</w:t>
            </w:r>
          </w:p>
        </w:tc>
        <w:tc>
          <w:tcPr>
            <w:tcW w:w="1156" w:type="pct"/>
            <w:shd w:val="clear" w:color="auto" w:fill="FFFFFF" w:themeFill="background2"/>
            <w:tcMar>
              <w:left w:w="108" w:type="dxa"/>
              <w:right w:w="108" w:type="dxa"/>
            </w:tcMar>
          </w:tcPr>
          <w:p w14:paraId="52044DA7"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US$ for gender budgets</w:t>
            </w:r>
          </w:p>
        </w:tc>
      </w:tr>
      <w:tr w:rsidR="00C709FA" w:rsidRPr="00662906" w14:paraId="368B419F" w14:textId="77777777" w:rsidTr="0098698D">
        <w:trPr>
          <w:trHeight w:val="300"/>
        </w:trPr>
        <w:tc>
          <w:tcPr>
            <w:tcW w:w="807" w:type="pct"/>
            <w:vMerge/>
            <w:vAlign w:val="center"/>
          </w:tcPr>
          <w:p w14:paraId="1E394C6F" w14:textId="77777777" w:rsidR="00C709FA" w:rsidRPr="00662906" w:rsidRDefault="00C709FA" w:rsidP="00B73071">
            <w:pPr>
              <w:rPr>
                <w:rFonts w:cs="Arial"/>
                <w:sz w:val="18"/>
                <w:szCs w:val="18"/>
              </w:rPr>
            </w:pPr>
          </w:p>
        </w:tc>
        <w:tc>
          <w:tcPr>
            <w:tcW w:w="843" w:type="pct"/>
            <w:vMerge/>
            <w:vAlign w:val="center"/>
          </w:tcPr>
          <w:p w14:paraId="1735F7CC"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0C700CC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Promote gender participation in decision making roles </w:t>
            </w:r>
          </w:p>
        </w:tc>
        <w:tc>
          <w:tcPr>
            <w:tcW w:w="1038" w:type="pct"/>
            <w:vMerge w:val="restart"/>
            <w:shd w:val="clear" w:color="auto" w:fill="FFFFFF" w:themeFill="background2"/>
            <w:tcMar>
              <w:left w:w="108" w:type="dxa"/>
              <w:right w:w="108" w:type="dxa"/>
            </w:tcMar>
          </w:tcPr>
          <w:p w14:paraId="41A7D716" w14:textId="77777777" w:rsidR="00C709FA" w:rsidRPr="00662906" w:rsidRDefault="00C709FA" w:rsidP="00B73071">
            <w:pPr>
              <w:spacing w:after="0" w:line="230" w:lineRule="auto"/>
              <w:rPr>
                <w:rFonts w:eastAsia="Arial" w:cs="Arial"/>
                <w:color w:val="394A58"/>
                <w:sz w:val="18"/>
                <w:szCs w:val="18"/>
              </w:rPr>
            </w:pPr>
            <w:r w:rsidRPr="00662906">
              <w:rPr>
                <w:rFonts w:eastAsia="Arial" w:cs="Arial"/>
                <w:color w:val="394A58"/>
                <w:sz w:val="18"/>
                <w:szCs w:val="18"/>
              </w:rPr>
              <w:t xml:space="preserve">Women participation </w:t>
            </w:r>
          </w:p>
          <w:p w14:paraId="5EF32CD3" w14:textId="77777777" w:rsidR="00C709FA" w:rsidRPr="00662906" w:rsidRDefault="00C709FA" w:rsidP="00B73071">
            <w:pPr>
              <w:spacing w:before="240" w:after="240"/>
              <w:rPr>
                <w:rFonts w:eastAsia="Arial" w:cs="Arial"/>
                <w:color w:val="394A58"/>
                <w:sz w:val="18"/>
                <w:szCs w:val="18"/>
              </w:rPr>
            </w:pPr>
            <w:r w:rsidRPr="00662906">
              <w:rPr>
                <w:rFonts w:eastAsia="Arial" w:cs="Arial"/>
                <w:color w:val="394A58"/>
                <w:sz w:val="18"/>
                <w:szCs w:val="18"/>
              </w:rPr>
              <w:t xml:space="preserve"> </w:t>
            </w:r>
          </w:p>
        </w:tc>
        <w:tc>
          <w:tcPr>
            <w:tcW w:w="1156" w:type="pct"/>
            <w:vMerge w:val="restart"/>
            <w:shd w:val="clear" w:color="auto" w:fill="FFFFFF" w:themeFill="background2"/>
            <w:tcMar>
              <w:left w:w="108" w:type="dxa"/>
              <w:right w:w="108" w:type="dxa"/>
            </w:tcMar>
          </w:tcPr>
          <w:p w14:paraId="320B7F95"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 of women participation in ETSAP implementation</w:t>
            </w:r>
          </w:p>
          <w:p w14:paraId="7E2A444D" w14:textId="77777777" w:rsidR="00C709FA" w:rsidRPr="00662906" w:rsidRDefault="00C709FA" w:rsidP="00B73071">
            <w:pPr>
              <w:spacing w:before="240" w:after="240"/>
              <w:rPr>
                <w:rFonts w:eastAsia="Arial" w:cs="Arial"/>
                <w:color w:val="394A58"/>
                <w:sz w:val="18"/>
                <w:szCs w:val="18"/>
              </w:rPr>
            </w:pPr>
            <w:r w:rsidRPr="00662906">
              <w:rPr>
                <w:rFonts w:eastAsia="Arial" w:cs="Arial"/>
                <w:color w:val="394A58"/>
                <w:sz w:val="18"/>
                <w:szCs w:val="18"/>
              </w:rPr>
              <w:t xml:space="preserve"> </w:t>
            </w:r>
          </w:p>
        </w:tc>
      </w:tr>
      <w:tr w:rsidR="00C709FA" w:rsidRPr="00662906" w14:paraId="317274BA" w14:textId="77777777" w:rsidTr="0098698D">
        <w:trPr>
          <w:trHeight w:val="300"/>
        </w:trPr>
        <w:tc>
          <w:tcPr>
            <w:tcW w:w="807" w:type="pct"/>
            <w:vMerge/>
            <w:vAlign w:val="center"/>
          </w:tcPr>
          <w:p w14:paraId="17615026" w14:textId="77777777" w:rsidR="00C709FA" w:rsidRPr="00662906" w:rsidRDefault="00C709FA" w:rsidP="00B73071">
            <w:pPr>
              <w:rPr>
                <w:rFonts w:cs="Arial"/>
                <w:sz w:val="18"/>
                <w:szCs w:val="18"/>
              </w:rPr>
            </w:pPr>
          </w:p>
        </w:tc>
        <w:tc>
          <w:tcPr>
            <w:tcW w:w="843" w:type="pct"/>
            <w:vMerge/>
            <w:vAlign w:val="center"/>
          </w:tcPr>
          <w:p w14:paraId="0B4C7E0D"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108C6DB3"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Gender Balanced Skills development </w:t>
            </w:r>
          </w:p>
        </w:tc>
        <w:tc>
          <w:tcPr>
            <w:tcW w:w="1038" w:type="pct"/>
            <w:vMerge/>
            <w:vAlign w:val="center"/>
          </w:tcPr>
          <w:p w14:paraId="76592F9C" w14:textId="77777777" w:rsidR="00C709FA" w:rsidRPr="00662906" w:rsidRDefault="00C709FA" w:rsidP="00B73071">
            <w:pPr>
              <w:rPr>
                <w:rFonts w:cs="Arial"/>
                <w:sz w:val="18"/>
                <w:szCs w:val="18"/>
              </w:rPr>
            </w:pPr>
          </w:p>
        </w:tc>
        <w:tc>
          <w:tcPr>
            <w:tcW w:w="1156" w:type="pct"/>
            <w:vMerge/>
            <w:vAlign w:val="center"/>
          </w:tcPr>
          <w:p w14:paraId="56846DBB" w14:textId="77777777" w:rsidR="00C709FA" w:rsidRPr="00662906" w:rsidRDefault="00C709FA" w:rsidP="00B73071">
            <w:pPr>
              <w:rPr>
                <w:rFonts w:cs="Arial"/>
                <w:sz w:val="18"/>
                <w:szCs w:val="18"/>
              </w:rPr>
            </w:pPr>
          </w:p>
        </w:tc>
      </w:tr>
      <w:tr w:rsidR="00793369" w:rsidRPr="00662906" w14:paraId="774D0EE0" w14:textId="77777777" w:rsidTr="00793369">
        <w:trPr>
          <w:trHeight w:val="300"/>
        </w:trPr>
        <w:tc>
          <w:tcPr>
            <w:tcW w:w="807" w:type="pct"/>
            <w:vMerge w:val="restart"/>
            <w:shd w:val="clear" w:color="auto" w:fill="FFFFFF" w:themeFill="background2"/>
            <w:tcMar>
              <w:left w:w="108" w:type="dxa"/>
              <w:right w:w="108" w:type="dxa"/>
            </w:tcMar>
          </w:tcPr>
          <w:p w14:paraId="0EF4DC97"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Cross Sectoral </w:t>
            </w:r>
          </w:p>
        </w:tc>
        <w:tc>
          <w:tcPr>
            <w:tcW w:w="843" w:type="pct"/>
            <w:vMerge w:val="restart"/>
            <w:shd w:val="clear" w:color="auto" w:fill="FFFFFF" w:themeFill="background2"/>
            <w:tcMar>
              <w:left w:w="108" w:type="dxa"/>
              <w:right w:w="108" w:type="dxa"/>
            </w:tcMar>
          </w:tcPr>
          <w:p w14:paraId="62BF383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 Cross sectoral planning</w:t>
            </w:r>
          </w:p>
        </w:tc>
        <w:tc>
          <w:tcPr>
            <w:tcW w:w="1156" w:type="pct"/>
            <w:shd w:val="clear" w:color="auto" w:fill="FFFFFF" w:themeFill="background2"/>
            <w:tcMar>
              <w:left w:w="108" w:type="dxa"/>
              <w:right w:w="108" w:type="dxa"/>
            </w:tcMar>
          </w:tcPr>
          <w:p w14:paraId="5CDD5C84"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Assessment of subsector cross-sectoral issues and synergy including other relevant sectors such as water, ICT, Industrialization </w:t>
            </w:r>
          </w:p>
        </w:tc>
        <w:tc>
          <w:tcPr>
            <w:tcW w:w="1038" w:type="pct"/>
            <w:vMerge w:val="restart"/>
            <w:shd w:val="clear" w:color="auto" w:fill="FFFFFF" w:themeFill="background2"/>
            <w:tcMar>
              <w:left w:w="108" w:type="dxa"/>
              <w:right w:w="108" w:type="dxa"/>
            </w:tcMar>
          </w:tcPr>
          <w:p w14:paraId="3333246C" w14:textId="77777777" w:rsidR="00C709FA" w:rsidRPr="00662906" w:rsidRDefault="00C709FA" w:rsidP="00B73071">
            <w:pPr>
              <w:spacing w:before="240" w:after="240" w:line="230" w:lineRule="auto"/>
              <w:rPr>
                <w:rFonts w:eastAsia="Arial" w:cs="Arial"/>
                <w:color w:val="394A58"/>
                <w:sz w:val="18"/>
                <w:szCs w:val="18"/>
              </w:rPr>
            </w:pPr>
            <w:r w:rsidRPr="00662906">
              <w:rPr>
                <w:rFonts w:eastAsia="Arial" w:cs="Arial"/>
                <w:color w:val="394A58"/>
                <w:sz w:val="18"/>
                <w:szCs w:val="18"/>
              </w:rPr>
              <w:t>Multisectoral Investment projects in ETSAP</w:t>
            </w:r>
          </w:p>
        </w:tc>
        <w:tc>
          <w:tcPr>
            <w:tcW w:w="1156" w:type="pct"/>
            <w:vMerge w:val="restart"/>
            <w:shd w:val="clear" w:color="auto" w:fill="FFFFFF" w:themeFill="background2"/>
            <w:tcMar>
              <w:left w:w="108" w:type="dxa"/>
              <w:right w:w="108" w:type="dxa"/>
            </w:tcMar>
          </w:tcPr>
          <w:p w14:paraId="4C090F5C"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US$ compared to all investment of ETSAP</w:t>
            </w:r>
          </w:p>
          <w:p w14:paraId="129F2B3E"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w:t>
            </w:r>
          </w:p>
          <w:p w14:paraId="7F4AB5CC" w14:textId="77777777" w:rsidR="00C709FA" w:rsidRPr="00662906" w:rsidRDefault="00C709FA" w:rsidP="00B73071">
            <w:pPr>
              <w:spacing w:after="0"/>
              <w:rPr>
                <w:rFonts w:eastAsia="Arial" w:cs="Arial"/>
                <w:color w:val="394A58"/>
                <w:sz w:val="18"/>
                <w:szCs w:val="18"/>
              </w:rPr>
            </w:pPr>
            <w:r w:rsidRPr="00662906">
              <w:rPr>
                <w:rFonts w:eastAsia="Arial" w:cs="Arial"/>
                <w:color w:val="394A58"/>
                <w:sz w:val="18"/>
                <w:szCs w:val="18"/>
              </w:rPr>
              <w:t xml:space="preserve"> </w:t>
            </w:r>
          </w:p>
          <w:p w14:paraId="702D4FDD" w14:textId="77777777" w:rsidR="00C709FA" w:rsidRPr="00662906" w:rsidRDefault="00C709FA" w:rsidP="00B73071">
            <w:pPr>
              <w:spacing w:before="240" w:after="240"/>
              <w:rPr>
                <w:rFonts w:eastAsia="Arial" w:cs="Arial"/>
                <w:color w:val="394A58"/>
                <w:sz w:val="18"/>
                <w:szCs w:val="18"/>
              </w:rPr>
            </w:pPr>
            <w:r w:rsidRPr="00662906">
              <w:rPr>
                <w:rFonts w:eastAsia="Arial" w:cs="Arial"/>
                <w:color w:val="394A58"/>
                <w:sz w:val="18"/>
                <w:szCs w:val="18"/>
              </w:rPr>
              <w:t xml:space="preserve"> </w:t>
            </w:r>
          </w:p>
        </w:tc>
      </w:tr>
      <w:tr w:rsidR="00C709FA" w:rsidRPr="00662906" w14:paraId="4907A3A4" w14:textId="77777777" w:rsidTr="0098698D">
        <w:trPr>
          <w:trHeight w:val="300"/>
        </w:trPr>
        <w:tc>
          <w:tcPr>
            <w:tcW w:w="807" w:type="pct"/>
            <w:vMerge/>
            <w:vAlign w:val="center"/>
          </w:tcPr>
          <w:p w14:paraId="47F8DFA9" w14:textId="77777777" w:rsidR="00C709FA" w:rsidRPr="00662906" w:rsidRDefault="00C709FA" w:rsidP="00B73071">
            <w:pPr>
              <w:rPr>
                <w:rFonts w:cs="Arial"/>
                <w:sz w:val="18"/>
                <w:szCs w:val="18"/>
              </w:rPr>
            </w:pPr>
          </w:p>
        </w:tc>
        <w:tc>
          <w:tcPr>
            <w:tcW w:w="843" w:type="pct"/>
            <w:vMerge/>
            <w:vAlign w:val="center"/>
          </w:tcPr>
          <w:p w14:paraId="31A93C99"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44868A21"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Aggregation of costs of implementation and impact  </w:t>
            </w:r>
          </w:p>
        </w:tc>
        <w:tc>
          <w:tcPr>
            <w:tcW w:w="1038" w:type="pct"/>
            <w:vMerge/>
            <w:vAlign w:val="center"/>
          </w:tcPr>
          <w:p w14:paraId="786DF7F1" w14:textId="77777777" w:rsidR="00C709FA" w:rsidRPr="00662906" w:rsidRDefault="00C709FA" w:rsidP="00B73071">
            <w:pPr>
              <w:rPr>
                <w:rFonts w:cs="Arial"/>
                <w:sz w:val="18"/>
                <w:szCs w:val="18"/>
              </w:rPr>
            </w:pPr>
          </w:p>
        </w:tc>
        <w:tc>
          <w:tcPr>
            <w:tcW w:w="1156" w:type="pct"/>
            <w:vMerge/>
            <w:vAlign w:val="center"/>
          </w:tcPr>
          <w:p w14:paraId="2DCDBE3B" w14:textId="77777777" w:rsidR="00C709FA" w:rsidRPr="00662906" w:rsidRDefault="00C709FA" w:rsidP="00B73071">
            <w:pPr>
              <w:rPr>
                <w:rFonts w:cs="Arial"/>
                <w:sz w:val="18"/>
                <w:szCs w:val="18"/>
              </w:rPr>
            </w:pPr>
          </w:p>
        </w:tc>
      </w:tr>
      <w:tr w:rsidR="00C709FA" w:rsidRPr="00662906" w14:paraId="1A9E259E" w14:textId="77777777" w:rsidTr="0098698D">
        <w:trPr>
          <w:trHeight w:val="300"/>
        </w:trPr>
        <w:tc>
          <w:tcPr>
            <w:tcW w:w="807" w:type="pct"/>
            <w:vMerge/>
            <w:vAlign w:val="center"/>
          </w:tcPr>
          <w:p w14:paraId="451DABFC" w14:textId="77777777" w:rsidR="00C709FA" w:rsidRPr="00662906" w:rsidRDefault="00C709FA" w:rsidP="00B73071">
            <w:pPr>
              <w:rPr>
                <w:rFonts w:cs="Arial"/>
                <w:sz w:val="18"/>
                <w:szCs w:val="18"/>
              </w:rPr>
            </w:pPr>
          </w:p>
        </w:tc>
        <w:tc>
          <w:tcPr>
            <w:tcW w:w="843" w:type="pct"/>
            <w:vMerge/>
            <w:vAlign w:val="center"/>
          </w:tcPr>
          <w:p w14:paraId="1E5BC17C"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411A6AD8"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Sub sector Stakeholder engagements </w:t>
            </w:r>
          </w:p>
        </w:tc>
        <w:tc>
          <w:tcPr>
            <w:tcW w:w="1038" w:type="pct"/>
            <w:vMerge/>
            <w:vAlign w:val="center"/>
          </w:tcPr>
          <w:p w14:paraId="2D81AE2C" w14:textId="77777777" w:rsidR="00C709FA" w:rsidRPr="00662906" w:rsidRDefault="00C709FA" w:rsidP="00B73071">
            <w:pPr>
              <w:rPr>
                <w:rFonts w:cs="Arial"/>
                <w:sz w:val="18"/>
                <w:szCs w:val="18"/>
              </w:rPr>
            </w:pPr>
          </w:p>
        </w:tc>
        <w:tc>
          <w:tcPr>
            <w:tcW w:w="1156" w:type="pct"/>
            <w:vMerge/>
            <w:vAlign w:val="center"/>
          </w:tcPr>
          <w:p w14:paraId="63038F52" w14:textId="77777777" w:rsidR="00C709FA" w:rsidRPr="00662906" w:rsidRDefault="00C709FA" w:rsidP="00B73071">
            <w:pPr>
              <w:rPr>
                <w:rFonts w:cs="Arial"/>
                <w:sz w:val="18"/>
                <w:szCs w:val="18"/>
              </w:rPr>
            </w:pPr>
          </w:p>
        </w:tc>
      </w:tr>
      <w:tr w:rsidR="00C709FA" w:rsidRPr="00662906" w14:paraId="6D812CDB" w14:textId="77777777" w:rsidTr="0098698D">
        <w:trPr>
          <w:trHeight w:val="300"/>
        </w:trPr>
        <w:tc>
          <w:tcPr>
            <w:tcW w:w="807" w:type="pct"/>
            <w:vMerge/>
            <w:vAlign w:val="center"/>
          </w:tcPr>
          <w:p w14:paraId="4015D64C" w14:textId="77777777" w:rsidR="00C709FA" w:rsidRPr="00662906" w:rsidRDefault="00C709FA" w:rsidP="00B73071">
            <w:pPr>
              <w:rPr>
                <w:rFonts w:cs="Arial"/>
                <w:sz w:val="18"/>
                <w:szCs w:val="18"/>
              </w:rPr>
            </w:pPr>
          </w:p>
        </w:tc>
        <w:tc>
          <w:tcPr>
            <w:tcW w:w="843" w:type="pct"/>
            <w:vMerge/>
            <w:vAlign w:val="center"/>
          </w:tcPr>
          <w:p w14:paraId="20CAE86B" w14:textId="77777777" w:rsidR="00C709FA" w:rsidRPr="00662906" w:rsidRDefault="00C709FA" w:rsidP="00B73071">
            <w:pPr>
              <w:rPr>
                <w:rFonts w:cs="Arial"/>
                <w:sz w:val="18"/>
                <w:szCs w:val="18"/>
              </w:rPr>
            </w:pPr>
          </w:p>
        </w:tc>
        <w:tc>
          <w:tcPr>
            <w:tcW w:w="1156" w:type="pct"/>
            <w:shd w:val="clear" w:color="auto" w:fill="FFFFFF" w:themeFill="background2"/>
            <w:tcMar>
              <w:left w:w="108" w:type="dxa"/>
              <w:right w:w="108" w:type="dxa"/>
            </w:tcMar>
          </w:tcPr>
          <w:p w14:paraId="23431D4D" w14:textId="77777777" w:rsidR="00C709FA" w:rsidRPr="00662906" w:rsidRDefault="00C709FA" w:rsidP="00B73071">
            <w:pPr>
              <w:spacing w:before="40" w:after="40"/>
              <w:jc w:val="left"/>
              <w:rPr>
                <w:rFonts w:eastAsia="Arial" w:cs="Arial"/>
                <w:color w:val="394A58"/>
                <w:sz w:val="18"/>
                <w:szCs w:val="18"/>
              </w:rPr>
            </w:pPr>
            <w:r w:rsidRPr="00662906">
              <w:rPr>
                <w:rFonts w:eastAsia="Arial" w:cs="Arial"/>
                <w:color w:val="394A58"/>
                <w:sz w:val="18"/>
                <w:szCs w:val="18"/>
              </w:rPr>
              <w:t xml:space="preserve">Collective Resource mobilization </w:t>
            </w:r>
          </w:p>
        </w:tc>
        <w:tc>
          <w:tcPr>
            <w:tcW w:w="1038" w:type="pct"/>
            <w:vMerge/>
            <w:vAlign w:val="center"/>
          </w:tcPr>
          <w:p w14:paraId="60C7D0F0" w14:textId="77777777" w:rsidR="00C709FA" w:rsidRPr="00662906" w:rsidRDefault="00C709FA" w:rsidP="00B73071">
            <w:pPr>
              <w:rPr>
                <w:rFonts w:cs="Arial"/>
                <w:sz w:val="18"/>
                <w:szCs w:val="18"/>
              </w:rPr>
            </w:pPr>
          </w:p>
        </w:tc>
        <w:tc>
          <w:tcPr>
            <w:tcW w:w="1156" w:type="pct"/>
            <w:vMerge/>
            <w:vAlign w:val="center"/>
          </w:tcPr>
          <w:p w14:paraId="6CA76957" w14:textId="77777777" w:rsidR="00C709FA" w:rsidRPr="00662906" w:rsidRDefault="00C709FA" w:rsidP="00B73071">
            <w:pPr>
              <w:rPr>
                <w:rFonts w:cs="Arial"/>
                <w:sz w:val="18"/>
                <w:szCs w:val="18"/>
              </w:rPr>
            </w:pPr>
          </w:p>
        </w:tc>
      </w:tr>
    </w:tbl>
    <w:p w14:paraId="0FA2D050" w14:textId="77777777" w:rsidR="00C709FA" w:rsidRPr="00662906" w:rsidRDefault="00C709FA" w:rsidP="00C709FA">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4A04444" w14:textId="77777777" w:rsidR="00C709FA" w:rsidRPr="00662906" w:rsidRDefault="00C709FA" w:rsidP="0098698D"/>
    <w:p w14:paraId="4FD0377F" w14:textId="77777777" w:rsidR="00C709FA" w:rsidRPr="00662906" w:rsidRDefault="00C709FA" w:rsidP="00AA614D"/>
    <w:p w14:paraId="3D9B3E88" w14:textId="2042E85D" w:rsidR="5C88E6D1" w:rsidRPr="00662906" w:rsidRDefault="5C88E6D1" w:rsidP="00813F48">
      <w:pPr>
        <w:pStyle w:val="Bullets"/>
        <w:numPr>
          <w:ilvl w:val="0"/>
          <w:numId w:val="0"/>
        </w:numPr>
        <w:ind w:left="1080"/>
        <w:rPr>
          <w:lang w:val="en-GB"/>
        </w:rPr>
        <w:sectPr w:rsidR="5C88E6D1" w:rsidRPr="00662906" w:rsidSect="0098698D">
          <w:pgSz w:w="16838" w:h="11906" w:orient="landscape"/>
          <w:pgMar w:top="1440" w:right="1440" w:bottom="1440" w:left="1440" w:header="720" w:footer="720" w:gutter="0"/>
          <w:pgNumType w:fmt="lowerRoman"/>
          <w:cols w:space="720"/>
          <w:titlePg/>
          <w:docGrid w:linePitch="360"/>
        </w:sectPr>
      </w:pPr>
    </w:p>
    <w:p w14:paraId="0C5EB380" w14:textId="3A21F7B5" w:rsidR="00EA11B8" w:rsidRPr="00662906" w:rsidRDefault="007734A4" w:rsidP="00797359">
      <w:pPr>
        <w:pStyle w:val="Heading1"/>
        <w:numPr>
          <w:ilvl w:val="0"/>
          <w:numId w:val="219"/>
        </w:numPr>
      </w:pPr>
      <w:bookmarkStart w:id="54" w:name="_Toc171955501"/>
      <w:bookmarkStart w:id="55" w:name="_Toc176190925"/>
      <w:bookmarkStart w:id="56" w:name="_Toc176191097"/>
      <w:bookmarkStart w:id="57" w:name="_Toc176341818"/>
      <w:bookmarkStart w:id="58" w:name="_Toc176430212"/>
      <w:bookmarkStart w:id="59" w:name="_Toc176430269"/>
      <w:bookmarkStart w:id="60" w:name="_Toc176441402"/>
      <w:bookmarkStart w:id="61" w:name="_Toc176442057"/>
      <w:bookmarkStart w:id="62" w:name="_Toc178937417"/>
      <w:bookmarkStart w:id="63" w:name="_Toc197433803"/>
      <w:r w:rsidRPr="00662906">
        <w:lastRenderedPageBreak/>
        <w:t>INTRODUCTION</w:t>
      </w:r>
      <w:bookmarkEnd w:id="54"/>
      <w:bookmarkEnd w:id="55"/>
      <w:bookmarkEnd w:id="56"/>
      <w:bookmarkEnd w:id="57"/>
      <w:bookmarkEnd w:id="58"/>
      <w:bookmarkEnd w:id="59"/>
      <w:bookmarkEnd w:id="60"/>
      <w:bookmarkEnd w:id="61"/>
      <w:bookmarkEnd w:id="62"/>
      <w:r w:rsidR="00DD727B" w:rsidRPr="00662906">
        <w:t xml:space="preserve"> AND CONTEXT</w:t>
      </w:r>
      <w:bookmarkEnd w:id="63"/>
    </w:p>
    <w:p w14:paraId="3F3FE7BF" w14:textId="0B8C6FA9" w:rsidR="005A340D" w:rsidRPr="00662906" w:rsidRDefault="1AC630F9" w:rsidP="00813F48">
      <w:pPr>
        <w:pStyle w:val="Heading2"/>
      </w:pPr>
      <w:bookmarkStart w:id="64" w:name="_Toc178936748"/>
      <w:bookmarkStart w:id="65" w:name="_Toc178937190"/>
      <w:bookmarkStart w:id="66" w:name="_Toc178937304"/>
      <w:bookmarkStart w:id="67" w:name="_Toc178937418"/>
      <w:bookmarkStart w:id="68" w:name="_Toc178937533"/>
      <w:bookmarkStart w:id="69" w:name="_Toc178937642"/>
      <w:bookmarkStart w:id="70" w:name="_Toc178937752"/>
      <w:bookmarkStart w:id="71" w:name="_Toc178937860"/>
      <w:bookmarkStart w:id="72" w:name="_Toc178937969"/>
      <w:bookmarkStart w:id="73" w:name="_Toc171955503"/>
      <w:bookmarkStart w:id="74" w:name="_Toc176190927"/>
      <w:bookmarkStart w:id="75" w:name="_Toc176191099"/>
      <w:bookmarkStart w:id="76" w:name="_Toc176341820"/>
      <w:bookmarkStart w:id="77" w:name="_Toc176430214"/>
      <w:bookmarkStart w:id="78" w:name="_Toc176430271"/>
      <w:bookmarkStart w:id="79" w:name="_Toc176441404"/>
      <w:bookmarkStart w:id="80" w:name="_Toc176442059"/>
      <w:bookmarkStart w:id="81" w:name="_Toc178937419"/>
      <w:bookmarkStart w:id="82" w:name="_Toc197433804"/>
      <w:bookmarkEnd w:id="64"/>
      <w:bookmarkEnd w:id="65"/>
      <w:bookmarkEnd w:id="66"/>
      <w:bookmarkEnd w:id="67"/>
      <w:bookmarkEnd w:id="68"/>
      <w:bookmarkEnd w:id="69"/>
      <w:bookmarkEnd w:id="70"/>
      <w:bookmarkEnd w:id="71"/>
      <w:bookmarkEnd w:id="72"/>
      <w:r w:rsidRPr="00662906">
        <w:t>B</w:t>
      </w:r>
      <w:r w:rsidR="75D8DE11" w:rsidRPr="00662906">
        <w:t>ackground</w:t>
      </w:r>
      <w:bookmarkEnd w:id="73"/>
      <w:bookmarkEnd w:id="74"/>
      <w:bookmarkEnd w:id="75"/>
      <w:bookmarkEnd w:id="76"/>
      <w:bookmarkEnd w:id="77"/>
      <w:bookmarkEnd w:id="78"/>
      <w:bookmarkEnd w:id="79"/>
      <w:bookmarkEnd w:id="80"/>
      <w:bookmarkEnd w:id="81"/>
      <w:bookmarkEnd w:id="82"/>
    </w:p>
    <w:p w14:paraId="476DE7CB" w14:textId="56AF296F" w:rsidR="00771309" w:rsidRPr="00662906" w:rsidRDefault="00771309" w:rsidP="00771309">
      <w:r w:rsidRPr="00662906">
        <w:rPr>
          <w:rFonts w:eastAsia="Arial" w:cs="Arial"/>
          <w:color w:val="535659"/>
        </w:rPr>
        <w:t>As the global community accelerates towards a sustainable energy future, Africa as a continent cannot be left behind</w:t>
      </w:r>
      <w:r w:rsidR="00BB2244" w:rsidRPr="00662906">
        <w:rPr>
          <w:rFonts w:eastAsia="Arial" w:cs="Arial"/>
          <w:color w:val="535659"/>
        </w:rPr>
        <w:t xml:space="preserve"> as it is</w:t>
      </w:r>
      <w:r w:rsidRPr="00662906">
        <w:rPr>
          <w:rFonts w:eastAsia="Arial" w:cs="Arial"/>
          <w:color w:val="535659"/>
        </w:rPr>
        <w:t xml:space="preserve"> one of the most vulnerable to the impacts of climate change with its energy supply system having potential for decarbonisation. </w:t>
      </w:r>
      <w:r w:rsidR="000009D8" w:rsidRPr="00662906">
        <w:rPr>
          <w:rFonts w:eastAsia="Arial" w:cs="Arial"/>
          <w:color w:val="535659"/>
        </w:rPr>
        <w:t>The African continent is disproportionately vulnerable to climate change due to its high dependence on rain-fed agriculture, limited adaptive capacity, and escalating extreme weather events, which threaten food security, water availability, and economic stability. Rising temperatures and shifting precipitation patterns exacerbate desertification, coastal erosion, and biodiversity loss, disproportionately impacting already marginalized communities and deepening socio-economic inequalities</w:t>
      </w:r>
      <w:r w:rsidR="00791A70" w:rsidRPr="00662906">
        <w:rPr>
          <w:rStyle w:val="FootnoteReference"/>
          <w:rFonts w:eastAsia="Arial" w:cs="Arial"/>
          <w:color w:val="535659"/>
        </w:rPr>
        <w:footnoteReference w:id="7"/>
      </w:r>
      <w:r w:rsidR="000009D8" w:rsidRPr="00662906">
        <w:rPr>
          <w:rFonts w:eastAsia="Arial" w:cs="Arial"/>
          <w:color w:val="535659"/>
        </w:rPr>
        <w:t>.</w:t>
      </w:r>
    </w:p>
    <w:p w14:paraId="42FD736B" w14:textId="3A517DEA" w:rsidR="00B44B37" w:rsidRPr="00662906" w:rsidRDefault="00D87427" w:rsidP="75BD6BB8">
      <w:r w:rsidRPr="00662906">
        <w:t>F</w:t>
      </w:r>
      <w:r w:rsidR="19DB1446" w:rsidRPr="00662906">
        <w:t>ossil fuels</w:t>
      </w:r>
      <w:r w:rsidRPr="00662906">
        <w:t xml:space="preserve"> contribute to a significant proportion</w:t>
      </w:r>
      <w:r w:rsidR="19DB1446" w:rsidRPr="00662906">
        <w:t xml:space="preserve"> </w:t>
      </w:r>
      <w:r w:rsidR="007A15BA" w:rsidRPr="00662906">
        <w:t>(</w:t>
      </w:r>
      <w:r w:rsidR="19DB1446" w:rsidRPr="00662906">
        <w:t>52%</w:t>
      </w:r>
      <w:r w:rsidR="007A15BA" w:rsidRPr="00662906">
        <w:t>)</w:t>
      </w:r>
      <w:r w:rsidR="19DB1446" w:rsidRPr="00662906">
        <w:t xml:space="preserve"> of TPES and 38% of </w:t>
      </w:r>
      <w:r w:rsidR="00D92E33" w:rsidRPr="00662906">
        <w:t xml:space="preserve">the </w:t>
      </w:r>
      <w:r w:rsidR="19DB1446" w:rsidRPr="00662906">
        <w:t>FEC</w:t>
      </w:r>
      <w:r w:rsidRPr="00662906">
        <w:t xml:space="preserve"> - of Africa’s energy use with </w:t>
      </w:r>
      <w:r w:rsidR="19DB1446" w:rsidRPr="00662906">
        <w:t xml:space="preserve">development lagging behind the other </w:t>
      </w:r>
      <w:r w:rsidR="07CA59EE" w:rsidRPr="00662906">
        <w:t>developing regions</w:t>
      </w:r>
      <w:r w:rsidR="19DB1446" w:rsidRPr="00662906">
        <w:t xml:space="preserve"> of Asia and Latin America</w:t>
      </w:r>
      <w:r w:rsidR="007B51AE" w:rsidRPr="00662906">
        <w:rPr>
          <w:rStyle w:val="FootnoteReference"/>
        </w:rPr>
        <w:footnoteReference w:id="8"/>
      </w:r>
      <w:r w:rsidR="19DB1446" w:rsidRPr="00662906">
        <w:t>.</w:t>
      </w:r>
      <w:r w:rsidR="424DD749" w:rsidRPr="00662906">
        <w:t xml:space="preserve"> </w:t>
      </w:r>
      <w:r w:rsidRPr="00662906">
        <w:t>The global e</w:t>
      </w:r>
      <w:r w:rsidR="424DD749" w:rsidRPr="00662906">
        <w:t xml:space="preserve">nergy </w:t>
      </w:r>
      <w:r w:rsidRPr="00662906">
        <w:t>t</w:t>
      </w:r>
      <w:r w:rsidR="424DD749" w:rsidRPr="00662906">
        <w:t xml:space="preserve">ransition </w:t>
      </w:r>
      <w:r w:rsidRPr="00662906">
        <w:t xml:space="preserve">paradigm should therefore </w:t>
      </w:r>
      <w:r w:rsidR="424DD749" w:rsidRPr="00662906">
        <w:t xml:space="preserve">advance </w:t>
      </w:r>
      <w:r w:rsidRPr="00662906">
        <w:t>Africa’s</w:t>
      </w:r>
      <w:r w:rsidR="424DD749" w:rsidRPr="00662906">
        <w:t xml:space="preserve"> development agenda while </w:t>
      </w:r>
      <w:r w:rsidR="36D574E5" w:rsidRPr="00662906">
        <w:t>transitioning</w:t>
      </w:r>
      <w:r w:rsidRPr="00662906">
        <w:t xml:space="preserve"> the continent</w:t>
      </w:r>
      <w:r w:rsidR="424DD749" w:rsidRPr="00662906">
        <w:t xml:space="preserve"> towards sustainable energy.</w:t>
      </w:r>
    </w:p>
    <w:p w14:paraId="0961E219" w14:textId="45FBF655" w:rsidR="00134609" w:rsidRPr="00662906" w:rsidRDefault="3A04A2CB" w:rsidP="383B164D">
      <w:r w:rsidRPr="00662906">
        <w:t>The ETSAP</w:t>
      </w:r>
      <w:r w:rsidR="007472B4" w:rsidRPr="00662906">
        <w:t xml:space="preserve"> </w:t>
      </w:r>
      <w:r w:rsidR="48AD12F3" w:rsidRPr="00662906">
        <w:t>has been</w:t>
      </w:r>
      <w:r w:rsidRPr="00662906">
        <w:t xml:space="preserve"> developed as part of the AFRETRAP that embodies the </w:t>
      </w:r>
      <w:r w:rsidR="4E931E9B" w:rsidRPr="00662906">
        <w:t>A</w:t>
      </w:r>
      <w:r w:rsidRPr="00662906">
        <w:t xml:space="preserve">U’s </w:t>
      </w:r>
      <w:r w:rsidRPr="00662906">
        <w:rPr>
          <w:b/>
          <w:bCs/>
        </w:rPr>
        <w:t>vision for a low-carbon energy future.</w:t>
      </w:r>
      <w:r w:rsidRPr="00662906">
        <w:t xml:space="preserve"> The ETSAP </w:t>
      </w:r>
      <w:r w:rsidR="03F8236E" w:rsidRPr="00662906">
        <w:t>is</w:t>
      </w:r>
      <w:r w:rsidRPr="00662906">
        <w:t xml:space="preserve"> </w:t>
      </w:r>
      <w:r w:rsidR="00D92E33" w:rsidRPr="00662906">
        <w:t>guided</w:t>
      </w:r>
      <w:r w:rsidRPr="00662906">
        <w:t xml:space="preserve"> </w:t>
      </w:r>
      <w:r w:rsidR="00D92E33" w:rsidRPr="00662906">
        <w:t xml:space="preserve">by </w:t>
      </w:r>
      <w:r w:rsidR="6D6A99F9" w:rsidRPr="00662906">
        <w:t>the</w:t>
      </w:r>
      <w:r w:rsidRPr="00662906">
        <w:t xml:space="preserve"> African Common Position on Energy Access and Just Transition</w:t>
      </w:r>
      <w:r w:rsidR="00297B79" w:rsidRPr="00662906">
        <w:rPr>
          <w:rStyle w:val="FootnoteReference"/>
          <w:rFonts w:eastAsia="Arial" w:cs="Arial"/>
          <w:color w:val="535659"/>
        </w:rPr>
        <w:footnoteReference w:id="9"/>
      </w:r>
      <w:r w:rsidRPr="00662906">
        <w:t xml:space="preserve">, </w:t>
      </w:r>
      <w:r w:rsidR="05E42EEB" w:rsidRPr="00662906">
        <w:t xml:space="preserve">that </w:t>
      </w:r>
      <w:r w:rsidRPr="00662906">
        <w:t>underscore</w:t>
      </w:r>
      <w:r w:rsidR="315CAA8A" w:rsidRPr="00662906">
        <w:t>s</w:t>
      </w:r>
      <w:r w:rsidRPr="00662906">
        <w:t xml:space="preserve"> the </w:t>
      </w:r>
      <w:r w:rsidR="00D92E33" w:rsidRPr="00662906">
        <w:t xml:space="preserve">urgent need </w:t>
      </w:r>
      <w:r w:rsidRPr="00662906">
        <w:t xml:space="preserve">to achieve </w:t>
      </w:r>
      <w:r w:rsidRPr="00662906">
        <w:rPr>
          <w:b/>
          <w:bCs/>
        </w:rPr>
        <w:t>universal energy access</w:t>
      </w:r>
      <w:r w:rsidRPr="00662906">
        <w:t xml:space="preserve"> paired with </w:t>
      </w:r>
      <w:r w:rsidRPr="00662906">
        <w:rPr>
          <w:b/>
          <w:bCs/>
        </w:rPr>
        <w:t xml:space="preserve">sustainable and low-carbon development </w:t>
      </w:r>
      <w:r w:rsidR="00D92E33" w:rsidRPr="00662906">
        <w:rPr>
          <w:b/>
          <w:bCs/>
        </w:rPr>
        <w:t xml:space="preserve">through </w:t>
      </w:r>
      <w:r w:rsidRPr="00662906">
        <w:rPr>
          <w:b/>
          <w:bCs/>
        </w:rPr>
        <w:t xml:space="preserve">harnessing </w:t>
      </w:r>
      <w:r w:rsidR="00D92E33" w:rsidRPr="00662906">
        <w:rPr>
          <w:b/>
          <w:bCs/>
        </w:rPr>
        <w:t xml:space="preserve">of Africa’s </w:t>
      </w:r>
      <w:r w:rsidRPr="00662906">
        <w:rPr>
          <w:b/>
          <w:bCs/>
        </w:rPr>
        <w:t>abundant renewable and non-renewable energy sources</w:t>
      </w:r>
      <w:r w:rsidRPr="00662906">
        <w:t xml:space="preserve"> to meet </w:t>
      </w:r>
      <w:r w:rsidR="00D92E33" w:rsidRPr="00662906">
        <w:t xml:space="preserve">the </w:t>
      </w:r>
      <w:r w:rsidRPr="00662906">
        <w:t>growing energy demands.</w:t>
      </w:r>
      <w:r w:rsidR="3FE9E592" w:rsidRPr="00662906">
        <w:t xml:space="preserve"> The ETSAP has</w:t>
      </w:r>
      <w:r w:rsidR="51368C5A" w:rsidRPr="00662906">
        <w:t xml:space="preserve"> align</w:t>
      </w:r>
      <w:r w:rsidR="3FE9E592" w:rsidRPr="00662906">
        <w:t>ment</w:t>
      </w:r>
      <w:r w:rsidR="51368C5A" w:rsidRPr="00662906">
        <w:t xml:space="preserve"> with African Union Agenda 2063, the principles of the UN’s 2030 Agenda for Sustainable Development, particularly SDG 7: the Paris Agreement of 2015, relevant </w:t>
      </w:r>
      <w:r w:rsidR="20851F9F" w:rsidRPr="00662906">
        <w:t>AU and</w:t>
      </w:r>
      <w:r w:rsidR="3FE9E592" w:rsidRPr="00662906">
        <w:t xml:space="preserve"> </w:t>
      </w:r>
      <w:r w:rsidR="20851F9F" w:rsidRPr="00662906">
        <w:t>regional and</w:t>
      </w:r>
      <w:r w:rsidR="3FE9E592" w:rsidRPr="00662906">
        <w:t xml:space="preserve"> national sector initiatives.</w:t>
      </w:r>
    </w:p>
    <w:p w14:paraId="05AF24C5" w14:textId="6E25EE1F" w:rsidR="00134609" w:rsidRPr="00662906" w:rsidRDefault="1476D381" w:rsidP="00134609">
      <w:r w:rsidRPr="00662906">
        <w:rPr>
          <w:rFonts w:eastAsia="Arial" w:cs="Arial"/>
        </w:rPr>
        <w:t>The</w:t>
      </w:r>
      <w:r w:rsidR="00771309" w:rsidRPr="00662906">
        <w:rPr>
          <w:rFonts w:eastAsia="Arial" w:cs="Arial"/>
        </w:rPr>
        <w:t>refore, the</w:t>
      </w:r>
      <w:r w:rsidRPr="00662906">
        <w:rPr>
          <w:rFonts w:eastAsia="Arial" w:cs="Arial"/>
        </w:rPr>
        <w:t xml:space="preserve"> Energy Transition agenda expresses the need for </w:t>
      </w:r>
      <w:r w:rsidRPr="00662906">
        <w:rPr>
          <w:rFonts w:eastAsia="Arial" w:cs="Arial"/>
          <w:b/>
          <w:bCs/>
        </w:rPr>
        <w:t>African leadership and ownership</w:t>
      </w:r>
      <w:r w:rsidRPr="00662906">
        <w:rPr>
          <w:rFonts w:eastAsia="Arial" w:cs="Arial"/>
        </w:rPr>
        <w:t xml:space="preserve">, emphasizing </w:t>
      </w:r>
      <w:r w:rsidR="7FC861E8" w:rsidRPr="00662906">
        <w:rPr>
          <w:rFonts w:eastAsia="Arial" w:cs="Arial"/>
        </w:rPr>
        <w:t>exploitation</w:t>
      </w:r>
      <w:r w:rsidR="7F389A90" w:rsidRPr="00662906">
        <w:rPr>
          <w:rFonts w:eastAsia="Arial" w:cs="Arial"/>
        </w:rPr>
        <w:t xml:space="preserve"> and utilization of</w:t>
      </w:r>
      <w:r w:rsidRPr="00662906">
        <w:rPr>
          <w:rFonts w:eastAsia="Arial" w:cs="Arial"/>
        </w:rPr>
        <w:t xml:space="preserve"> Africa's </w:t>
      </w:r>
      <w:r w:rsidRPr="00662906">
        <w:rPr>
          <w:rFonts w:eastAsia="Arial" w:cs="Arial"/>
          <w:b/>
          <w:bCs/>
        </w:rPr>
        <w:t xml:space="preserve">clean energy </w:t>
      </w:r>
      <w:r w:rsidR="6DA574B6" w:rsidRPr="00662906">
        <w:rPr>
          <w:rFonts w:eastAsia="Arial" w:cs="Arial"/>
          <w:b/>
          <w:bCs/>
        </w:rPr>
        <w:t>and critical</w:t>
      </w:r>
      <w:r w:rsidR="35D1E64B" w:rsidRPr="00662906">
        <w:rPr>
          <w:rFonts w:eastAsia="Arial" w:cs="Arial"/>
          <w:b/>
          <w:bCs/>
        </w:rPr>
        <w:t xml:space="preserve"> mineral</w:t>
      </w:r>
      <w:r w:rsidR="7164AD9C" w:rsidRPr="00662906">
        <w:rPr>
          <w:rFonts w:eastAsia="Arial" w:cs="Arial"/>
          <w:b/>
          <w:bCs/>
        </w:rPr>
        <w:t xml:space="preserve"> resources</w:t>
      </w:r>
      <w:r w:rsidR="35D1E64B" w:rsidRPr="00662906">
        <w:rPr>
          <w:rFonts w:eastAsia="Arial" w:cs="Arial"/>
          <w:b/>
          <w:bCs/>
        </w:rPr>
        <w:t xml:space="preserve"> </w:t>
      </w:r>
      <w:r w:rsidR="63157FB6" w:rsidRPr="00662906">
        <w:rPr>
          <w:rFonts w:eastAsia="Arial" w:cs="Arial"/>
          <w:b/>
          <w:bCs/>
        </w:rPr>
        <w:t xml:space="preserve">that </w:t>
      </w:r>
      <w:r w:rsidR="766BC8A9" w:rsidRPr="00662906">
        <w:rPr>
          <w:rFonts w:eastAsia="Arial" w:cs="Arial"/>
          <w:b/>
          <w:bCs/>
        </w:rPr>
        <w:t>can support</w:t>
      </w:r>
      <w:r w:rsidR="35D1E64B" w:rsidRPr="00662906">
        <w:rPr>
          <w:rFonts w:eastAsia="Arial" w:cs="Arial"/>
          <w:b/>
          <w:bCs/>
        </w:rPr>
        <w:t xml:space="preserve"> Energy Transition</w:t>
      </w:r>
      <w:r w:rsidR="0B60D596" w:rsidRPr="00662906">
        <w:rPr>
          <w:rFonts w:eastAsia="Arial" w:cs="Arial"/>
          <w:b/>
          <w:bCs/>
        </w:rPr>
        <w:t xml:space="preserve">. </w:t>
      </w:r>
      <w:r w:rsidR="7041DF6B" w:rsidRPr="00662906">
        <w:rPr>
          <w:rFonts w:eastAsia="Arial" w:cs="Arial"/>
          <w:b/>
          <w:bCs/>
        </w:rPr>
        <w:t>This is to be accompanied by</w:t>
      </w:r>
      <w:r w:rsidR="16FA7AE1" w:rsidRPr="00662906">
        <w:rPr>
          <w:rFonts w:eastAsia="Arial" w:cs="Arial"/>
          <w:b/>
          <w:bCs/>
        </w:rPr>
        <w:t xml:space="preserve"> </w:t>
      </w:r>
      <w:r w:rsidRPr="00662906">
        <w:rPr>
          <w:rFonts w:eastAsia="Arial" w:cs="Arial"/>
          <w:b/>
          <w:bCs/>
        </w:rPr>
        <w:t>capacity building</w:t>
      </w:r>
      <w:r w:rsidRPr="00662906">
        <w:rPr>
          <w:rFonts w:eastAsia="Arial" w:cs="Arial"/>
        </w:rPr>
        <w:t xml:space="preserve">, sensitizing decision-makers about the </w:t>
      </w:r>
      <w:r w:rsidRPr="00662906">
        <w:rPr>
          <w:rFonts w:eastAsia="Arial" w:cs="Arial"/>
          <w:b/>
          <w:bCs/>
        </w:rPr>
        <w:t>investment needs</w:t>
      </w:r>
      <w:r w:rsidRPr="00662906">
        <w:rPr>
          <w:rFonts w:eastAsia="Arial" w:cs="Arial"/>
        </w:rPr>
        <w:t xml:space="preserve"> in energy </w:t>
      </w:r>
      <w:r w:rsidR="35340DC6" w:rsidRPr="00662906">
        <w:rPr>
          <w:rFonts w:eastAsia="Arial" w:cs="Arial"/>
        </w:rPr>
        <w:t>transition and</w:t>
      </w:r>
      <w:r w:rsidRPr="00662906">
        <w:rPr>
          <w:rFonts w:eastAsia="Arial" w:cs="Arial"/>
        </w:rPr>
        <w:t xml:space="preserve"> cultivating a community of knowledge and best practice for </w:t>
      </w:r>
      <w:r w:rsidRPr="00662906">
        <w:rPr>
          <w:rFonts w:eastAsia="Arial" w:cs="Arial"/>
          <w:b/>
          <w:bCs/>
        </w:rPr>
        <w:t>mutual learning</w:t>
      </w:r>
      <w:r w:rsidRPr="00662906">
        <w:rPr>
          <w:rFonts w:eastAsia="Arial" w:cs="Arial"/>
        </w:rPr>
        <w:t xml:space="preserve"> across African nations. </w:t>
      </w:r>
    </w:p>
    <w:p w14:paraId="76AC1928" w14:textId="6164F5DF" w:rsidR="6DA6CDE1" w:rsidRPr="00662906" w:rsidRDefault="6063033D" w:rsidP="00F652B8">
      <w:pPr>
        <w:rPr>
          <w:rFonts w:eastAsia="Arial" w:cs="Arial"/>
          <w:color w:val="535659"/>
        </w:rPr>
      </w:pPr>
      <w:r w:rsidRPr="00662906">
        <w:rPr>
          <w:rFonts w:eastAsia="Arial" w:cs="Arial"/>
          <w:color w:val="535659"/>
        </w:rPr>
        <w:t xml:space="preserve">The ETSAP is a Framework </w:t>
      </w:r>
      <w:r w:rsidR="44ADD915" w:rsidRPr="00662906">
        <w:rPr>
          <w:rFonts w:eastAsia="Arial" w:cs="Arial"/>
          <w:color w:val="535659"/>
        </w:rPr>
        <w:t>to guide the Energy Transition at the</w:t>
      </w:r>
      <w:r w:rsidR="7706E6AD" w:rsidRPr="00662906">
        <w:rPr>
          <w:rFonts w:eastAsia="Arial" w:cs="Arial"/>
          <w:color w:val="535659"/>
        </w:rPr>
        <w:t xml:space="preserve"> Continental level based on which</w:t>
      </w:r>
      <w:r w:rsidRPr="00662906">
        <w:rPr>
          <w:rFonts w:eastAsia="Arial" w:cs="Arial"/>
          <w:color w:val="535659"/>
        </w:rPr>
        <w:t xml:space="preserve"> the AU </w:t>
      </w:r>
      <w:r w:rsidR="00263D87" w:rsidRPr="00662906">
        <w:rPr>
          <w:rFonts w:eastAsia="Arial" w:cs="Arial"/>
          <w:color w:val="535659"/>
        </w:rPr>
        <w:t>MS</w:t>
      </w:r>
      <w:r w:rsidRPr="00662906">
        <w:rPr>
          <w:rFonts w:eastAsia="Arial" w:cs="Arial"/>
          <w:color w:val="535659"/>
        </w:rPr>
        <w:t xml:space="preserve"> will domesticate and generate their own En</w:t>
      </w:r>
      <w:r w:rsidR="6EF0925D" w:rsidRPr="00662906">
        <w:rPr>
          <w:rFonts w:eastAsia="Arial" w:cs="Arial"/>
          <w:color w:val="535659"/>
        </w:rPr>
        <w:t>ergy Transition Pathways</w:t>
      </w:r>
      <w:r w:rsidR="00241EB5" w:rsidRPr="00662906">
        <w:rPr>
          <w:rFonts w:eastAsia="Arial" w:cs="Arial"/>
          <w:color w:val="535659"/>
        </w:rPr>
        <w:t xml:space="preserve"> depending on </w:t>
      </w:r>
      <w:r w:rsidR="00225B7E" w:rsidRPr="00662906">
        <w:rPr>
          <w:rFonts w:eastAsia="Arial" w:cs="Arial"/>
          <w:color w:val="535659"/>
        </w:rPr>
        <w:t>their national</w:t>
      </w:r>
      <w:r w:rsidR="00241EB5" w:rsidRPr="00662906">
        <w:rPr>
          <w:rFonts w:eastAsia="Arial" w:cs="Arial"/>
          <w:color w:val="535659"/>
        </w:rPr>
        <w:t xml:space="preserve"> priorities and economic status</w:t>
      </w:r>
      <w:r w:rsidR="2257542D" w:rsidRPr="00662906">
        <w:rPr>
          <w:rFonts w:eastAsia="Arial" w:cs="Arial"/>
          <w:color w:val="535659"/>
        </w:rPr>
        <w:t>.</w:t>
      </w:r>
    </w:p>
    <w:p w14:paraId="220FEE43" w14:textId="142792E9" w:rsidR="61CE8A78" w:rsidRPr="00662906" w:rsidRDefault="7ABCB3B6" w:rsidP="00F652B8">
      <w:pPr>
        <w:rPr>
          <w:rFonts w:eastAsia="Arial" w:cs="Arial"/>
          <w:color w:val="535659"/>
        </w:rPr>
      </w:pPr>
      <w:r w:rsidRPr="00662906">
        <w:rPr>
          <w:rFonts w:eastAsia="Arial" w:cs="Arial"/>
          <w:color w:val="535659"/>
        </w:rPr>
        <w:t xml:space="preserve">The ETSAP is intended to address the following issues of </w:t>
      </w:r>
      <w:r w:rsidR="0351C07D" w:rsidRPr="00662906">
        <w:rPr>
          <w:rFonts w:eastAsia="Arial" w:cs="Arial"/>
          <w:color w:val="535659"/>
        </w:rPr>
        <w:t>critical</w:t>
      </w:r>
      <w:r w:rsidRPr="00662906">
        <w:rPr>
          <w:rFonts w:eastAsia="Arial" w:cs="Arial"/>
          <w:color w:val="535659"/>
        </w:rPr>
        <w:t xml:space="preserve"> importance to the African Development agenda.</w:t>
      </w:r>
    </w:p>
    <w:p w14:paraId="29A9B3FB" w14:textId="1FC4B57C" w:rsidR="6FFFCDF1" w:rsidRPr="00662906" w:rsidRDefault="00C529E3" w:rsidP="004C4291">
      <w:pPr>
        <w:pStyle w:val="Bullets"/>
        <w:ind w:left="851" w:hanging="425"/>
        <w:rPr>
          <w:lang w:val="en-GB"/>
        </w:rPr>
      </w:pPr>
      <w:r w:rsidRPr="00662906">
        <w:rPr>
          <w:lang w:val="en-GB"/>
        </w:rPr>
        <w:t xml:space="preserve">Support </w:t>
      </w:r>
      <w:r w:rsidR="1C8EA460" w:rsidRPr="00662906">
        <w:rPr>
          <w:lang w:val="en-GB"/>
        </w:rPr>
        <w:t xml:space="preserve">the exploitation of </w:t>
      </w:r>
      <w:r w:rsidRPr="00662906">
        <w:rPr>
          <w:lang w:val="en-GB"/>
        </w:rPr>
        <w:t>Africa’s</w:t>
      </w:r>
      <w:r w:rsidR="1C8EA460" w:rsidRPr="00662906">
        <w:rPr>
          <w:lang w:val="en-GB"/>
        </w:rPr>
        <w:t xml:space="preserve"> abundant clean energy resources to achieve energy supply </w:t>
      </w:r>
      <w:r w:rsidR="6940568C" w:rsidRPr="00662906">
        <w:rPr>
          <w:lang w:val="en-GB"/>
        </w:rPr>
        <w:t>sustainability</w:t>
      </w:r>
      <w:r w:rsidRPr="00662906">
        <w:rPr>
          <w:lang w:val="en-GB"/>
        </w:rPr>
        <w:t xml:space="preserve"> and development</w:t>
      </w:r>
      <w:r w:rsidR="6940568C" w:rsidRPr="00662906">
        <w:rPr>
          <w:lang w:val="en-GB"/>
        </w:rPr>
        <w:t xml:space="preserve"> </w:t>
      </w:r>
      <w:r w:rsidRPr="00662906">
        <w:rPr>
          <w:lang w:val="en-GB"/>
        </w:rPr>
        <w:t>while</w:t>
      </w:r>
      <w:r w:rsidR="1C8EA460" w:rsidRPr="00662906">
        <w:rPr>
          <w:lang w:val="en-GB"/>
        </w:rPr>
        <w:t xml:space="preserve"> noting that these resources are not evenly distributed in the continent. Some are renewable and others are non-renewable, but the </w:t>
      </w:r>
      <w:r w:rsidR="7BB29ED0" w:rsidRPr="00662906">
        <w:rPr>
          <w:lang w:val="en-GB"/>
        </w:rPr>
        <w:t>priority</w:t>
      </w:r>
      <w:r w:rsidR="1C8EA460" w:rsidRPr="00662906">
        <w:rPr>
          <w:lang w:val="en-GB"/>
        </w:rPr>
        <w:t xml:space="preserve"> is to meet </w:t>
      </w:r>
      <w:r w:rsidR="60343990" w:rsidRPr="00662906">
        <w:rPr>
          <w:lang w:val="en-GB"/>
        </w:rPr>
        <w:t xml:space="preserve">energy </w:t>
      </w:r>
      <w:r w:rsidR="1C8EA460" w:rsidRPr="00662906">
        <w:rPr>
          <w:lang w:val="en-GB"/>
        </w:rPr>
        <w:t>demand</w:t>
      </w:r>
      <w:r w:rsidR="372D296C" w:rsidRPr="00662906">
        <w:rPr>
          <w:lang w:val="en-GB"/>
        </w:rPr>
        <w:t xml:space="preserve"> in a sustainable way without hindering</w:t>
      </w:r>
      <w:r w:rsidR="1C8EA460" w:rsidRPr="00662906">
        <w:rPr>
          <w:lang w:val="en-GB"/>
        </w:rPr>
        <w:t xml:space="preserve"> socio-economic growth</w:t>
      </w:r>
      <w:r w:rsidR="5A45A4AD" w:rsidRPr="00662906">
        <w:rPr>
          <w:lang w:val="en-GB"/>
        </w:rPr>
        <w:t xml:space="preserve"> on the continent</w:t>
      </w:r>
      <w:r w:rsidR="1C8EA460" w:rsidRPr="00662906">
        <w:rPr>
          <w:lang w:val="en-GB"/>
        </w:rPr>
        <w:t>.</w:t>
      </w:r>
    </w:p>
    <w:p w14:paraId="6DB9E5C1" w14:textId="1552BEA5" w:rsidR="6BFC00C1" w:rsidRPr="00662906" w:rsidRDefault="6BFC00C1" w:rsidP="75BD6BB8">
      <w:pPr>
        <w:pStyle w:val="Bullets"/>
        <w:ind w:left="851" w:hanging="425"/>
        <w:rPr>
          <w:lang w:val="en-GB"/>
        </w:rPr>
      </w:pPr>
      <w:r w:rsidRPr="00662906">
        <w:rPr>
          <w:lang w:val="en-GB"/>
        </w:rPr>
        <w:t>Exploiting and beneficiating critical minerals that can be used to produce energy transition technologies</w:t>
      </w:r>
      <w:r w:rsidR="0F0C3DE5" w:rsidRPr="00662906">
        <w:rPr>
          <w:lang w:val="en-GB"/>
        </w:rPr>
        <w:t>,</w:t>
      </w:r>
      <w:r w:rsidRPr="00662906">
        <w:rPr>
          <w:lang w:val="en-GB"/>
        </w:rPr>
        <w:t xml:space="preserve"> create new industries</w:t>
      </w:r>
      <w:r w:rsidR="0EDB7395" w:rsidRPr="00662906">
        <w:rPr>
          <w:lang w:val="en-GB"/>
        </w:rPr>
        <w:t>, enhance</w:t>
      </w:r>
      <w:r w:rsidR="2A8B07AC" w:rsidRPr="00662906">
        <w:rPr>
          <w:lang w:val="en-GB"/>
        </w:rPr>
        <w:t xml:space="preserve"> innovation </w:t>
      </w:r>
      <w:r w:rsidR="6870BB5E" w:rsidRPr="00662906">
        <w:rPr>
          <w:lang w:val="en-GB"/>
        </w:rPr>
        <w:t xml:space="preserve">and technology transfer </w:t>
      </w:r>
      <w:r w:rsidR="2A8B07AC" w:rsidRPr="00662906">
        <w:rPr>
          <w:lang w:val="en-GB"/>
        </w:rPr>
        <w:t>on the continent.</w:t>
      </w:r>
    </w:p>
    <w:p w14:paraId="5D34A33F" w14:textId="58732ACA" w:rsidR="683E4D03" w:rsidRPr="00662906" w:rsidRDefault="75F155BA" w:rsidP="004C4291">
      <w:pPr>
        <w:pStyle w:val="Bullets"/>
        <w:ind w:left="851" w:hanging="425"/>
        <w:rPr>
          <w:lang w:val="en-GB"/>
        </w:rPr>
      </w:pPr>
      <w:r w:rsidRPr="00662906">
        <w:rPr>
          <w:lang w:val="en-GB"/>
        </w:rPr>
        <w:t>Enhanc</w:t>
      </w:r>
      <w:r w:rsidR="00C529E3" w:rsidRPr="00662906">
        <w:rPr>
          <w:lang w:val="en-GB"/>
        </w:rPr>
        <w:t>e</w:t>
      </w:r>
      <w:r w:rsidRPr="00662906">
        <w:rPr>
          <w:lang w:val="en-GB"/>
        </w:rPr>
        <w:t xml:space="preserve"> the continental integration for trade of both energy</w:t>
      </w:r>
      <w:r w:rsidR="5BF9FB8D" w:rsidRPr="00662906">
        <w:rPr>
          <w:lang w:val="en-GB"/>
        </w:rPr>
        <w:t>,</w:t>
      </w:r>
      <w:r w:rsidRPr="00662906">
        <w:rPr>
          <w:lang w:val="en-GB"/>
        </w:rPr>
        <w:t xml:space="preserve"> </w:t>
      </w:r>
      <w:r w:rsidR="00263D87" w:rsidRPr="00662906">
        <w:rPr>
          <w:lang w:val="en-GB"/>
        </w:rPr>
        <w:t>goods,</w:t>
      </w:r>
      <w:r w:rsidRPr="00662906">
        <w:rPr>
          <w:lang w:val="en-GB"/>
        </w:rPr>
        <w:t xml:space="preserve"> and services</w:t>
      </w:r>
      <w:r w:rsidR="00CA3AFF" w:rsidRPr="00662906">
        <w:rPr>
          <w:lang w:val="en-GB"/>
        </w:rPr>
        <w:t>.</w:t>
      </w:r>
    </w:p>
    <w:p w14:paraId="4A99CB78" w14:textId="032B1CD1" w:rsidR="683E4D03" w:rsidRPr="00662906" w:rsidRDefault="00C529E3" w:rsidP="004C4291">
      <w:pPr>
        <w:pStyle w:val="Bullets"/>
        <w:ind w:left="851" w:hanging="425"/>
        <w:rPr>
          <w:lang w:val="en-GB"/>
        </w:rPr>
      </w:pPr>
      <w:r w:rsidRPr="00662906">
        <w:rPr>
          <w:lang w:val="en-GB"/>
        </w:rPr>
        <w:t>Advance</w:t>
      </w:r>
      <w:r w:rsidR="46A1D312" w:rsidRPr="00662906">
        <w:rPr>
          <w:lang w:val="en-GB"/>
        </w:rPr>
        <w:t xml:space="preserve"> access to modern energy</w:t>
      </w:r>
      <w:r w:rsidRPr="00662906">
        <w:rPr>
          <w:lang w:val="en-GB"/>
        </w:rPr>
        <w:t xml:space="preserve"> services both electrification and clean cooking</w:t>
      </w:r>
      <w:r w:rsidR="46A1D312" w:rsidRPr="00662906">
        <w:rPr>
          <w:lang w:val="en-GB"/>
        </w:rPr>
        <w:t xml:space="preserve">. </w:t>
      </w:r>
    </w:p>
    <w:p w14:paraId="6FF23A0E" w14:textId="3E21419A" w:rsidR="683E4D03" w:rsidRPr="00662906" w:rsidRDefault="6E7D2722" w:rsidP="004C4291">
      <w:pPr>
        <w:pStyle w:val="Bullets"/>
        <w:ind w:left="851" w:hanging="425"/>
        <w:rPr>
          <w:lang w:val="en-GB"/>
        </w:rPr>
      </w:pPr>
      <w:r w:rsidRPr="00662906">
        <w:rPr>
          <w:lang w:val="en-GB"/>
        </w:rPr>
        <w:t xml:space="preserve">Migrating from </w:t>
      </w:r>
      <w:r w:rsidR="26DA950D" w:rsidRPr="00662906">
        <w:rPr>
          <w:lang w:val="en-GB"/>
        </w:rPr>
        <w:t>prevalent</w:t>
      </w:r>
      <w:r w:rsidRPr="00662906">
        <w:rPr>
          <w:lang w:val="en-GB"/>
        </w:rPr>
        <w:t xml:space="preserve"> use of traditional biomass to modern and sustainable energy sources</w:t>
      </w:r>
      <w:r w:rsidR="646C8040" w:rsidRPr="00662906">
        <w:rPr>
          <w:lang w:val="en-GB"/>
        </w:rPr>
        <w:t xml:space="preserve"> for improved healthy environment and poverty alleviation.</w:t>
      </w:r>
    </w:p>
    <w:p w14:paraId="08D42E33" w14:textId="776D2DE6" w:rsidR="6FFFCDF1" w:rsidRPr="00662906" w:rsidRDefault="77C0C8D2" w:rsidP="004C4291">
      <w:pPr>
        <w:pStyle w:val="Bullets"/>
        <w:ind w:left="851" w:hanging="425"/>
        <w:rPr>
          <w:lang w:val="en-GB"/>
        </w:rPr>
      </w:pPr>
      <w:r w:rsidRPr="00662906">
        <w:rPr>
          <w:lang w:val="en-GB"/>
        </w:rPr>
        <w:lastRenderedPageBreak/>
        <w:t xml:space="preserve">Achieving Energy security for supporting industrialization in a continent that is still lagging in meeting its socio-economic goals such as job creation </w:t>
      </w:r>
      <w:r w:rsidR="25C5BFE4" w:rsidRPr="00662906">
        <w:rPr>
          <w:lang w:val="en-GB"/>
        </w:rPr>
        <w:t xml:space="preserve">for the youthful population of Africa </w:t>
      </w:r>
      <w:r w:rsidRPr="00662906">
        <w:rPr>
          <w:lang w:val="en-GB"/>
        </w:rPr>
        <w:t>and enhancing economic growth</w:t>
      </w:r>
      <w:r w:rsidR="108D7FFB" w:rsidRPr="00662906">
        <w:rPr>
          <w:lang w:val="en-GB"/>
        </w:rPr>
        <w:t xml:space="preserve"> in </w:t>
      </w:r>
      <w:r w:rsidR="254C9DB9" w:rsidRPr="00662906">
        <w:rPr>
          <w:lang w:val="en-GB"/>
        </w:rPr>
        <w:t>genera</w:t>
      </w:r>
      <w:r w:rsidR="5F3B878C" w:rsidRPr="00662906">
        <w:rPr>
          <w:lang w:val="en-GB"/>
        </w:rPr>
        <w:t xml:space="preserve">; and yet boasts of some of the </w:t>
      </w:r>
      <w:r w:rsidR="00225B7E" w:rsidRPr="00662906">
        <w:rPr>
          <w:lang w:val="en-GB"/>
        </w:rPr>
        <w:t>rarest</w:t>
      </w:r>
      <w:r w:rsidR="5F3B878C" w:rsidRPr="00662906">
        <w:rPr>
          <w:lang w:val="en-GB"/>
        </w:rPr>
        <w:t xml:space="preserve"> strategic minerals </w:t>
      </w:r>
      <w:r w:rsidR="72DEA891" w:rsidRPr="00662906">
        <w:rPr>
          <w:lang w:val="en-GB"/>
        </w:rPr>
        <w:t>that can be beneficiated on the continent</w:t>
      </w:r>
      <w:r w:rsidR="00D76226" w:rsidRPr="00662906">
        <w:rPr>
          <w:lang w:val="en-GB"/>
        </w:rPr>
        <w:t>.</w:t>
      </w:r>
    </w:p>
    <w:p w14:paraId="50AA3D6B" w14:textId="1C61231E" w:rsidR="6FFFCDF1" w:rsidRPr="00662906" w:rsidRDefault="30460BA0" w:rsidP="004C4291">
      <w:pPr>
        <w:pStyle w:val="Bullets"/>
        <w:ind w:left="851" w:hanging="425"/>
        <w:rPr>
          <w:lang w:val="en-GB"/>
        </w:rPr>
      </w:pPr>
      <w:r w:rsidRPr="00662906">
        <w:rPr>
          <w:lang w:val="en-GB"/>
        </w:rPr>
        <w:t xml:space="preserve">Alignment with global, continental, regional and National development and policy agendas including SDGs and the Paris Agreement that requires AU </w:t>
      </w:r>
      <w:r w:rsidR="00FF7A9F" w:rsidRPr="00662906">
        <w:rPr>
          <w:lang w:val="en-GB"/>
        </w:rPr>
        <w:t>Member States</w:t>
      </w:r>
      <w:r w:rsidRPr="00662906">
        <w:rPr>
          <w:lang w:val="en-GB"/>
        </w:rPr>
        <w:t xml:space="preserve"> to </w:t>
      </w:r>
      <w:r w:rsidR="002B2AFD" w:rsidRPr="00662906">
        <w:rPr>
          <w:lang w:val="en-GB"/>
        </w:rPr>
        <w:t>honour</w:t>
      </w:r>
      <w:r w:rsidRPr="00662906">
        <w:rPr>
          <w:lang w:val="en-GB"/>
        </w:rPr>
        <w:t xml:space="preserve"> their </w:t>
      </w:r>
      <w:r w:rsidR="0131E642" w:rsidRPr="00662906">
        <w:rPr>
          <w:lang w:val="en-GB"/>
        </w:rPr>
        <w:t xml:space="preserve">national </w:t>
      </w:r>
      <w:r w:rsidRPr="00662906">
        <w:rPr>
          <w:lang w:val="en-GB"/>
        </w:rPr>
        <w:t>commitments</w:t>
      </w:r>
      <w:r w:rsidR="34D943DA" w:rsidRPr="00662906">
        <w:rPr>
          <w:lang w:val="en-GB"/>
        </w:rPr>
        <w:t xml:space="preserve"> </w:t>
      </w:r>
      <w:r w:rsidR="68A57F8B" w:rsidRPr="00662906">
        <w:rPr>
          <w:lang w:val="en-GB"/>
        </w:rPr>
        <w:t xml:space="preserve">to the </w:t>
      </w:r>
      <w:r w:rsidR="0A13D74B" w:rsidRPr="00662906">
        <w:rPr>
          <w:lang w:val="en-GB"/>
        </w:rPr>
        <w:t>Paris</w:t>
      </w:r>
      <w:r w:rsidR="68A57F8B" w:rsidRPr="00662906">
        <w:rPr>
          <w:lang w:val="en-GB"/>
        </w:rPr>
        <w:t xml:space="preserve"> Agreement </w:t>
      </w:r>
      <w:r w:rsidR="34D943DA" w:rsidRPr="00662906">
        <w:rPr>
          <w:lang w:val="en-GB"/>
        </w:rPr>
        <w:t>as stipulated in their</w:t>
      </w:r>
      <w:r w:rsidRPr="00662906">
        <w:rPr>
          <w:lang w:val="en-GB"/>
        </w:rPr>
        <w:t xml:space="preserve"> NDCs</w:t>
      </w:r>
      <w:r w:rsidR="306015D4" w:rsidRPr="00662906">
        <w:rPr>
          <w:lang w:val="en-GB"/>
        </w:rPr>
        <w:t>.</w:t>
      </w:r>
    </w:p>
    <w:p w14:paraId="2665E5E2" w14:textId="0B4F5075" w:rsidR="6FFFCDF1" w:rsidRPr="00662906" w:rsidRDefault="30460BA0" w:rsidP="004C4291">
      <w:pPr>
        <w:pStyle w:val="Bullets"/>
        <w:ind w:left="851" w:hanging="425"/>
        <w:rPr>
          <w:lang w:val="en-GB"/>
        </w:rPr>
      </w:pPr>
      <w:r w:rsidRPr="00662906">
        <w:rPr>
          <w:lang w:val="en-GB"/>
        </w:rPr>
        <w:t>Advancing socio-economic development of the continent without compromising on the conventional environmental i</w:t>
      </w:r>
      <w:r w:rsidR="4C9DEB3D" w:rsidRPr="00662906">
        <w:rPr>
          <w:lang w:val="en-GB"/>
        </w:rPr>
        <w:t>ntegrity</w:t>
      </w:r>
      <w:r w:rsidR="6BA4143B" w:rsidRPr="00662906">
        <w:rPr>
          <w:lang w:val="en-GB"/>
        </w:rPr>
        <w:t xml:space="preserve"> coupled with climate preparedness and resilience.</w:t>
      </w:r>
    </w:p>
    <w:p w14:paraId="0759726C" w14:textId="717ECD2E" w:rsidR="6FFFCDF1" w:rsidRPr="00662906" w:rsidRDefault="77C0C8D2" w:rsidP="004C4291">
      <w:pPr>
        <w:pStyle w:val="Bullets"/>
        <w:ind w:left="851" w:hanging="425"/>
        <w:rPr>
          <w:lang w:val="en-GB"/>
        </w:rPr>
      </w:pPr>
      <w:r w:rsidRPr="00662906">
        <w:rPr>
          <w:lang w:val="en-GB"/>
        </w:rPr>
        <w:t xml:space="preserve">Tapping on the </w:t>
      </w:r>
      <w:r w:rsidR="131FC4F0" w:rsidRPr="00662906">
        <w:rPr>
          <w:lang w:val="en-GB"/>
        </w:rPr>
        <w:t xml:space="preserve">available and </w:t>
      </w:r>
      <w:r w:rsidRPr="00662906">
        <w:rPr>
          <w:lang w:val="en-GB"/>
        </w:rPr>
        <w:t>forthcoming local and global financial and investment flows</w:t>
      </w:r>
      <w:r w:rsidR="208AA5F7" w:rsidRPr="00662906">
        <w:rPr>
          <w:lang w:val="en-GB"/>
        </w:rPr>
        <w:t xml:space="preserve"> for clean energy opportunities</w:t>
      </w:r>
      <w:r w:rsidR="00CA3AFF" w:rsidRPr="00662906">
        <w:rPr>
          <w:lang w:val="en-GB"/>
        </w:rPr>
        <w:t>.</w:t>
      </w:r>
      <w:r w:rsidRPr="00662906">
        <w:rPr>
          <w:lang w:val="en-GB"/>
        </w:rPr>
        <w:t xml:space="preserve"> </w:t>
      </w:r>
    </w:p>
    <w:p w14:paraId="5DC8B3F3" w14:textId="59C62846" w:rsidR="6FFFCDF1" w:rsidRPr="00662906" w:rsidRDefault="30460BA0" w:rsidP="004C4291">
      <w:pPr>
        <w:pStyle w:val="Bullets"/>
        <w:ind w:left="851" w:hanging="425"/>
        <w:rPr>
          <w:lang w:val="en-GB"/>
        </w:rPr>
      </w:pPr>
      <w:r w:rsidRPr="00662906">
        <w:rPr>
          <w:lang w:val="en-GB"/>
        </w:rPr>
        <w:t xml:space="preserve">Taking advantage of technological advancements of </w:t>
      </w:r>
      <w:r w:rsidR="46962AD7" w:rsidRPr="00662906">
        <w:rPr>
          <w:lang w:val="en-GB"/>
        </w:rPr>
        <w:t xml:space="preserve">clean technologies </w:t>
      </w:r>
      <w:r w:rsidR="5F19F89B" w:rsidRPr="00662906">
        <w:rPr>
          <w:lang w:val="en-GB"/>
        </w:rPr>
        <w:t>recognizing</w:t>
      </w:r>
      <w:r w:rsidR="46962AD7" w:rsidRPr="00662906">
        <w:rPr>
          <w:lang w:val="en-GB"/>
        </w:rPr>
        <w:t xml:space="preserve"> that </w:t>
      </w:r>
      <w:r w:rsidRPr="00662906">
        <w:rPr>
          <w:lang w:val="en-GB"/>
        </w:rPr>
        <w:t xml:space="preserve">some Renewable Energy technologies have become competitive or even cheaper than </w:t>
      </w:r>
      <w:r w:rsidR="5779C23F" w:rsidRPr="00662906">
        <w:rPr>
          <w:lang w:val="en-GB"/>
        </w:rPr>
        <w:t xml:space="preserve">some </w:t>
      </w:r>
      <w:r w:rsidRPr="00662906">
        <w:rPr>
          <w:lang w:val="en-GB"/>
        </w:rPr>
        <w:t>fossil fuels.</w:t>
      </w:r>
    </w:p>
    <w:p w14:paraId="3608BF3A" w14:textId="190C39B6" w:rsidR="34AFE5CB" w:rsidRPr="00662906" w:rsidRDefault="291EC9E6" w:rsidP="004C4291">
      <w:pPr>
        <w:pStyle w:val="Bullets"/>
        <w:ind w:left="851" w:hanging="425"/>
        <w:rPr>
          <w:lang w:val="en-GB"/>
        </w:rPr>
      </w:pPr>
      <w:r w:rsidRPr="00662906">
        <w:rPr>
          <w:lang w:val="en-GB"/>
        </w:rPr>
        <w:t xml:space="preserve">Building own </w:t>
      </w:r>
      <w:r w:rsidR="4760344B" w:rsidRPr="00662906">
        <w:rPr>
          <w:lang w:val="en-GB"/>
        </w:rPr>
        <w:t>capacity</w:t>
      </w:r>
      <w:r w:rsidRPr="00662906">
        <w:rPr>
          <w:lang w:val="en-GB"/>
        </w:rPr>
        <w:t xml:space="preserve"> to undertake the energy transition and </w:t>
      </w:r>
      <w:r w:rsidR="3B1CE47B" w:rsidRPr="00662906">
        <w:rPr>
          <w:lang w:val="en-GB"/>
        </w:rPr>
        <w:t>creat</w:t>
      </w:r>
      <w:r w:rsidR="1C0D684A" w:rsidRPr="00662906">
        <w:rPr>
          <w:lang w:val="en-GB"/>
        </w:rPr>
        <w:t>ing</w:t>
      </w:r>
      <w:r w:rsidR="0880F0B9" w:rsidRPr="00662906">
        <w:rPr>
          <w:lang w:val="en-GB"/>
        </w:rPr>
        <w:t xml:space="preserve"> </w:t>
      </w:r>
      <w:r w:rsidRPr="00662906">
        <w:rPr>
          <w:lang w:val="en-GB"/>
        </w:rPr>
        <w:t xml:space="preserve">a </w:t>
      </w:r>
      <w:r w:rsidR="00225B7E" w:rsidRPr="00662906">
        <w:rPr>
          <w:lang w:val="en-GB"/>
        </w:rPr>
        <w:t>conducive policy/ legal/ regulatory/ institutional/ financial enabler</w:t>
      </w:r>
      <w:r w:rsidR="33EF8764" w:rsidRPr="00662906">
        <w:rPr>
          <w:lang w:val="en-GB"/>
        </w:rPr>
        <w:t xml:space="preserve"> that will support achievement of </w:t>
      </w:r>
      <w:r w:rsidR="5E0A3C99" w:rsidRPr="00662906">
        <w:rPr>
          <w:lang w:val="en-GB"/>
        </w:rPr>
        <w:t>Africa</w:t>
      </w:r>
      <w:r w:rsidR="4CB5E7E7" w:rsidRPr="00662906">
        <w:rPr>
          <w:lang w:val="en-GB"/>
        </w:rPr>
        <w:t>’s</w:t>
      </w:r>
      <w:r w:rsidR="33EF8764" w:rsidRPr="00662906">
        <w:rPr>
          <w:lang w:val="en-GB"/>
        </w:rPr>
        <w:t xml:space="preserve"> Energy Transition agenda</w:t>
      </w:r>
      <w:r w:rsidRPr="00662906">
        <w:rPr>
          <w:lang w:val="en-GB"/>
        </w:rPr>
        <w:t>.</w:t>
      </w:r>
    </w:p>
    <w:p w14:paraId="70171FF0" w14:textId="77777777" w:rsidR="009E3448" w:rsidRPr="00662906" w:rsidRDefault="009E3448" w:rsidP="009E3448">
      <w:pPr>
        <w:pStyle w:val="Heading2"/>
      </w:pPr>
      <w:bookmarkStart w:id="83" w:name="_Toc171955504"/>
      <w:bookmarkStart w:id="84" w:name="_Toc176190928"/>
      <w:bookmarkStart w:id="85" w:name="_Toc176191100"/>
      <w:bookmarkStart w:id="86" w:name="_Toc176341821"/>
      <w:bookmarkStart w:id="87" w:name="_Toc176430215"/>
      <w:bookmarkStart w:id="88" w:name="_Toc176430272"/>
      <w:bookmarkStart w:id="89" w:name="_Toc176441405"/>
      <w:bookmarkStart w:id="90" w:name="_Toc176442060"/>
      <w:bookmarkStart w:id="91" w:name="_Toc178937420"/>
      <w:bookmarkStart w:id="92" w:name="_Toc197433805"/>
      <w:r w:rsidRPr="00662906">
        <w:t>Rationale</w:t>
      </w:r>
      <w:bookmarkEnd w:id="83"/>
      <w:bookmarkEnd w:id="84"/>
      <w:bookmarkEnd w:id="85"/>
      <w:bookmarkEnd w:id="86"/>
      <w:bookmarkEnd w:id="87"/>
      <w:bookmarkEnd w:id="88"/>
      <w:bookmarkEnd w:id="89"/>
      <w:bookmarkEnd w:id="90"/>
      <w:bookmarkEnd w:id="91"/>
      <w:bookmarkEnd w:id="92"/>
    </w:p>
    <w:p w14:paraId="2B056584" w14:textId="4729A87B" w:rsidR="0003181D" w:rsidRPr="00662906" w:rsidRDefault="01BABBB4" w:rsidP="2FFE3131">
      <w:pPr>
        <w:rPr>
          <w:rFonts w:eastAsia="Arial" w:cs="Arial"/>
          <w:i/>
          <w:iCs/>
          <w:color w:val="535659"/>
        </w:rPr>
      </w:pPr>
      <w:r w:rsidRPr="00662906">
        <w:rPr>
          <w:rFonts w:eastAsia="Arial" w:cs="Arial"/>
          <w:color w:val="535659"/>
        </w:rPr>
        <w:t xml:space="preserve">Africa faces a paradox of energy poverty </w:t>
      </w:r>
      <w:r w:rsidR="0C1CEEFD" w:rsidRPr="00662906">
        <w:rPr>
          <w:rFonts w:eastAsia="Arial" w:cs="Arial"/>
          <w:color w:val="535659"/>
        </w:rPr>
        <w:t xml:space="preserve">while </w:t>
      </w:r>
      <w:r w:rsidR="00BD041A" w:rsidRPr="00662906">
        <w:rPr>
          <w:rFonts w:eastAsia="Arial" w:cs="Arial"/>
          <w:color w:val="535659"/>
        </w:rPr>
        <w:t>re</w:t>
      </w:r>
      <w:r w:rsidR="0C1CEEFD" w:rsidRPr="00662906">
        <w:rPr>
          <w:rFonts w:eastAsia="Arial" w:cs="Arial"/>
          <w:color w:val="535659"/>
        </w:rPr>
        <w:t>presenting</w:t>
      </w:r>
      <w:r w:rsidRPr="00662906">
        <w:rPr>
          <w:rFonts w:eastAsia="Arial" w:cs="Arial"/>
          <w:color w:val="535659"/>
        </w:rPr>
        <w:t xml:space="preserve"> resource abundance. Despite its immense renewable energy potential and significant fossil fuel reserves, the continent remains the most energy-deprived globally. </w:t>
      </w:r>
      <w:r w:rsidR="54B872C1" w:rsidRPr="00662906">
        <w:rPr>
          <w:rFonts w:eastAsia="Arial" w:cs="Arial"/>
          <w:color w:val="535659"/>
        </w:rPr>
        <w:t xml:space="preserve">The rationale for the ETSAP is grounded in the recognition that achieving Africa’s development aspirations requires a transformative energy transition. Rooted in the principles of </w:t>
      </w:r>
      <w:r w:rsidR="00126928" w:rsidRPr="00662906">
        <w:rPr>
          <w:rFonts w:eastAsia="Arial" w:cs="Arial"/>
          <w:color w:val="535659"/>
        </w:rPr>
        <w:t>the</w:t>
      </w:r>
      <w:r w:rsidR="54B872C1" w:rsidRPr="00662906">
        <w:rPr>
          <w:rFonts w:eastAsia="Arial" w:cs="Arial"/>
          <w:color w:val="535659"/>
        </w:rPr>
        <w:t xml:space="preserve"> </w:t>
      </w:r>
      <w:r w:rsidR="54B872C1" w:rsidRPr="00662906">
        <w:rPr>
          <w:rFonts w:eastAsia="Arial" w:cs="Arial"/>
          <w:b/>
          <w:bCs/>
          <w:color w:val="535659"/>
        </w:rPr>
        <w:t>Theory of Change</w:t>
      </w:r>
      <w:r w:rsidR="002F1ED1" w:rsidRPr="00662906">
        <w:rPr>
          <w:rFonts w:eastAsia="Arial" w:cs="Arial"/>
          <w:b/>
          <w:bCs/>
          <w:color w:val="535659"/>
        </w:rPr>
        <w:t xml:space="preserve"> </w:t>
      </w:r>
      <w:r w:rsidR="009F6BF3" w:rsidRPr="00662906">
        <w:rPr>
          <w:rFonts w:eastAsia="Arial" w:cs="Arial"/>
          <w:b/>
          <w:bCs/>
          <w:color w:val="535659"/>
        </w:rPr>
        <w:t>(</w:t>
      </w:r>
      <w:r w:rsidR="002F1ED1" w:rsidRPr="00662906">
        <w:rPr>
          <w:rFonts w:eastAsia="Arial" w:cs="Arial"/>
          <w:b/>
          <w:bCs/>
          <w:color w:val="535659"/>
        </w:rPr>
        <w:t>ToC)</w:t>
      </w:r>
      <w:r w:rsidR="0028540F" w:rsidRPr="00662906">
        <w:rPr>
          <w:rFonts w:eastAsia="Arial" w:cs="Arial"/>
          <w:b/>
          <w:bCs/>
          <w:color w:val="535659"/>
        </w:rPr>
        <w:t>,</w:t>
      </w:r>
      <w:r w:rsidR="62A1568C" w:rsidRPr="00662906">
        <w:rPr>
          <w:rFonts w:eastAsia="Arial" w:cs="Arial"/>
          <w:b/>
          <w:bCs/>
          <w:color w:val="535659"/>
        </w:rPr>
        <w:t xml:space="preserve"> </w:t>
      </w:r>
      <w:r w:rsidR="54B872C1" w:rsidRPr="00662906">
        <w:rPr>
          <w:rFonts w:eastAsia="Arial" w:cs="Arial"/>
          <w:i/>
          <w:iCs/>
          <w:color w:val="535659"/>
        </w:rPr>
        <w:t xml:space="preserve">ETSAP provides a pathway to move to the continent’s long-term energy vision. By identifying gaps, aligning opportunities, and fostering actionable interventions, the ETSAP </w:t>
      </w:r>
      <w:r w:rsidR="009F3705" w:rsidRPr="00662906">
        <w:rPr>
          <w:rFonts w:eastAsia="Arial" w:cs="Arial"/>
          <w:i/>
          <w:iCs/>
          <w:color w:val="535659"/>
        </w:rPr>
        <w:t xml:space="preserve">supports </w:t>
      </w:r>
      <w:r w:rsidR="54B872C1" w:rsidRPr="00662906">
        <w:rPr>
          <w:rFonts w:eastAsia="Arial" w:cs="Arial"/>
          <w:i/>
          <w:iCs/>
          <w:color w:val="535659"/>
        </w:rPr>
        <w:t>Africa</w:t>
      </w:r>
      <w:r w:rsidR="009F3705" w:rsidRPr="00662906">
        <w:rPr>
          <w:rFonts w:eastAsia="Arial" w:cs="Arial"/>
          <w:i/>
          <w:iCs/>
          <w:color w:val="535659"/>
        </w:rPr>
        <w:t>’s</w:t>
      </w:r>
      <w:r w:rsidR="54B872C1" w:rsidRPr="00662906">
        <w:rPr>
          <w:rFonts w:eastAsia="Arial" w:cs="Arial"/>
          <w:i/>
          <w:iCs/>
          <w:color w:val="535659"/>
        </w:rPr>
        <w:t xml:space="preserve"> </w:t>
      </w:r>
      <w:r w:rsidR="009F3705" w:rsidRPr="00662906">
        <w:rPr>
          <w:rFonts w:eastAsia="Arial" w:cs="Arial"/>
          <w:i/>
          <w:iCs/>
          <w:color w:val="535659"/>
        </w:rPr>
        <w:t xml:space="preserve">goal to </w:t>
      </w:r>
      <w:r w:rsidR="54B872C1" w:rsidRPr="00662906">
        <w:rPr>
          <w:rFonts w:eastAsia="Arial" w:cs="Arial"/>
          <w:i/>
          <w:iCs/>
          <w:color w:val="535659"/>
        </w:rPr>
        <w:t>achieve a sustainable, just, and inclusive energy system.</w:t>
      </w:r>
    </w:p>
    <w:p w14:paraId="091453B2" w14:textId="77777777" w:rsidR="0003181D" w:rsidRPr="00662906" w:rsidRDefault="0003181D" w:rsidP="004C08B8">
      <w:pPr>
        <w:rPr>
          <w:rFonts w:eastAsia="Arial" w:cs="Arial"/>
          <w:color w:val="535659"/>
        </w:rPr>
      </w:pPr>
      <w:r w:rsidRPr="00662906">
        <w:rPr>
          <w:rFonts w:eastAsia="Arial" w:cs="Arial"/>
          <w:color w:val="535659"/>
        </w:rPr>
        <w:t>The rationale builds on three critical questions:</w:t>
      </w:r>
    </w:p>
    <w:p w14:paraId="6BDB85DD" w14:textId="6B02EDE4" w:rsidR="0003181D" w:rsidRPr="00662906" w:rsidRDefault="54B872C1" w:rsidP="005C5546">
      <w:pPr>
        <w:numPr>
          <w:ilvl w:val="0"/>
          <w:numId w:val="20"/>
        </w:numPr>
        <w:rPr>
          <w:rFonts w:eastAsia="Arial" w:cs="Arial"/>
          <w:color w:val="535659"/>
        </w:rPr>
      </w:pPr>
      <w:r w:rsidRPr="00662906">
        <w:rPr>
          <w:rFonts w:eastAsia="Arial" w:cs="Arial"/>
          <w:b/>
          <w:bCs/>
          <w:color w:val="535659"/>
        </w:rPr>
        <w:t xml:space="preserve">What is the </w:t>
      </w:r>
      <w:r w:rsidR="00EC4AB3" w:rsidRPr="00662906">
        <w:rPr>
          <w:rFonts w:eastAsia="Arial" w:cs="Arial"/>
          <w:b/>
          <w:bCs/>
          <w:color w:val="535659"/>
        </w:rPr>
        <w:t>problem?</w:t>
      </w:r>
      <w:r w:rsidR="0025270A" w:rsidRPr="00662906">
        <w:rPr>
          <w:rFonts w:eastAsia="Arial" w:cs="Arial"/>
          <w:b/>
          <w:bCs/>
          <w:color w:val="535659"/>
        </w:rPr>
        <w:t xml:space="preserve"> </w:t>
      </w:r>
      <w:r w:rsidRPr="00662906">
        <w:rPr>
          <w:rFonts w:eastAsia="Arial" w:cs="Arial"/>
          <w:color w:val="535659"/>
        </w:rPr>
        <w:t xml:space="preserve">Current gaps in energy access, </w:t>
      </w:r>
      <w:r w:rsidR="5845A569" w:rsidRPr="00662906">
        <w:rPr>
          <w:rFonts w:eastAsia="Arial" w:cs="Arial"/>
          <w:color w:val="535659"/>
        </w:rPr>
        <w:t xml:space="preserve">energy security, </w:t>
      </w:r>
      <w:r w:rsidRPr="00662906">
        <w:rPr>
          <w:rFonts w:eastAsia="Arial" w:cs="Arial"/>
          <w:color w:val="535659"/>
        </w:rPr>
        <w:t>resilience, and sustainability</w:t>
      </w:r>
      <w:r w:rsidR="64D13ECB" w:rsidRPr="00662906">
        <w:rPr>
          <w:rFonts w:eastAsia="Arial" w:cs="Arial"/>
          <w:color w:val="535659"/>
        </w:rPr>
        <w:t>.</w:t>
      </w:r>
    </w:p>
    <w:p w14:paraId="5FAB63F2" w14:textId="7AAFD17B" w:rsidR="0003181D" w:rsidRPr="00662906" w:rsidRDefault="54B872C1" w:rsidP="005C5546">
      <w:pPr>
        <w:numPr>
          <w:ilvl w:val="0"/>
          <w:numId w:val="20"/>
        </w:numPr>
        <w:rPr>
          <w:rFonts w:eastAsia="Arial" w:cs="Arial"/>
          <w:color w:val="535659"/>
        </w:rPr>
      </w:pPr>
      <w:r w:rsidRPr="00662906">
        <w:rPr>
          <w:rFonts w:eastAsia="Arial" w:cs="Arial"/>
          <w:b/>
          <w:bCs/>
          <w:color w:val="535659"/>
        </w:rPr>
        <w:t xml:space="preserve">Why does it </w:t>
      </w:r>
      <w:r w:rsidR="00EC4AB3" w:rsidRPr="00662906">
        <w:rPr>
          <w:rFonts w:eastAsia="Arial" w:cs="Arial"/>
          <w:b/>
          <w:bCs/>
          <w:color w:val="535659"/>
        </w:rPr>
        <w:t>matter?</w:t>
      </w:r>
      <w:r w:rsidR="0025270A" w:rsidRPr="00662906">
        <w:rPr>
          <w:rFonts w:eastAsia="Arial" w:cs="Arial"/>
          <w:b/>
          <w:bCs/>
          <w:color w:val="535659"/>
        </w:rPr>
        <w:t xml:space="preserve"> </w:t>
      </w:r>
      <w:r w:rsidRPr="00662906">
        <w:rPr>
          <w:rFonts w:eastAsia="Arial" w:cs="Arial"/>
          <w:color w:val="535659"/>
        </w:rPr>
        <w:t>The role of energy in Africa’s socio-economic and environmental future</w:t>
      </w:r>
      <w:r w:rsidR="5D91CE9F" w:rsidRPr="00662906">
        <w:rPr>
          <w:rFonts w:eastAsia="Arial" w:cs="Arial"/>
          <w:color w:val="535659"/>
        </w:rPr>
        <w:t>.</w:t>
      </w:r>
    </w:p>
    <w:p w14:paraId="4D263413" w14:textId="1711DC71" w:rsidR="0003181D" w:rsidRPr="00662906" w:rsidRDefault="54B872C1" w:rsidP="005C5546">
      <w:pPr>
        <w:numPr>
          <w:ilvl w:val="0"/>
          <w:numId w:val="20"/>
        </w:numPr>
        <w:rPr>
          <w:rFonts w:eastAsia="Arial" w:cs="Arial"/>
          <w:color w:val="535659"/>
        </w:rPr>
      </w:pPr>
      <w:r w:rsidRPr="00662906">
        <w:rPr>
          <w:rFonts w:eastAsia="Arial" w:cs="Arial"/>
          <w:b/>
          <w:bCs/>
          <w:color w:val="535659"/>
        </w:rPr>
        <w:t xml:space="preserve">How </w:t>
      </w:r>
      <w:r w:rsidR="009F3705" w:rsidRPr="00662906">
        <w:rPr>
          <w:rFonts w:eastAsia="Arial" w:cs="Arial"/>
          <w:b/>
          <w:bCs/>
          <w:color w:val="535659"/>
        </w:rPr>
        <w:t>does the ESTAP</w:t>
      </w:r>
      <w:r w:rsidRPr="00662906">
        <w:rPr>
          <w:rFonts w:eastAsia="Arial" w:cs="Arial"/>
          <w:b/>
          <w:bCs/>
          <w:color w:val="535659"/>
        </w:rPr>
        <w:t xml:space="preserve"> address </w:t>
      </w:r>
      <w:r w:rsidR="00EC4AB3" w:rsidRPr="00662906">
        <w:rPr>
          <w:rFonts w:eastAsia="Arial" w:cs="Arial"/>
          <w:b/>
          <w:bCs/>
          <w:color w:val="535659"/>
        </w:rPr>
        <w:t>it?</w:t>
      </w:r>
      <w:r w:rsidR="00126928" w:rsidRPr="00662906">
        <w:rPr>
          <w:rFonts w:eastAsia="Arial" w:cs="Arial"/>
          <w:color w:val="535659"/>
        </w:rPr>
        <w:t xml:space="preserve"> </w:t>
      </w:r>
      <w:r w:rsidRPr="00662906">
        <w:rPr>
          <w:rFonts w:eastAsia="Arial" w:cs="Arial"/>
          <w:color w:val="535659"/>
        </w:rPr>
        <w:t>ETSAP as the bridge to a sustainable energy system</w:t>
      </w:r>
      <w:r w:rsidR="044A2402" w:rsidRPr="00662906">
        <w:rPr>
          <w:rFonts w:eastAsia="Arial" w:cs="Arial"/>
          <w:color w:val="535659"/>
        </w:rPr>
        <w:t>.</w:t>
      </w:r>
    </w:p>
    <w:p w14:paraId="56053BB5" w14:textId="717A45E8" w:rsidR="0003181D" w:rsidRPr="00662906" w:rsidRDefault="0003181D" w:rsidP="004C08B8">
      <w:pPr>
        <w:pStyle w:val="Heading3"/>
      </w:pPr>
      <w:bookmarkStart w:id="93" w:name="_Toc197433806"/>
      <w:r w:rsidRPr="00662906">
        <w:t>What is the Problem? Addressing Africa’s Energy and Climate Gaps</w:t>
      </w:r>
      <w:bookmarkEnd w:id="93"/>
    </w:p>
    <w:p w14:paraId="21D06021" w14:textId="77777777" w:rsidR="0003181D" w:rsidRPr="00662906" w:rsidRDefault="0003181D" w:rsidP="004C08B8">
      <w:pPr>
        <w:rPr>
          <w:rFonts w:eastAsia="Arial" w:cs="Arial"/>
          <w:color w:val="535659"/>
        </w:rPr>
      </w:pPr>
      <w:r w:rsidRPr="00662906">
        <w:rPr>
          <w:rFonts w:eastAsia="Arial" w:cs="Arial"/>
          <w:color w:val="535659"/>
        </w:rPr>
        <w:t>Despite its resource wealth, Africa faces multiple systemic challenges:</w:t>
      </w:r>
    </w:p>
    <w:p w14:paraId="52048F81" w14:textId="4BB4EA36" w:rsidR="0003181D" w:rsidRPr="00662906" w:rsidRDefault="0003181D" w:rsidP="005C5546">
      <w:pPr>
        <w:numPr>
          <w:ilvl w:val="0"/>
          <w:numId w:val="21"/>
        </w:numPr>
        <w:rPr>
          <w:rFonts w:eastAsia="Arial" w:cs="Arial"/>
          <w:color w:val="535659"/>
        </w:rPr>
      </w:pPr>
      <w:r w:rsidRPr="00662906">
        <w:rPr>
          <w:rFonts w:eastAsia="Arial" w:cs="Arial"/>
          <w:b/>
          <w:bCs/>
          <w:color w:val="535659"/>
        </w:rPr>
        <w:t>Energy poverty and inequity</w:t>
      </w:r>
      <w:r w:rsidRPr="00662906">
        <w:rPr>
          <w:rFonts w:eastAsia="Arial" w:cs="Arial"/>
          <w:color w:val="535659"/>
        </w:rPr>
        <w:t xml:space="preserve">: </w:t>
      </w:r>
      <w:r w:rsidR="009F3705" w:rsidRPr="00662906">
        <w:rPr>
          <w:rFonts w:eastAsia="Arial" w:cs="Arial"/>
          <w:color w:val="535659"/>
        </w:rPr>
        <w:t xml:space="preserve">About </w:t>
      </w:r>
      <w:r w:rsidRPr="00662906">
        <w:rPr>
          <w:rFonts w:eastAsia="Arial" w:cs="Arial"/>
          <w:b/>
          <w:bCs/>
          <w:color w:val="535659"/>
        </w:rPr>
        <w:t>600 million people</w:t>
      </w:r>
      <w:r w:rsidRPr="00662906">
        <w:rPr>
          <w:rFonts w:eastAsia="Arial" w:cs="Arial"/>
          <w:color w:val="535659"/>
        </w:rPr>
        <w:t xml:space="preserve"> remain without access to electricity</w:t>
      </w:r>
      <w:r w:rsidR="00F0603A" w:rsidRPr="00662906">
        <w:rPr>
          <w:rStyle w:val="FootnoteReference"/>
          <w:rFonts w:eastAsia="Arial" w:cs="Arial"/>
          <w:color w:val="535659"/>
        </w:rPr>
        <w:footnoteReference w:id="10"/>
      </w:r>
      <w:r w:rsidRPr="00662906">
        <w:rPr>
          <w:rFonts w:eastAsia="Arial" w:cs="Arial"/>
          <w:color w:val="535659"/>
        </w:rPr>
        <w:t xml:space="preserve">, and </w:t>
      </w:r>
      <w:r w:rsidR="009F3705" w:rsidRPr="00662906">
        <w:rPr>
          <w:rFonts w:eastAsia="Arial" w:cs="Arial"/>
          <w:color w:val="535659"/>
        </w:rPr>
        <w:t>about</w:t>
      </w:r>
      <w:r w:rsidR="00DF34CC" w:rsidRPr="00662906">
        <w:rPr>
          <w:rFonts w:eastAsia="Arial" w:cs="Arial"/>
          <w:color w:val="535659"/>
        </w:rPr>
        <w:t xml:space="preserve"> </w:t>
      </w:r>
      <w:r w:rsidRPr="00662906">
        <w:rPr>
          <w:rFonts w:eastAsia="Arial" w:cs="Arial"/>
          <w:b/>
          <w:bCs/>
          <w:color w:val="535659"/>
        </w:rPr>
        <w:t>1 billion</w:t>
      </w:r>
      <w:r w:rsidRPr="00662906">
        <w:rPr>
          <w:rFonts w:eastAsia="Arial" w:cs="Arial"/>
          <w:color w:val="535659"/>
        </w:rPr>
        <w:t xml:space="preserve"> lack clean cooking solutions</w:t>
      </w:r>
      <w:r w:rsidR="0044500B" w:rsidRPr="00662906">
        <w:rPr>
          <w:rStyle w:val="FootnoteReference"/>
          <w:rFonts w:eastAsia="Arial" w:cs="Arial"/>
          <w:color w:val="535659"/>
        </w:rPr>
        <w:footnoteReference w:id="11"/>
      </w:r>
      <w:r w:rsidRPr="00662906">
        <w:rPr>
          <w:rFonts w:eastAsia="Arial" w:cs="Arial"/>
          <w:color w:val="535659"/>
        </w:rPr>
        <w:t>. Rural and peri-urban communities are disproportionately affected, limiting their opportunities for economic and social advancement.</w:t>
      </w:r>
    </w:p>
    <w:p w14:paraId="14022693" w14:textId="3EE885B5" w:rsidR="0003181D" w:rsidRPr="00662906" w:rsidRDefault="0003181D" w:rsidP="005C5546">
      <w:pPr>
        <w:numPr>
          <w:ilvl w:val="0"/>
          <w:numId w:val="21"/>
        </w:numPr>
        <w:rPr>
          <w:rFonts w:eastAsia="Arial" w:cs="Arial"/>
          <w:color w:val="535659"/>
        </w:rPr>
      </w:pPr>
      <w:r w:rsidRPr="00662906">
        <w:rPr>
          <w:rFonts w:eastAsia="Arial" w:cs="Arial"/>
          <w:b/>
          <w:bCs/>
          <w:color w:val="535659"/>
        </w:rPr>
        <w:t>Climate vulnerability</w:t>
      </w:r>
      <w:r w:rsidRPr="00662906">
        <w:rPr>
          <w:rFonts w:eastAsia="Arial" w:cs="Arial"/>
          <w:color w:val="535659"/>
        </w:rPr>
        <w:t xml:space="preserve">: </w:t>
      </w:r>
      <w:r w:rsidR="009F3705" w:rsidRPr="00662906">
        <w:rPr>
          <w:rFonts w:eastAsia="Arial" w:cs="Arial"/>
          <w:color w:val="535659"/>
        </w:rPr>
        <w:t>Despite contributing less than</w:t>
      </w:r>
      <w:r w:rsidRPr="00662906">
        <w:rPr>
          <w:rFonts w:eastAsia="Arial" w:cs="Arial"/>
          <w:color w:val="535659"/>
        </w:rPr>
        <w:t xml:space="preserve"> </w:t>
      </w:r>
      <w:r w:rsidRPr="00662906">
        <w:rPr>
          <w:rFonts w:eastAsia="Arial" w:cs="Arial"/>
          <w:b/>
          <w:bCs/>
          <w:color w:val="535659"/>
        </w:rPr>
        <w:t>4% of global emissions</w:t>
      </w:r>
      <w:r w:rsidR="00825CEC" w:rsidRPr="00662906">
        <w:rPr>
          <w:rStyle w:val="FootnoteReference"/>
          <w:rFonts w:eastAsia="Arial" w:cs="Arial"/>
          <w:b/>
          <w:bCs/>
          <w:color w:val="535659"/>
        </w:rPr>
        <w:footnoteReference w:id="12"/>
      </w:r>
      <w:r w:rsidR="009F3705" w:rsidRPr="00662906">
        <w:rPr>
          <w:rFonts w:eastAsia="Arial" w:cs="Arial"/>
          <w:color w:val="535659"/>
        </w:rPr>
        <w:t xml:space="preserve"> Africa is </w:t>
      </w:r>
      <w:r w:rsidRPr="00662906">
        <w:rPr>
          <w:rFonts w:eastAsia="Arial" w:cs="Arial"/>
          <w:color w:val="535659"/>
        </w:rPr>
        <w:t>among the regions most affected by climate change. Extreme weather events, rising temperatures, and resource degradation threaten agriculture, water security, and livelihoods.</w:t>
      </w:r>
    </w:p>
    <w:p w14:paraId="478FCA18" w14:textId="7E76CCAE" w:rsidR="0003181D" w:rsidRPr="00662906" w:rsidRDefault="54B872C1" w:rsidP="005C5546">
      <w:pPr>
        <w:numPr>
          <w:ilvl w:val="0"/>
          <w:numId w:val="21"/>
        </w:numPr>
        <w:rPr>
          <w:rFonts w:eastAsia="Arial" w:cs="Arial"/>
          <w:color w:val="535659"/>
        </w:rPr>
      </w:pPr>
      <w:r w:rsidRPr="00662906">
        <w:rPr>
          <w:rFonts w:eastAsia="Arial" w:cs="Arial"/>
          <w:b/>
          <w:bCs/>
          <w:color w:val="535659"/>
        </w:rPr>
        <w:t>Fossil fuel dependency</w:t>
      </w:r>
      <w:r w:rsidRPr="00662906">
        <w:rPr>
          <w:rFonts w:eastAsia="Arial" w:cs="Arial"/>
          <w:color w:val="535659"/>
        </w:rPr>
        <w:t>: While fossil fuels continue to play a role, reliance on carbon-intensive energy systems undermines Africa’s ability to align with global decarbonization goals</w:t>
      </w:r>
      <w:r w:rsidR="235CDA29" w:rsidRPr="00662906">
        <w:rPr>
          <w:rFonts w:eastAsia="Arial" w:cs="Arial"/>
          <w:color w:val="535659"/>
        </w:rPr>
        <w:t xml:space="preserve"> and related resource flows</w:t>
      </w:r>
      <w:r w:rsidRPr="00662906">
        <w:rPr>
          <w:rFonts w:eastAsia="Arial" w:cs="Arial"/>
          <w:color w:val="535659"/>
        </w:rPr>
        <w:t>.</w:t>
      </w:r>
    </w:p>
    <w:p w14:paraId="7248E14B" w14:textId="252D0B6F" w:rsidR="0003181D" w:rsidRPr="00662906" w:rsidRDefault="0003181D" w:rsidP="00F53B37">
      <w:pPr>
        <w:pStyle w:val="Heading3"/>
      </w:pPr>
      <w:bookmarkStart w:id="94" w:name="_Toc197433807"/>
      <w:r w:rsidRPr="00662906">
        <w:t>Why Does It Matter? Energy as the Engine of Transformation</w:t>
      </w:r>
      <w:bookmarkEnd w:id="94"/>
    </w:p>
    <w:p w14:paraId="70F7EDA2" w14:textId="77777777" w:rsidR="0003181D" w:rsidRPr="00662906" w:rsidRDefault="0003181D" w:rsidP="00F53B37">
      <w:pPr>
        <w:rPr>
          <w:rFonts w:eastAsia="Arial" w:cs="Arial"/>
          <w:color w:val="535659"/>
        </w:rPr>
      </w:pPr>
      <w:r w:rsidRPr="00662906">
        <w:rPr>
          <w:rFonts w:eastAsia="Arial" w:cs="Arial"/>
          <w:color w:val="535659"/>
        </w:rPr>
        <w:t>Energy access and sustainability are fundamental to Africa’s ability to meet its development goals.</w:t>
      </w:r>
    </w:p>
    <w:p w14:paraId="72645590" w14:textId="7689E85D" w:rsidR="0003181D" w:rsidRPr="00662906" w:rsidRDefault="54B872C1" w:rsidP="005C5546">
      <w:pPr>
        <w:numPr>
          <w:ilvl w:val="0"/>
          <w:numId w:val="22"/>
        </w:numPr>
        <w:rPr>
          <w:rFonts w:eastAsia="Arial" w:cs="Arial"/>
          <w:color w:val="535659"/>
        </w:rPr>
      </w:pPr>
      <w:r w:rsidRPr="00662906">
        <w:rPr>
          <w:rFonts w:eastAsia="Arial" w:cs="Arial"/>
          <w:b/>
          <w:bCs/>
          <w:color w:val="535659"/>
        </w:rPr>
        <w:lastRenderedPageBreak/>
        <w:t>Achieving universal energy access</w:t>
      </w:r>
      <w:r w:rsidRPr="00662906">
        <w:rPr>
          <w:rFonts w:eastAsia="Arial" w:cs="Arial"/>
          <w:color w:val="535659"/>
        </w:rPr>
        <w:t>: Modern energy services are essential for achieving the</w:t>
      </w:r>
      <w:r w:rsidR="00DF34CC" w:rsidRPr="00662906">
        <w:rPr>
          <w:rFonts w:eastAsia="Arial" w:cs="Arial"/>
          <w:color w:val="535659"/>
        </w:rPr>
        <w:t xml:space="preserve"> </w:t>
      </w:r>
      <w:r w:rsidR="009F3705" w:rsidRPr="00662906">
        <w:rPr>
          <w:rFonts w:eastAsia="Arial" w:cs="Arial"/>
          <w:color w:val="535659"/>
        </w:rPr>
        <w:t>SDGs</w:t>
      </w:r>
      <w:r w:rsidRPr="00662906">
        <w:rPr>
          <w:rFonts w:eastAsia="Arial" w:cs="Arial"/>
          <w:color w:val="535659"/>
        </w:rPr>
        <w:t>, improving education, health, and</w:t>
      </w:r>
      <w:r w:rsidR="00C70C63" w:rsidRPr="00662906">
        <w:rPr>
          <w:rFonts w:eastAsia="Arial" w:cs="Arial"/>
          <w:color w:val="535659"/>
        </w:rPr>
        <w:t xml:space="preserve"> energy</w:t>
      </w:r>
      <w:r w:rsidRPr="00662906">
        <w:rPr>
          <w:rFonts w:eastAsia="Arial" w:cs="Arial"/>
          <w:color w:val="535659"/>
        </w:rPr>
        <w:t xml:space="preserve"> productivity.</w:t>
      </w:r>
    </w:p>
    <w:p w14:paraId="0E335CF1" w14:textId="77777777" w:rsidR="0003181D" w:rsidRPr="00662906" w:rsidRDefault="0003181D" w:rsidP="005C5546">
      <w:pPr>
        <w:numPr>
          <w:ilvl w:val="0"/>
          <w:numId w:val="22"/>
        </w:numPr>
        <w:rPr>
          <w:rFonts w:eastAsia="Arial" w:cs="Arial"/>
          <w:color w:val="535659"/>
        </w:rPr>
      </w:pPr>
      <w:r w:rsidRPr="00662906">
        <w:rPr>
          <w:rFonts w:eastAsia="Arial" w:cs="Arial"/>
          <w:b/>
          <w:bCs/>
          <w:color w:val="535659"/>
        </w:rPr>
        <w:t>Driving industrialization and job creation</w:t>
      </w:r>
      <w:r w:rsidRPr="00662906">
        <w:rPr>
          <w:rFonts w:eastAsia="Arial" w:cs="Arial"/>
          <w:color w:val="535659"/>
        </w:rPr>
        <w:t>: Energy is the backbone of industrial growth. Scaling up clean energy systems will empower sectors such as manufacturing, agriculture, and transportation.</w:t>
      </w:r>
    </w:p>
    <w:p w14:paraId="6381451E" w14:textId="12A90C16" w:rsidR="0003181D" w:rsidRPr="00662906" w:rsidRDefault="0003181D" w:rsidP="005C5546">
      <w:pPr>
        <w:numPr>
          <w:ilvl w:val="0"/>
          <w:numId w:val="22"/>
        </w:numPr>
        <w:rPr>
          <w:rFonts w:eastAsia="Arial" w:cs="Arial"/>
          <w:color w:val="535659"/>
        </w:rPr>
      </w:pPr>
      <w:r w:rsidRPr="00662906">
        <w:rPr>
          <w:rFonts w:eastAsia="Arial" w:cs="Arial"/>
          <w:b/>
          <w:bCs/>
          <w:color w:val="535659"/>
        </w:rPr>
        <w:t>Reducing climate vulnerability</w:t>
      </w:r>
      <w:r w:rsidRPr="00662906">
        <w:rPr>
          <w:rFonts w:eastAsia="Arial" w:cs="Arial"/>
          <w:color w:val="535659"/>
        </w:rPr>
        <w:t xml:space="preserve">: Transitioning to sustainable energy systems enhances Africa’s resilience while reducing deforestation and health risks from </w:t>
      </w:r>
      <w:r w:rsidR="006A04B8" w:rsidRPr="00662906">
        <w:rPr>
          <w:rFonts w:eastAsia="Arial" w:cs="Arial"/>
          <w:color w:val="535659"/>
        </w:rPr>
        <w:t xml:space="preserve">traditional </w:t>
      </w:r>
      <w:r w:rsidRPr="00662906">
        <w:rPr>
          <w:rFonts w:eastAsia="Arial" w:cs="Arial"/>
          <w:color w:val="535659"/>
        </w:rPr>
        <w:t>biomass use.</w:t>
      </w:r>
    </w:p>
    <w:p w14:paraId="11494E91" w14:textId="0B3BF1D7" w:rsidR="0003181D" w:rsidRPr="00662906" w:rsidRDefault="0003181D" w:rsidP="005C5546">
      <w:pPr>
        <w:numPr>
          <w:ilvl w:val="0"/>
          <w:numId w:val="22"/>
        </w:numPr>
        <w:rPr>
          <w:rFonts w:eastAsia="Arial" w:cs="Arial"/>
          <w:color w:val="535659"/>
        </w:rPr>
      </w:pPr>
      <w:r w:rsidRPr="00662906">
        <w:rPr>
          <w:rFonts w:eastAsia="Arial" w:cs="Arial"/>
          <w:b/>
          <w:bCs/>
          <w:color w:val="535659"/>
        </w:rPr>
        <w:t>Leveraging Africa’s resources</w:t>
      </w:r>
      <w:r w:rsidRPr="00662906">
        <w:rPr>
          <w:rFonts w:eastAsia="Arial" w:cs="Arial"/>
          <w:color w:val="535659"/>
        </w:rPr>
        <w:t>: Africa’s renewable energy potential and critical minerals offer a unique opportunity to drive global energy transformation while boosting local economies.</w:t>
      </w:r>
    </w:p>
    <w:p w14:paraId="4457BAB6" w14:textId="2B4F0A51" w:rsidR="0003181D" w:rsidRPr="00662906" w:rsidRDefault="0003181D" w:rsidP="00452322">
      <w:pPr>
        <w:pStyle w:val="Heading3"/>
      </w:pPr>
      <w:bookmarkStart w:id="95" w:name="_Toc197433808"/>
      <w:r w:rsidRPr="00662906">
        <w:t>How Will We Address It? The Role of ETSAP</w:t>
      </w:r>
      <w:bookmarkEnd w:id="95"/>
    </w:p>
    <w:p w14:paraId="74A2AE22" w14:textId="7899F872" w:rsidR="0003181D" w:rsidRPr="00662906" w:rsidRDefault="0003181D" w:rsidP="00452322">
      <w:pPr>
        <w:rPr>
          <w:rFonts w:eastAsia="Arial" w:cs="Arial"/>
          <w:color w:val="535659"/>
        </w:rPr>
      </w:pPr>
      <w:r w:rsidRPr="00662906">
        <w:rPr>
          <w:rFonts w:eastAsia="Arial" w:cs="Arial"/>
          <w:color w:val="535659"/>
        </w:rPr>
        <w:t xml:space="preserve">The ETSAP provides a strategic roadmap for addressing these challenges and achieving transformative outcomes. By fostering regional collaboration, institutional capacity-building, and financing mechanisms, the ETSAP operationalizes Africa’s energy transition </w:t>
      </w:r>
      <w:r w:rsidR="00AC259E" w:rsidRPr="00662906">
        <w:rPr>
          <w:rFonts w:eastAsia="Arial" w:cs="Arial"/>
          <w:color w:val="535659"/>
        </w:rPr>
        <w:t>pursuits</w:t>
      </w:r>
      <w:r w:rsidRPr="00662906">
        <w:rPr>
          <w:rFonts w:eastAsia="Arial" w:cs="Arial"/>
          <w:color w:val="535659"/>
        </w:rPr>
        <w:t>.</w:t>
      </w:r>
      <w:r w:rsidR="009B28D0" w:rsidRPr="00662906">
        <w:rPr>
          <w:rFonts w:eastAsia="Arial" w:cs="Arial"/>
          <w:color w:val="535659"/>
        </w:rPr>
        <w:t xml:space="preserve"> These are supported by:</w:t>
      </w:r>
    </w:p>
    <w:p w14:paraId="1DB80EE4" w14:textId="59CB833E" w:rsidR="0003181D" w:rsidRPr="00662906" w:rsidRDefault="0003181D" w:rsidP="005C5546">
      <w:pPr>
        <w:numPr>
          <w:ilvl w:val="0"/>
          <w:numId w:val="23"/>
        </w:numPr>
        <w:rPr>
          <w:rFonts w:eastAsia="Arial" w:cs="Arial"/>
          <w:color w:val="535659"/>
        </w:rPr>
      </w:pPr>
      <w:r w:rsidRPr="00662906">
        <w:rPr>
          <w:rFonts w:eastAsia="Arial" w:cs="Arial"/>
          <w:color w:val="535659"/>
        </w:rPr>
        <w:t xml:space="preserve">Existing continental frameworks like the </w:t>
      </w:r>
      <w:r w:rsidR="00A74DEA" w:rsidRPr="00662906">
        <w:rPr>
          <w:rFonts w:eastAsia="Arial" w:cs="Arial"/>
          <w:b/>
          <w:bCs/>
          <w:color w:val="535659"/>
        </w:rPr>
        <w:t xml:space="preserve">AfSEM, </w:t>
      </w:r>
      <w:r w:rsidRPr="00662906">
        <w:rPr>
          <w:rFonts w:eastAsia="Arial" w:cs="Arial"/>
          <w:b/>
          <w:bCs/>
          <w:color w:val="535659"/>
        </w:rPr>
        <w:t>CMP</w:t>
      </w:r>
      <w:r w:rsidRPr="00662906">
        <w:rPr>
          <w:rFonts w:eastAsia="Arial" w:cs="Arial"/>
          <w:color w:val="535659"/>
        </w:rPr>
        <w:t xml:space="preserve"> and </w:t>
      </w:r>
      <w:r w:rsidRPr="00662906">
        <w:rPr>
          <w:rFonts w:eastAsia="Arial" w:cs="Arial"/>
          <w:b/>
          <w:bCs/>
          <w:color w:val="535659"/>
        </w:rPr>
        <w:t>AfEES</w:t>
      </w:r>
      <w:r w:rsidRPr="00662906">
        <w:rPr>
          <w:rFonts w:eastAsia="Arial" w:cs="Arial"/>
          <w:color w:val="535659"/>
        </w:rPr>
        <w:t>.</w:t>
      </w:r>
    </w:p>
    <w:p w14:paraId="392002EA" w14:textId="77777777" w:rsidR="0003181D" w:rsidRPr="00662906" w:rsidRDefault="0003181D" w:rsidP="005C5546">
      <w:pPr>
        <w:numPr>
          <w:ilvl w:val="0"/>
          <w:numId w:val="23"/>
        </w:numPr>
        <w:rPr>
          <w:rFonts w:eastAsia="Arial" w:cs="Arial"/>
          <w:color w:val="535659"/>
        </w:rPr>
      </w:pPr>
      <w:r w:rsidRPr="00662906">
        <w:rPr>
          <w:rFonts w:eastAsia="Arial" w:cs="Arial"/>
          <w:color w:val="535659"/>
        </w:rPr>
        <w:t>Strategic interventions to improve energy access, efficiency, and sustainability across key sectors (electricity, transport, buildings, industry, agriculture, and clean cooking).</w:t>
      </w:r>
    </w:p>
    <w:p w14:paraId="131D9CCC" w14:textId="2A4800E9" w:rsidR="0003181D" w:rsidRPr="00662906" w:rsidRDefault="0003181D" w:rsidP="005C5546">
      <w:pPr>
        <w:numPr>
          <w:ilvl w:val="0"/>
          <w:numId w:val="23"/>
        </w:numPr>
        <w:rPr>
          <w:rFonts w:eastAsia="Arial" w:cs="Arial"/>
          <w:color w:val="535659"/>
        </w:rPr>
      </w:pPr>
      <w:r w:rsidRPr="00662906">
        <w:rPr>
          <w:rFonts w:eastAsia="Arial" w:cs="Arial"/>
          <w:color w:val="535659"/>
        </w:rPr>
        <w:t>A focus on inclusivity, ensuring that women, youth, and vulnerable communities benefit from the transition.</w:t>
      </w:r>
    </w:p>
    <w:p w14:paraId="156CD8F1" w14:textId="32307234" w:rsidR="009E3448" w:rsidRPr="00662906" w:rsidRDefault="54B872C1" w:rsidP="00504943">
      <w:pPr>
        <w:rPr>
          <w:rFonts w:eastAsia="Arial" w:cs="Arial"/>
          <w:color w:val="535659"/>
        </w:rPr>
      </w:pPr>
      <w:r w:rsidRPr="00662906">
        <w:rPr>
          <w:rFonts w:eastAsia="Arial" w:cs="Arial"/>
          <w:color w:val="535659"/>
        </w:rPr>
        <w:t xml:space="preserve">The ETSAP rationale is </w:t>
      </w:r>
      <w:r w:rsidR="74EB3812" w:rsidRPr="00662906">
        <w:rPr>
          <w:rFonts w:eastAsia="Arial" w:cs="Arial"/>
          <w:color w:val="535659"/>
        </w:rPr>
        <w:t>that</w:t>
      </w:r>
      <w:r w:rsidRPr="00662906">
        <w:rPr>
          <w:rFonts w:eastAsia="Arial" w:cs="Arial"/>
          <w:color w:val="535659"/>
        </w:rPr>
        <w:t xml:space="preserve"> </w:t>
      </w:r>
      <w:r w:rsidRPr="00662906">
        <w:rPr>
          <w:rFonts w:eastAsia="Arial" w:cs="Arial"/>
          <w:b/>
          <w:bCs/>
          <w:color w:val="535659"/>
        </w:rPr>
        <w:t>Africa’s energy transition</w:t>
      </w:r>
      <w:r w:rsidRPr="00662906">
        <w:rPr>
          <w:rFonts w:eastAsia="Arial" w:cs="Arial"/>
          <w:color w:val="535659"/>
        </w:rPr>
        <w:t xml:space="preserve"> is both an </w:t>
      </w:r>
      <w:r w:rsidRPr="00662906">
        <w:rPr>
          <w:rFonts w:eastAsia="Arial" w:cs="Arial"/>
          <w:b/>
          <w:bCs/>
          <w:color w:val="535659"/>
        </w:rPr>
        <w:t>imperative</w:t>
      </w:r>
      <w:r w:rsidRPr="00662906">
        <w:rPr>
          <w:rFonts w:eastAsia="Arial" w:cs="Arial"/>
          <w:color w:val="535659"/>
        </w:rPr>
        <w:t xml:space="preserve"> and an </w:t>
      </w:r>
      <w:r w:rsidRPr="00662906">
        <w:rPr>
          <w:rFonts w:eastAsia="Arial" w:cs="Arial"/>
          <w:b/>
          <w:bCs/>
          <w:color w:val="535659"/>
        </w:rPr>
        <w:t>opportunity</w:t>
      </w:r>
      <w:r w:rsidRPr="00662906">
        <w:rPr>
          <w:rFonts w:eastAsia="Arial" w:cs="Arial"/>
          <w:color w:val="535659"/>
        </w:rPr>
        <w:t>. It addresses pressing energy and climate challenges while unlocking economic potential and improving livelihoods. By aligning existing frameworks and prioritizing inclusive, transformative action, the ETSAP provides the strategic foundation for achieving a sustainable energy future.</w:t>
      </w:r>
    </w:p>
    <w:p w14:paraId="18DFD1CD" w14:textId="3CD18CC2" w:rsidR="007734A4" w:rsidRPr="00662906" w:rsidRDefault="60C1F1D8" w:rsidP="00B06A79">
      <w:pPr>
        <w:pStyle w:val="Heading2"/>
      </w:pPr>
      <w:bookmarkStart w:id="96" w:name="_Toc171955506"/>
      <w:bookmarkStart w:id="97" w:name="_Toc176190929"/>
      <w:bookmarkStart w:id="98" w:name="_Toc176191101"/>
      <w:bookmarkStart w:id="99" w:name="_Toc176341822"/>
      <w:bookmarkStart w:id="100" w:name="_Toc176430216"/>
      <w:bookmarkStart w:id="101" w:name="_Toc176430273"/>
      <w:bookmarkStart w:id="102" w:name="_Toc176441406"/>
      <w:bookmarkStart w:id="103" w:name="_Toc176442061"/>
      <w:bookmarkStart w:id="104" w:name="_Toc178937421"/>
      <w:bookmarkStart w:id="105" w:name="_Toc197433809"/>
      <w:r w:rsidRPr="00662906">
        <w:t>ETSAP Design Framework</w:t>
      </w:r>
      <w:bookmarkEnd w:id="96"/>
      <w:bookmarkEnd w:id="97"/>
      <w:bookmarkEnd w:id="98"/>
      <w:bookmarkEnd w:id="99"/>
      <w:bookmarkEnd w:id="100"/>
      <w:bookmarkEnd w:id="101"/>
      <w:bookmarkEnd w:id="102"/>
      <w:bookmarkEnd w:id="103"/>
      <w:bookmarkEnd w:id="104"/>
      <w:bookmarkEnd w:id="105"/>
    </w:p>
    <w:p w14:paraId="76AFB387" w14:textId="2A68C69E" w:rsidR="00BC5BB3" w:rsidRPr="00662906" w:rsidRDefault="00BC5BB3" w:rsidP="00BC5BB3">
      <w:pPr>
        <w:rPr>
          <w:rFonts w:eastAsia="Arial" w:cs="Arial"/>
          <w:color w:val="535659"/>
        </w:rPr>
      </w:pPr>
      <w:r w:rsidRPr="00662906">
        <w:rPr>
          <w:rFonts w:eastAsia="Arial" w:cs="Arial"/>
          <w:color w:val="535659"/>
        </w:rPr>
        <w:t>The development of the ETSAP is guided by a structured and holistic design framework. This framework ensures that the strategy is comprehensive, actionable, and aligned with Africa’s development aspirations while integrating global sustainability goals and regional priorities.</w:t>
      </w:r>
    </w:p>
    <w:p w14:paraId="64EFF579" w14:textId="22D5380F" w:rsidR="00B52CAC" w:rsidRPr="00662906" w:rsidRDefault="00BC5BB3" w:rsidP="00BC5BB3">
      <w:pPr>
        <w:rPr>
          <w:rFonts w:eastAsia="Arial" w:cs="Arial"/>
          <w:color w:val="535659"/>
        </w:rPr>
      </w:pPr>
      <w:r w:rsidRPr="00662906">
        <w:rPr>
          <w:rFonts w:eastAsia="Arial" w:cs="Arial"/>
          <w:color w:val="535659"/>
        </w:rPr>
        <w:t>The design framework, as depicted in Figure 1, reflects a systematic approach to addressing Africa's energy transition challenges by applying a ToC logic. It highlights the critical pathways, enablers, and milestones required to achieve a sustainable</w:t>
      </w:r>
      <w:r w:rsidR="009F4469" w:rsidRPr="00662906">
        <w:rPr>
          <w:rFonts w:eastAsia="Arial" w:cs="Arial"/>
          <w:color w:val="535659"/>
        </w:rPr>
        <w:t xml:space="preserve"> and</w:t>
      </w:r>
      <w:r w:rsidRPr="00662906">
        <w:rPr>
          <w:rFonts w:eastAsia="Arial" w:cs="Arial"/>
          <w:color w:val="535659"/>
        </w:rPr>
        <w:t xml:space="preserve"> inclusive</w:t>
      </w:r>
      <w:r w:rsidR="009F4469" w:rsidRPr="00662906">
        <w:rPr>
          <w:rFonts w:eastAsia="Arial" w:cs="Arial"/>
          <w:color w:val="535659"/>
        </w:rPr>
        <w:t xml:space="preserve"> e</w:t>
      </w:r>
      <w:r w:rsidRPr="00662906">
        <w:rPr>
          <w:rFonts w:eastAsia="Arial" w:cs="Arial"/>
          <w:color w:val="535659"/>
        </w:rPr>
        <w:t>nergy system by 2063.</w:t>
      </w:r>
    </w:p>
    <w:p w14:paraId="117D5284" w14:textId="11F0A97D" w:rsidR="75BD6BB8" w:rsidRPr="00662906" w:rsidRDefault="75BD6BB8"/>
    <w:p w14:paraId="24D5C70D" w14:textId="2B910A46" w:rsidR="75BD6BB8" w:rsidRPr="00662906" w:rsidRDefault="75BD6BB8"/>
    <w:p w14:paraId="07EB6899" w14:textId="0A5F03CC" w:rsidR="75BD6BB8" w:rsidRPr="00662906" w:rsidRDefault="75BD6BB8"/>
    <w:p w14:paraId="29B36B7A" w14:textId="71B8A464" w:rsidR="0054585B" w:rsidRPr="00662906" w:rsidRDefault="003023EB" w:rsidP="005A71B4">
      <w:pPr>
        <w:jc w:val="left"/>
        <w:rPr>
          <w:i/>
          <w:iCs/>
          <w:color w:val="B4A269" w:themeColor="text2"/>
          <w:sz w:val="18"/>
          <w:szCs w:val="18"/>
        </w:rPr>
      </w:pPr>
      <w:bookmarkStart w:id="106" w:name="_Hlk162343400"/>
      <w:bookmarkStart w:id="107" w:name="_Toc176341909"/>
      <w:bookmarkEnd w:id="106"/>
      <w:r w:rsidRPr="00662906">
        <w:br w:type="page"/>
      </w:r>
      <w:bookmarkEnd w:id="107"/>
    </w:p>
    <w:p w14:paraId="469FEE3A" w14:textId="20EBC7DE" w:rsidR="00842718" w:rsidRPr="00662906" w:rsidRDefault="00456966" w:rsidP="0054585B">
      <w:r w:rsidRPr="00662906">
        <w:rPr>
          <w:noProof/>
        </w:rPr>
        <w:lastRenderedPageBreak/>
        <w:drawing>
          <wp:inline distT="0" distB="0" distL="0" distR="0" wp14:anchorId="7101598E" wp14:editId="2B315EA6">
            <wp:extent cx="5816775" cy="3778250"/>
            <wp:effectExtent l="0" t="0" r="0" b="0"/>
            <wp:docPr id="4166046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31608" cy="3787885"/>
                    </a:xfrm>
                    <a:prstGeom prst="rect">
                      <a:avLst/>
                    </a:prstGeom>
                    <a:noFill/>
                  </pic:spPr>
                </pic:pic>
              </a:graphicData>
            </a:graphic>
          </wp:inline>
        </w:drawing>
      </w:r>
    </w:p>
    <w:p w14:paraId="44FDAD2B" w14:textId="544B6DC9" w:rsidR="009F4469" w:rsidRPr="000561DD" w:rsidRDefault="00793D2D" w:rsidP="009F4469">
      <w:pPr>
        <w:pStyle w:val="Caption"/>
        <w:spacing w:after="120"/>
      </w:pPr>
      <w:bookmarkStart w:id="108" w:name="_Toc197438653"/>
      <w:r w:rsidRPr="000561DD">
        <w:t xml:space="preserve">Figure </w:t>
      </w:r>
      <w:fldSimple w:instr=" SEQ Figure \* ARABIC ">
        <w:r w:rsidR="00610F61">
          <w:rPr>
            <w:noProof/>
          </w:rPr>
          <w:t>1</w:t>
        </w:r>
      </w:fldSimple>
      <w:r w:rsidRPr="000561DD">
        <w:t>: Depicts the design Framework that was adopted in framing the ETSAP</w:t>
      </w:r>
      <w:bookmarkEnd w:id="108"/>
    </w:p>
    <w:p w14:paraId="5E4B9C80" w14:textId="06BDC905" w:rsidR="009F4469" w:rsidRPr="00662906" w:rsidRDefault="00A733B6" w:rsidP="00A733B6">
      <w:pPr>
        <w:rPr>
          <w:i/>
          <w:iCs/>
          <w:color w:val="B4A269" w:themeColor="text2"/>
          <w:sz w:val="16"/>
          <w:szCs w:val="16"/>
        </w:rPr>
      </w:pPr>
      <w:r w:rsidRPr="00662906">
        <w:rPr>
          <w:i/>
          <w:iCs/>
          <w:color w:val="B4A269" w:themeColor="text2"/>
          <w:sz w:val="16"/>
          <w:szCs w:val="16"/>
        </w:rPr>
        <w:t>Source: Original design</w:t>
      </w:r>
    </w:p>
    <w:p w14:paraId="7E3C46E3" w14:textId="08404B53" w:rsidR="00C6072B" w:rsidRPr="00662906" w:rsidRDefault="234AC9FE" w:rsidP="00B06A79">
      <w:pPr>
        <w:pStyle w:val="Heading2"/>
      </w:pPr>
      <w:bookmarkStart w:id="109" w:name="_Toc176341823"/>
      <w:bookmarkStart w:id="110" w:name="_Toc176430217"/>
      <w:bookmarkStart w:id="111" w:name="_Toc176430274"/>
      <w:bookmarkStart w:id="112" w:name="_Toc176441407"/>
      <w:bookmarkStart w:id="113" w:name="_Toc176442062"/>
      <w:bookmarkStart w:id="114" w:name="_Toc178937423"/>
      <w:bookmarkStart w:id="115" w:name="_Toc197433810"/>
      <w:r w:rsidRPr="00662906">
        <w:t>ETSAP Outline</w:t>
      </w:r>
      <w:bookmarkEnd w:id="109"/>
      <w:bookmarkEnd w:id="110"/>
      <w:bookmarkEnd w:id="111"/>
      <w:bookmarkEnd w:id="112"/>
      <w:bookmarkEnd w:id="113"/>
      <w:bookmarkEnd w:id="114"/>
      <w:bookmarkEnd w:id="115"/>
    </w:p>
    <w:p w14:paraId="5706FD08" w14:textId="482D5AA0" w:rsidR="00C26EA5" w:rsidRPr="00662906" w:rsidRDefault="00C26EA5" w:rsidP="00342815">
      <w:pPr>
        <w:spacing w:before="0" w:after="160"/>
      </w:pPr>
      <w:r w:rsidRPr="00662906">
        <w:t xml:space="preserve">The ETSAP is structured into five (5) chapters with Annexures that provide more details on some of the main elements of the document. </w:t>
      </w:r>
    </w:p>
    <w:p w14:paraId="0EAF45B6" w14:textId="5E6C0C8B" w:rsidR="00342815" w:rsidRPr="00662906" w:rsidRDefault="00342815" w:rsidP="005C5546">
      <w:pPr>
        <w:pStyle w:val="ListParagraph"/>
        <w:numPr>
          <w:ilvl w:val="0"/>
          <w:numId w:val="45"/>
        </w:numPr>
        <w:spacing w:before="0" w:after="160"/>
      </w:pPr>
      <w:r w:rsidRPr="00662906">
        <w:rPr>
          <w:i/>
          <w:iCs/>
        </w:rPr>
        <w:t>Chapter 1</w:t>
      </w:r>
      <w:r w:rsidRPr="00662906">
        <w:t xml:space="preserve"> </w:t>
      </w:r>
      <w:r w:rsidR="00B2284F" w:rsidRPr="00662906">
        <w:t>provides</w:t>
      </w:r>
      <w:r w:rsidR="00FE2CC1" w:rsidRPr="00662906">
        <w:t xml:space="preserve"> </w:t>
      </w:r>
      <w:r w:rsidRPr="00662906">
        <w:t>the background</w:t>
      </w:r>
      <w:r w:rsidR="00B2284F" w:rsidRPr="00662906">
        <w:t xml:space="preserve"> of the ESTAP</w:t>
      </w:r>
      <w:r w:rsidRPr="00662906">
        <w:t xml:space="preserve">, rationale, and the ETSAP design framework. </w:t>
      </w:r>
    </w:p>
    <w:p w14:paraId="1E47875C" w14:textId="042182DC" w:rsidR="00342815" w:rsidRPr="00662906" w:rsidRDefault="00342815" w:rsidP="005C5546">
      <w:pPr>
        <w:pStyle w:val="ListParagraph"/>
        <w:numPr>
          <w:ilvl w:val="0"/>
          <w:numId w:val="45"/>
        </w:numPr>
        <w:spacing w:before="0" w:after="160"/>
      </w:pPr>
      <w:r w:rsidRPr="00662906">
        <w:rPr>
          <w:i/>
          <w:iCs/>
        </w:rPr>
        <w:t>Chapter 2</w:t>
      </w:r>
      <w:r w:rsidRPr="00662906">
        <w:t xml:space="preserve"> </w:t>
      </w:r>
      <w:r w:rsidR="00504943" w:rsidRPr="00662906">
        <w:t>analyses</w:t>
      </w:r>
      <w:r w:rsidRPr="00662906">
        <w:t xml:space="preserve"> the current energy situation, including gaps, subsector challenges, and </w:t>
      </w:r>
      <w:r w:rsidR="00B2284F" w:rsidRPr="00662906">
        <w:t xml:space="preserve">presents </w:t>
      </w:r>
      <w:r w:rsidRPr="00662906">
        <w:t xml:space="preserve">relevant AU initiatives such as AfSEM, CMP, and AfEES, </w:t>
      </w:r>
      <w:r w:rsidR="00B2284F" w:rsidRPr="00662906">
        <w:t>together with a</w:t>
      </w:r>
      <w:r w:rsidR="00DF34CC" w:rsidRPr="00662906">
        <w:t xml:space="preserve"> Strengths, Weaknesses, Opportunities, and Threats</w:t>
      </w:r>
      <w:r w:rsidRPr="00662906">
        <w:t xml:space="preserve"> </w:t>
      </w:r>
      <w:r w:rsidR="00DF34CC" w:rsidRPr="00662906">
        <w:t>(</w:t>
      </w:r>
      <w:r w:rsidRPr="00662906">
        <w:t>SWOT</w:t>
      </w:r>
      <w:r w:rsidR="00DF34CC" w:rsidRPr="00662906">
        <w:t>)</w:t>
      </w:r>
      <w:r w:rsidRPr="00662906">
        <w:t xml:space="preserve"> and </w:t>
      </w:r>
      <w:r w:rsidR="00DF34CC" w:rsidRPr="00662906">
        <w:t>Political, economic, social, technological, environmental, and legal (</w:t>
      </w:r>
      <w:r w:rsidRPr="00662906">
        <w:t>PESTEL</w:t>
      </w:r>
      <w:r w:rsidR="00DF34CC" w:rsidRPr="00662906">
        <w:t>)</w:t>
      </w:r>
      <w:r w:rsidRPr="00662906">
        <w:t xml:space="preserve"> analys</w:t>
      </w:r>
      <w:r w:rsidR="00A74DEA" w:rsidRPr="00662906">
        <w:t>e</w:t>
      </w:r>
      <w:r w:rsidRPr="00662906">
        <w:t>s.</w:t>
      </w:r>
    </w:p>
    <w:p w14:paraId="2355E8A5" w14:textId="0F5BF2B0" w:rsidR="00342815" w:rsidRPr="00662906" w:rsidRDefault="0C99C8C8" w:rsidP="2D9E25B5">
      <w:pPr>
        <w:pStyle w:val="ListParagraph"/>
        <w:spacing w:before="0" w:after="160"/>
      </w:pPr>
      <w:r w:rsidRPr="00662906">
        <w:rPr>
          <w:i/>
          <w:iCs/>
        </w:rPr>
        <w:t>Chapter 3</w:t>
      </w:r>
      <w:r w:rsidRPr="00662906">
        <w:t xml:space="preserve"> presents the vision, mission, and strategic pillars of the ETSAP, intermediate milestones, enabling factors, </w:t>
      </w:r>
      <w:r w:rsidR="00EC4AB3" w:rsidRPr="00662906">
        <w:t>anticipated risks</w:t>
      </w:r>
      <w:r w:rsidR="78A94BC2" w:rsidRPr="00662906">
        <w:t xml:space="preserve"> and related</w:t>
      </w:r>
      <w:r w:rsidRPr="00662906">
        <w:t xml:space="preserve"> mitigation strategies. </w:t>
      </w:r>
    </w:p>
    <w:p w14:paraId="48C9C51B" w14:textId="3893355F" w:rsidR="00342815" w:rsidRPr="00662906" w:rsidRDefault="0C99C8C8" w:rsidP="2D9E25B5">
      <w:pPr>
        <w:pStyle w:val="ListParagraph"/>
        <w:spacing w:before="0" w:after="160"/>
      </w:pPr>
      <w:r w:rsidRPr="00662906">
        <w:rPr>
          <w:i/>
          <w:iCs/>
        </w:rPr>
        <w:t>Chapter 4</w:t>
      </w:r>
      <w:r w:rsidRPr="00662906">
        <w:t xml:space="preserve"> translates the strategy into actionable plans for electricity, transport, buildings, industry, oil and gas, agriculture, and clean cooking while addressing horizontal issues</w:t>
      </w:r>
      <w:r w:rsidR="69631A3F" w:rsidRPr="00662906">
        <w:t>, cross cutting and cross sectoral issues</w:t>
      </w:r>
      <w:r w:rsidRPr="00662906">
        <w:t xml:space="preserve">. </w:t>
      </w:r>
    </w:p>
    <w:p w14:paraId="38216812" w14:textId="348D59CB" w:rsidR="00D7068D" w:rsidRPr="00662906" w:rsidRDefault="0C99C8C8" w:rsidP="00956995">
      <w:pPr>
        <w:pStyle w:val="ListParagraph"/>
        <w:spacing w:before="0" w:after="160"/>
      </w:pPr>
      <w:r w:rsidRPr="00662906">
        <w:rPr>
          <w:i/>
          <w:iCs/>
        </w:rPr>
        <w:t>Chapter 5</w:t>
      </w:r>
      <w:r w:rsidRPr="00662906">
        <w:t xml:space="preserve"> details the implementation plan, institutional roles, financing mechanisms</w:t>
      </w:r>
      <w:r w:rsidR="44D56E1A" w:rsidRPr="00662906">
        <w:t xml:space="preserve"> and resource mobilization and estimated budget</w:t>
      </w:r>
      <w:r w:rsidRPr="00662906">
        <w:t xml:space="preserve">, M&amp;E framework, and </w:t>
      </w:r>
      <w:r w:rsidR="4653A4E6" w:rsidRPr="00662906">
        <w:t xml:space="preserve">a </w:t>
      </w:r>
      <w:r w:rsidRPr="00662906">
        <w:t xml:space="preserve">communication </w:t>
      </w:r>
      <w:r w:rsidR="1EB69E90" w:rsidRPr="00662906">
        <w:t>plan</w:t>
      </w:r>
      <w:r w:rsidR="00956995" w:rsidRPr="00662906">
        <w:t>.</w:t>
      </w:r>
    </w:p>
    <w:p w14:paraId="53924B98" w14:textId="77777777" w:rsidR="00342815" w:rsidRPr="00662906" w:rsidRDefault="00342815" w:rsidP="00342815">
      <w:bookmarkStart w:id="116" w:name="_Toc178936754"/>
      <w:bookmarkStart w:id="117" w:name="_Toc178937196"/>
      <w:bookmarkStart w:id="118" w:name="_Toc178937310"/>
      <w:bookmarkStart w:id="119" w:name="_Toc178937424"/>
      <w:bookmarkStart w:id="120" w:name="_Toc178937539"/>
      <w:bookmarkStart w:id="121" w:name="_Toc178937648"/>
      <w:bookmarkStart w:id="122" w:name="_Toc178937758"/>
      <w:bookmarkStart w:id="123" w:name="_Toc178937866"/>
      <w:bookmarkStart w:id="124" w:name="_Toc178937975"/>
      <w:bookmarkStart w:id="125" w:name="_Toc171955507"/>
      <w:bookmarkStart w:id="126" w:name="_Toc176190930"/>
      <w:bookmarkStart w:id="127" w:name="_Toc176191102"/>
      <w:bookmarkStart w:id="128" w:name="_Toc176341824"/>
      <w:bookmarkStart w:id="129" w:name="_Toc176430218"/>
      <w:bookmarkStart w:id="130" w:name="_Toc176430275"/>
      <w:bookmarkStart w:id="131" w:name="_Toc176441408"/>
      <w:bookmarkStart w:id="132" w:name="_Toc176442063"/>
      <w:bookmarkStart w:id="133" w:name="_Toc178937425"/>
      <w:bookmarkEnd w:id="116"/>
      <w:bookmarkEnd w:id="117"/>
      <w:bookmarkEnd w:id="118"/>
      <w:bookmarkEnd w:id="119"/>
      <w:bookmarkEnd w:id="120"/>
      <w:bookmarkEnd w:id="121"/>
      <w:bookmarkEnd w:id="122"/>
      <w:bookmarkEnd w:id="123"/>
      <w:bookmarkEnd w:id="124"/>
      <w:r w:rsidRPr="00662906">
        <w:br w:type="page"/>
      </w:r>
    </w:p>
    <w:p w14:paraId="34B0A29F" w14:textId="730E239B" w:rsidR="007734A4" w:rsidRPr="00662906" w:rsidRDefault="34686710" w:rsidP="00B06A79">
      <w:pPr>
        <w:pStyle w:val="Heading1"/>
      </w:pPr>
      <w:bookmarkStart w:id="134" w:name="_Toc197433811"/>
      <w:r w:rsidRPr="00662906">
        <w:lastRenderedPageBreak/>
        <w:t>CURRENT SITUATION</w:t>
      </w:r>
      <w:bookmarkEnd w:id="125"/>
      <w:r w:rsidR="06BBF05C" w:rsidRPr="00662906">
        <w:t xml:space="preserve">, </w:t>
      </w:r>
      <w:r w:rsidR="1B120A77" w:rsidRPr="00662906">
        <w:t xml:space="preserve">PROJECTION, </w:t>
      </w:r>
      <w:r w:rsidR="06BBF05C" w:rsidRPr="00662906">
        <w:t>GAPS AND BARRIERS</w:t>
      </w:r>
      <w:bookmarkEnd w:id="126"/>
      <w:bookmarkEnd w:id="127"/>
      <w:bookmarkEnd w:id="128"/>
      <w:bookmarkEnd w:id="129"/>
      <w:bookmarkEnd w:id="130"/>
      <w:bookmarkEnd w:id="131"/>
      <w:bookmarkEnd w:id="132"/>
      <w:bookmarkEnd w:id="133"/>
      <w:bookmarkEnd w:id="134"/>
    </w:p>
    <w:p w14:paraId="0C1F037C" w14:textId="77777777" w:rsidR="00283571" w:rsidRPr="00662906" w:rsidRDefault="00283571" w:rsidP="00283571">
      <w:pPr>
        <w:pStyle w:val="Heading2"/>
      </w:pPr>
      <w:bookmarkStart w:id="135" w:name="_Toc197433812"/>
      <w:bookmarkStart w:id="136" w:name="_Toc176190931"/>
      <w:bookmarkStart w:id="137" w:name="_Toc176191103"/>
      <w:bookmarkStart w:id="138" w:name="_Toc176341825"/>
      <w:bookmarkStart w:id="139" w:name="_Toc176430219"/>
      <w:bookmarkStart w:id="140" w:name="_Toc176430276"/>
      <w:bookmarkStart w:id="141" w:name="_Toc176441409"/>
      <w:bookmarkStart w:id="142" w:name="_Toc176442064"/>
      <w:bookmarkStart w:id="143" w:name="_Toc178937426"/>
      <w:r w:rsidRPr="00662906">
        <w:t>Introduction</w:t>
      </w:r>
      <w:bookmarkEnd w:id="135"/>
    </w:p>
    <w:p w14:paraId="19B50E9C" w14:textId="68E4079F" w:rsidR="003158DD" w:rsidRPr="00662906" w:rsidRDefault="7B172824" w:rsidP="003158DD">
      <w:r w:rsidRPr="00662906">
        <w:t xml:space="preserve">An overview of the current situation in the subsectors analysed in the strategy is given in the following sections, </w:t>
      </w:r>
      <w:r w:rsidR="1A9F26E4" w:rsidRPr="00662906">
        <w:t xml:space="preserve">largely </w:t>
      </w:r>
      <w:r w:rsidRPr="00662906">
        <w:t>utilising the statistical data published by A</w:t>
      </w:r>
      <w:r w:rsidR="00F35296" w:rsidRPr="00662906">
        <w:t>F</w:t>
      </w:r>
      <w:r w:rsidRPr="00662906">
        <w:t>REC</w:t>
      </w:r>
      <w:r w:rsidR="003158DD" w:rsidRPr="00662906">
        <w:rPr>
          <w:rStyle w:val="FootnoteReference"/>
        </w:rPr>
        <w:footnoteReference w:id="13"/>
      </w:r>
      <w:r w:rsidR="00A74DEA" w:rsidRPr="00662906">
        <w:t xml:space="preserve"> </w:t>
      </w:r>
      <w:r w:rsidR="0462842E" w:rsidRPr="00662906">
        <w:t>where applicable.</w:t>
      </w:r>
      <w:r w:rsidRPr="00662906">
        <w:t xml:space="preserve"> This is followed by a description of the status of Energy Transition initiatives and projections including a review of NDCs, and the identification of gaps, </w:t>
      </w:r>
      <w:r w:rsidR="6D8EE8B0" w:rsidRPr="00662906">
        <w:t>SWOT</w:t>
      </w:r>
      <w:r w:rsidRPr="00662906">
        <w:t xml:space="preserve">, and a PESTEL analysis. </w:t>
      </w:r>
    </w:p>
    <w:p w14:paraId="6ED3ED7E" w14:textId="7936DED3" w:rsidR="0051797F" w:rsidRPr="00662906" w:rsidRDefault="7B172824" w:rsidP="00283571">
      <w:r w:rsidRPr="00662906">
        <w:t xml:space="preserve">The development of the African ETSAP </w:t>
      </w:r>
      <w:r w:rsidR="002C5200" w:rsidRPr="00662906">
        <w:t>was preceded</w:t>
      </w:r>
      <w:r w:rsidRPr="00662906">
        <w:t xml:space="preserve"> by a comprehensive stocktaking exercise. This process involved a detailed assessment of the continent's current energy landscape, including an evaluation of sectoral status, technological advancements, and best practices from both Africa and global examples. The analysis also integrated lessons learned to identify opportunities and address persistent challenges. A detailed account of this stocktaking exercise is provided in Annex</w:t>
      </w:r>
      <w:r w:rsidR="5D0739A1" w:rsidRPr="00662906">
        <w:t xml:space="preserve"> </w:t>
      </w:r>
      <w:r w:rsidR="00AD6050" w:rsidRPr="00662906">
        <w:rPr>
          <w:highlight w:val="yellow"/>
        </w:rPr>
        <w:fldChar w:fldCharType="begin"/>
      </w:r>
      <w:r w:rsidR="00AD6050" w:rsidRPr="00662906">
        <w:instrText xml:space="preserve"> REF _Ref185538336 \r \h </w:instrText>
      </w:r>
      <w:r w:rsidR="00AD6050" w:rsidRPr="00662906">
        <w:rPr>
          <w:highlight w:val="yellow"/>
        </w:rPr>
      </w:r>
      <w:r w:rsidR="00AD6050" w:rsidRPr="00662906">
        <w:rPr>
          <w:highlight w:val="yellow"/>
        </w:rPr>
        <w:fldChar w:fldCharType="separate"/>
      </w:r>
      <w:r w:rsidR="00610F61">
        <w:t>6.2</w:t>
      </w:r>
      <w:r w:rsidR="00AD6050" w:rsidRPr="00662906">
        <w:rPr>
          <w:highlight w:val="yellow"/>
        </w:rPr>
        <w:fldChar w:fldCharType="end"/>
      </w:r>
      <w:r w:rsidRPr="00662906">
        <w:t xml:space="preserve">, </w:t>
      </w:r>
      <w:r w:rsidR="6593A301" w:rsidRPr="00662906">
        <w:t>and</w:t>
      </w:r>
      <w:r w:rsidRPr="00662906">
        <w:t xml:space="preserve"> offers deeper insights into the findings and methodologies. The following subsections provide a synthesized summary of the results, structured uniformly across all </w:t>
      </w:r>
      <w:r w:rsidR="1EB0FD10" w:rsidRPr="00662906">
        <w:t xml:space="preserve">the ETSAP </w:t>
      </w:r>
      <w:r w:rsidRPr="00662906">
        <w:t>subsectors. Each analysis captures the status, highlights key challenges, explores the socio-economic impacts, and identifies missed opportunities and emerging perspectives. This format ensures clarity, consistency, and a strong foundation for actionable interventions outlined in subsequent chapters.</w:t>
      </w:r>
    </w:p>
    <w:p w14:paraId="5AC3529D" w14:textId="01DEB4A1" w:rsidR="00227C4C" w:rsidRPr="00662906" w:rsidRDefault="0051797F" w:rsidP="00227C4C">
      <w:pPr>
        <w:pStyle w:val="Heading2"/>
      </w:pPr>
      <w:bookmarkStart w:id="144" w:name="_Toc197433813"/>
      <w:r w:rsidRPr="00662906">
        <w:t>Subsector situation analysis</w:t>
      </w:r>
      <w:bookmarkStart w:id="145" w:name="_Toc178937439"/>
      <w:bookmarkStart w:id="146" w:name="_Toc178937773"/>
      <w:bookmarkEnd w:id="144"/>
      <w:bookmarkEnd w:id="145"/>
      <w:bookmarkEnd w:id="146"/>
    </w:p>
    <w:p w14:paraId="01EA5D10" w14:textId="68CEA2F1" w:rsidR="00227C4C" w:rsidRPr="00662906" w:rsidRDefault="00227C4C" w:rsidP="00A97FAE">
      <w:r w:rsidRPr="00662906">
        <w:t>In this section, a summary of the status, challenges, expected socioeconomic impacts of ET and new opportunities and perspectives for each of the sectors is presented based on the findings of the stocktaking exercise</w:t>
      </w:r>
      <w:r w:rsidR="003C4B5B" w:rsidRPr="00662906">
        <w:t xml:space="preserve"> (Tables 1 to 7)</w:t>
      </w:r>
      <w:r w:rsidRPr="00662906">
        <w:t xml:space="preserve">. The detailed stocktaking report is provided </w:t>
      </w:r>
      <w:r w:rsidR="003A0C40" w:rsidRPr="00662906">
        <w:t xml:space="preserve">in Annex </w:t>
      </w:r>
      <w:r w:rsidR="003A0C40" w:rsidRPr="00662906">
        <w:fldChar w:fldCharType="begin"/>
      </w:r>
      <w:r w:rsidR="003A0C40" w:rsidRPr="00662906">
        <w:instrText xml:space="preserve"> REF _Ref185538336 \r \h </w:instrText>
      </w:r>
      <w:r w:rsidR="003A0C40" w:rsidRPr="00662906">
        <w:fldChar w:fldCharType="separate"/>
      </w:r>
      <w:r w:rsidR="00610F61">
        <w:t>6.2</w:t>
      </w:r>
      <w:r w:rsidR="003A0C40" w:rsidRPr="00662906">
        <w:fldChar w:fldCharType="end"/>
      </w:r>
      <w:r w:rsidRPr="00662906">
        <w:t xml:space="preserve">.  </w:t>
      </w:r>
    </w:p>
    <w:p w14:paraId="75814B84" w14:textId="39F1567A" w:rsidR="0051797F" w:rsidRPr="00662906" w:rsidRDefault="0051797F" w:rsidP="00956995">
      <w:pPr>
        <w:pStyle w:val="Heading3"/>
        <w:ind w:left="284"/>
      </w:pPr>
      <w:bookmarkStart w:id="147" w:name="_Toc178937210"/>
      <w:bookmarkStart w:id="148" w:name="_Toc178937324"/>
      <w:bookmarkStart w:id="149" w:name="_Toc178937440"/>
      <w:bookmarkStart w:id="150" w:name="_Toc178937555"/>
      <w:bookmarkStart w:id="151" w:name="_Toc178937664"/>
      <w:bookmarkStart w:id="152" w:name="_Toc178937774"/>
      <w:bookmarkStart w:id="153" w:name="_Toc178937882"/>
      <w:bookmarkStart w:id="154" w:name="_Toc178937990"/>
      <w:bookmarkStart w:id="155" w:name="_Toc178937211"/>
      <w:bookmarkStart w:id="156" w:name="_Toc178937325"/>
      <w:bookmarkStart w:id="157" w:name="_Toc178937441"/>
      <w:bookmarkStart w:id="158" w:name="_Toc178937556"/>
      <w:bookmarkStart w:id="159" w:name="_Toc178937665"/>
      <w:bookmarkStart w:id="160" w:name="_Toc178937775"/>
      <w:bookmarkStart w:id="161" w:name="_Toc178937883"/>
      <w:bookmarkStart w:id="162" w:name="_Toc178937991"/>
      <w:bookmarkStart w:id="163" w:name="_Toc178937212"/>
      <w:bookmarkStart w:id="164" w:name="_Toc178937326"/>
      <w:bookmarkStart w:id="165" w:name="_Toc178937442"/>
      <w:bookmarkStart w:id="166" w:name="_Toc178937557"/>
      <w:bookmarkStart w:id="167" w:name="_Toc178937666"/>
      <w:bookmarkStart w:id="168" w:name="_Toc178937776"/>
      <w:bookmarkStart w:id="169" w:name="_Toc178937884"/>
      <w:bookmarkStart w:id="170" w:name="_Toc178937992"/>
      <w:bookmarkStart w:id="171" w:name="_Toc197433814"/>
      <w:bookmarkStart w:id="172" w:name="OLE_LINK3"/>
      <w:bookmarkStart w:id="173" w:name="OLE_LINK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662906">
        <w:t>Electricity</w:t>
      </w:r>
      <w:bookmarkEnd w:id="171"/>
    </w:p>
    <w:p w14:paraId="7C276263" w14:textId="3196D9B1" w:rsidR="0051797F" w:rsidRPr="00662906" w:rsidRDefault="0051797F" w:rsidP="0051797F">
      <w:pPr>
        <w:pStyle w:val="Caption"/>
      </w:pPr>
      <w:bookmarkStart w:id="174" w:name="_Toc197433889"/>
      <w:r w:rsidRPr="00662906">
        <w:t xml:space="preserve">Table </w:t>
      </w:r>
      <w:fldSimple w:instr=" SEQ Table \* ARABIC \r1 ">
        <w:r w:rsidR="00610F61">
          <w:rPr>
            <w:noProof/>
          </w:rPr>
          <w:t>1</w:t>
        </w:r>
      </w:fldSimple>
      <w:r w:rsidR="00504943" w:rsidRPr="00662906">
        <w:t xml:space="preserve">: </w:t>
      </w:r>
      <w:r w:rsidR="002C5200" w:rsidRPr="00662906">
        <w:t>Summary</w:t>
      </w:r>
      <w:r w:rsidRPr="00662906">
        <w:t xml:space="preserve"> of </w:t>
      </w:r>
      <w:r w:rsidR="002C5200" w:rsidRPr="00662906">
        <w:t>Africa’s</w:t>
      </w:r>
      <w:r w:rsidRPr="00662906">
        <w:t xml:space="preserve"> </w:t>
      </w:r>
      <w:r w:rsidR="003158DD" w:rsidRPr="00662906">
        <w:t>electricity</w:t>
      </w:r>
      <w:r w:rsidRPr="00662906">
        <w:t xml:space="preserve"> sector</w:t>
      </w:r>
      <w:bookmarkEnd w:id="174"/>
      <w:r w:rsidRPr="00662906">
        <w:t xml:space="preserve"> </w:t>
      </w:r>
    </w:p>
    <w:tbl>
      <w:tblPr>
        <w:tblStyle w:val="TableGrid"/>
        <w:tblW w:w="9078" w:type="dxa"/>
        <w:tblLayout w:type="fixed"/>
        <w:tblLook w:val="06A0" w:firstRow="1" w:lastRow="0" w:firstColumn="1" w:lastColumn="0" w:noHBand="1" w:noVBand="1"/>
      </w:tblPr>
      <w:tblGrid>
        <w:gridCol w:w="2253"/>
        <w:gridCol w:w="6825"/>
      </w:tblGrid>
      <w:tr w:rsidR="0051797F" w:rsidRPr="00662906" w14:paraId="1B509F50"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0DF65E7D"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3F9391E4"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Overview</w:t>
            </w:r>
          </w:p>
        </w:tc>
      </w:tr>
      <w:tr w:rsidR="0051797F" w:rsidRPr="00662906" w14:paraId="4CE5FC3C"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7EFC7E79" w14:textId="77777777" w:rsidR="0051797F" w:rsidRPr="00662906" w:rsidRDefault="0051797F"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378CF3ED" w14:textId="243142BD" w:rsidR="0051797F" w:rsidRPr="00662906" w:rsidRDefault="56A8C415" w:rsidP="002E08DF">
            <w:pPr>
              <w:rPr>
                <w:sz w:val="18"/>
                <w:szCs w:val="18"/>
              </w:rPr>
            </w:pPr>
            <w:r w:rsidRPr="00662906">
              <w:rPr>
                <w:sz w:val="18"/>
                <w:szCs w:val="18"/>
              </w:rPr>
              <w:t xml:space="preserve">Africa's electricity generation mix remains dominated by </w:t>
            </w:r>
            <w:r w:rsidRPr="00662906">
              <w:rPr>
                <w:b/>
                <w:bCs/>
                <w:sz w:val="18"/>
                <w:szCs w:val="18"/>
              </w:rPr>
              <w:t>fossil fuels</w:t>
            </w:r>
            <w:r w:rsidRPr="00662906">
              <w:rPr>
                <w:sz w:val="18"/>
                <w:szCs w:val="18"/>
              </w:rPr>
              <w:t xml:space="preserve">, accounting for </w:t>
            </w:r>
            <w:r w:rsidRPr="00662906">
              <w:rPr>
                <w:b/>
                <w:bCs/>
                <w:sz w:val="18"/>
                <w:szCs w:val="18"/>
              </w:rPr>
              <w:t>79% of generation</w:t>
            </w:r>
            <w:r w:rsidRPr="00662906">
              <w:rPr>
                <w:sz w:val="18"/>
                <w:szCs w:val="18"/>
              </w:rPr>
              <w:t xml:space="preserve"> in 2021, with </w:t>
            </w:r>
            <w:r w:rsidRPr="00662906">
              <w:rPr>
                <w:b/>
                <w:bCs/>
                <w:sz w:val="18"/>
                <w:szCs w:val="18"/>
              </w:rPr>
              <w:t>natural gas</w:t>
            </w:r>
            <w:r w:rsidRPr="00662906">
              <w:rPr>
                <w:sz w:val="18"/>
                <w:szCs w:val="18"/>
              </w:rPr>
              <w:t xml:space="preserve"> </w:t>
            </w:r>
            <w:r w:rsidR="002C5200" w:rsidRPr="00662906">
              <w:rPr>
                <w:sz w:val="18"/>
                <w:szCs w:val="18"/>
              </w:rPr>
              <w:t>contributing</w:t>
            </w:r>
            <w:r w:rsidRPr="00662906">
              <w:rPr>
                <w:sz w:val="18"/>
                <w:szCs w:val="18"/>
              </w:rPr>
              <w:t xml:space="preserve"> (42%), followed by </w:t>
            </w:r>
            <w:r w:rsidRPr="00662906">
              <w:rPr>
                <w:b/>
                <w:bCs/>
                <w:sz w:val="18"/>
                <w:szCs w:val="18"/>
              </w:rPr>
              <w:t>coal</w:t>
            </w:r>
            <w:r w:rsidRPr="00662906">
              <w:rPr>
                <w:sz w:val="18"/>
                <w:szCs w:val="18"/>
              </w:rPr>
              <w:t xml:space="preserve"> (28%)</w:t>
            </w:r>
            <w:r w:rsidR="19BC7019" w:rsidRPr="00662906">
              <w:rPr>
                <w:sz w:val="18"/>
                <w:szCs w:val="18"/>
                <w:vertAlign w:val="superscript"/>
              </w:rPr>
              <w:t xml:space="preserve"> </w:t>
            </w:r>
            <w:r w:rsidR="00681B5D" w:rsidRPr="00662906">
              <w:rPr>
                <w:sz w:val="18"/>
                <w:szCs w:val="18"/>
                <w:vertAlign w:val="superscript"/>
              </w:rPr>
              <w:footnoteReference w:id="14"/>
            </w:r>
            <w:r w:rsidR="19BC7019" w:rsidRPr="00662906">
              <w:rPr>
                <w:sz w:val="18"/>
                <w:szCs w:val="18"/>
              </w:rPr>
              <w:t>.</w:t>
            </w:r>
            <w:r w:rsidRPr="00662906">
              <w:rPr>
                <w:sz w:val="18"/>
                <w:szCs w:val="18"/>
              </w:rPr>
              <w:t xml:space="preserve"> Renewable energy sources</w:t>
            </w:r>
            <w:r w:rsidR="00EA6EAF" w:rsidRPr="00662906">
              <w:rPr>
                <w:sz w:val="18"/>
                <w:szCs w:val="18"/>
              </w:rPr>
              <w:t xml:space="preserve"> (RES)</w:t>
            </w:r>
            <w:r w:rsidRPr="00662906">
              <w:rPr>
                <w:sz w:val="18"/>
                <w:szCs w:val="18"/>
              </w:rPr>
              <w:t xml:space="preserve">, including solar, wind, hydro, geothermal, and waste, </w:t>
            </w:r>
            <w:r w:rsidR="0025270A" w:rsidRPr="00662906">
              <w:rPr>
                <w:sz w:val="18"/>
                <w:szCs w:val="18"/>
              </w:rPr>
              <w:t>contributed 20</w:t>
            </w:r>
            <w:r w:rsidRPr="00662906">
              <w:rPr>
                <w:b/>
                <w:bCs/>
                <w:sz w:val="18"/>
                <w:szCs w:val="18"/>
              </w:rPr>
              <w:t>%</w:t>
            </w:r>
            <w:r w:rsidR="00672DB3" w:rsidRPr="00662906">
              <w:rPr>
                <w:sz w:val="18"/>
                <w:szCs w:val="18"/>
              </w:rPr>
              <w:t xml:space="preserve"> to electricity generation</w:t>
            </w:r>
            <w:r w:rsidRPr="00662906">
              <w:rPr>
                <w:sz w:val="18"/>
                <w:szCs w:val="18"/>
              </w:rPr>
              <w:t xml:space="preserve"> despite the continent’s vast renewable energy potential. Significant regional disparities exist, with South Africa and Egypt producing over half of the continent’s electricity, predominantly from fossil fuels</w:t>
            </w:r>
            <w:r w:rsidR="7A190E9D" w:rsidRPr="00662906">
              <w:rPr>
                <w:sz w:val="18"/>
                <w:szCs w:val="18"/>
              </w:rPr>
              <w:t>, coal and natural gas respectively</w:t>
            </w:r>
            <w:r w:rsidRPr="00662906">
              <w:rPr>
                <w:sz w:val="18"/>
                <w:szCs w:val="18"/>
              </w:rPr>
              <w:t xml:space="preserve">. </w:t>
            </w:r>
            <w:r w:rsidR="00672DB3" w:rsidRPr="00662906">
              <w:rPr>
                <w:sz w:val="18"/>
                <w:szCs w:val="18"/>
              </w:rPr>
              <w:t>Typically</w:t>
            </w:r>
            <w:r w:rsidR="00FE2CC1" w:rsidRPr="00662906">
              <w:rPr>
                <w:sz w:val="18"/>
                <w:szCs w:val="18"/>
              </w:rPr>
              <w:t>,</w:t>
            </w:r>
            <w:r w:rsidR="00672DB3" w:rsidRPr="00662906">
              <w:rPr>
                <w:sz w:val="18"/>
                <w:szCs w:val="18"/>
              </w:rPr>
              <w:t xml:space="preserve"> Southern Africa electricity is dominated by coal and North Africa by natural gas</w:t>
            </w:r>
            <w:r w:rsidR="00FE2CC1" w:rsidRPr="00662906">
              <w:rPr>
                <w:sz w:val="18"/>
                <w:szCs w:val="18"/>
              </w:rPr>
              <w:t>-</w:t>
            </w:r>
            <w:r w:rsidR="00672DB3" w:rsidRPr="00662906">
              <w:rPr>
                <w:sz w:val="18"/>
                <w:szCs w:val="18"/>
              </w:rPr>
              <w:t xml:space="preserve">based electricity. </w:t>
            </w:r>
            <w:r w:rsidRPr="00662906">
              <w:rPr>
                <w:sz w:val="18"/>
                <w:szCs w:val="18"/>
              </w:rPr>
              <w:t>East, Central, and West Africa rely more on hydro but face limitations in scaling other renewables due to infrastructure deficits.</w:t>
            </w:r>
          </w:p>
          <w:p w14:paraId="35768A43" w14:textId="2542BA2D" w:rsidR="0051797F" w:rsidRPr="00662906" w:rsidRDefault="56A8C415" w:rsidP="002E08DF">
            <w:pPr>
              <w:rPr>
                <w:b/>
                <w:bCs/>
                <w:sz w:val="18"/>
                <w:szCs w:val="18"/>
              </w:rPr>
            </w:pPr>
            <w:r w:rsidRPr="00662906">
              <w:rPr>
                <w:sz w:val="18"/>
                <w:szCs w:val="18"/>
              </w:rPr>
              <w:t xml:space="preserve">The </w:t>
            </w:r>
            <w:r w:rsidRPr="00662906">
              <w:rPr>
                <w:b/>
                <w:bCs/>
                <w:sz w:val="18"/>
                <w:szCs w:val="18"/>
              </w:rPr>
              <w:t>transmission and distribution networks</w:t>
            </w:r>
            <w:r w:rsidRPr="00662906">
              <w:rPr>
                <w:sz w:val="18"/>
                <w:szCs w:val="18"/>
              </w:rPr>
              <w:t xml:space="preserve"> across Africa are insufficient to meet growing demand, enable renewable energy integration, and support cross-border electricity trade. </w:t>
            </w:r>
            <w:r w:rsidR="003D6732" w:rsidRPr="00662906">
              <w:rPr>
                <w:sz w:val="18"/>
                <w:szCs w:val="18"/>
              </w:rPr>
              <w:t>Network</w:t>
            </w:r>
            <w:r w:rsidRPr="00662906">
              <w:rPr>
                <w:sz w:val="18"/>
                <w:szCs w:val="18"/>
              </w:rPr>
              <w:t xml:space="preserve"> losses in power systems average </w:t>
            </w:r>
            <w:r w:rsidRPr="00662906">
              <w:rPr>
                <w:b/>
                <w:bCs/>
                <w:sz w:val="18"/>
                <w:szCs w:val="18"/>
              </w:rPr>
              <w:t>20%</w:t>
            </w:r>
            <w:r w:rsidR="009E395B" w:rsidRPr="00662906">
              <w:rPr>
                <w:b/>
                <w:bCs/>
                <w:sz w:val="18"/>
                <w:szCs w:val="18"/>
                <w:vertAlign w:val="superscript"/>
              </w:rPr>
              <w:footnoteReference w:id="15"/>
            </w:r>
            <w:r w:rsidRPr="00662906">
              <w:rPr>
                <w:sz w:val="18"/>
                <w:szCs w:val="18"/>
              </w:rPr>
              <w:t xml:space="preserve">, </w:t>
            </w:r>
            <w:r w:rsidR="46B6F07D" w:rsidRPr="00662906">
              <w:rPr>
                <w:sz w:val="18"/>
                <w:szCs w:val="18"/>
              </w:rPr>
              <w:t>much</w:t>
            </w:r>
            <w:r w:rsidRPr="00662906">
              <w:rPr>
                <w:sz w:val="18"/>
                <w:szCs w:val="18"/>
              </w:rPr>
              <w:t xml:space="preserve"> higher than the 5–10% observed in developed economies. Current integration efforts through regional power pools, such as</w:t>
            </w:r>
            <w:r w:rsidR="00F35296" w:rsidRPr="00662906">
              <w:rPr>
                <w:sz w:val="18"/>
                <w:szCs w:val="18"/>
              </w:rPr>
              <w:t xml:space="preserve"> Southern Africa Power Pool</w:t>
            </w:r>
            <w:r w:rsidRPr="00662906">
              <w:rPr>
                <w:sz w:val="18"/>
                <w:szCs w:val="18"/>
              </w:rPr>
              <w:t xml:space="preserve"> </w:t>
            </w:r>
            <w:r w:rsidR="00F35296" w:rsidRPr="00662906">
              <w:rPr>
                <w:sz w:val="18"/>
                <w:szCs w:val="18"/>
              </w:rPr>
              <w:t>(</w:t>
            </w:r>
            <w:r w:rsidRPr="00662906">
              <w:rPr>
                <w:sz w:val="18"/>
                <w:szCs w:val="18"/>
              </w:rPr>
              <w:t>SAPP</w:t>
            </w:r>
            <w:r w:rsidR="00F35296" w:rsidRPr="00662906">
              <w:rPr>
                <w:sz w:val="18"/>
                <w:szCs w:val="18"/>
              </w:rPr>
              <w:t>)</w:t>
            </w:r>
            <w:r w:rsidRPr="00662906">
              <w:rPr>
                <w:sz w:val="18"/>
                <w:szCs w:val="18"/>
              </w:rPr>
              <w:t xml:space="preserve"> and</w:t>
            </w:r>
            <w:r w:rsidR="00F35296" w:rsidRPr="00662906">
              <w:rPr>
                <w:sz w:val="18"/>
                <w:szCs w:val="18"/>
              </w:rPr>
              <w:t xml:space="preserve"> West African Power Pool</w:t>
            </w:r>
            <w:r w:rsidRPr="00662906">
              <w:rPr>
                <w:sz w:val="18"/>
                <w:szCs w:val="18"/>
              </w:rPr>
              <w:t xml:space="preserve"> </w:t>
            </w:r>
            <w:r w:rsidR="00F35296" w:rsidRPr="00662906">
              <w:rPr>
                <w:sz w:val="18"/>
                <w:szCs w:val="18"/>
              </w:rPr>
              <w:t>(</w:t>
            </w:r>
            <w:r w:rsidRPr="00662906">
              <w:rPr>
                <w:sz w:val="18"/>
                <w:szCs w:val="18"/>
              </w:rPr>
              <w:t>WAPP</w:t>
            </w:r>
            <w:r w:rsidR="00F35296" w:rsidRPr="00662906">
              <w:rPr>
                <w:sz w:val="18"/>
                <w:szCs w:val="18"/>
              </w:rPr>
              <w:t>)</w:t>
            </w:r>
            <w:r w:rsidRPr="00662906">
              <w:rPr>
                <w:sz w:val="18"/>
                <w:szCs w:val="18"/>
              </w:rPr>
              <w:t>, are promising, but full continental interconnection will only be realized post-2040, limiting immediate benefits from electricity trade</w:t>
            </w:r>
            <w:r w:rsidR="005D2CF0" w:rsidRPr="00662906">
              <w:rPr>
                <w:sz w:val="18"/>
                <w:szCs w:val="18"/>
              </w:rPr>
              <w:t xml:space="preserve"> (further details on power system integration are provided in section xxx)</w:t>
            </w:r>
            <w:r w:rsidRPr="00662906">
              <w:rPr>
                <w:sz w:val="18"/>
                <w:szCs w:val="18"/>
              </w:rPr>
              <w:t>. Rural electrification and access to reliable grid electricity remain major challenges</w:t>
            </w:r>
            <w:r w:rsidR="003D6732" w:rsidRPr="00662906">
              <w:rPr>
                <w:sz w:val="18"/>
                <w:szCs w:val="18"/>
              </w:rPr>
              <w:t>. According to the latest World Bank report released in 2024, regarding access to electricity, the number of people without access has increased for the first time in over a decade, with approximately 685 million people lacking electricity access in 2022</w:t>
            </w:r>
            <w:r w:rsidR="003D6732" w:rsidRPr="00662906">
              <w:rPr>
                <w:rStyle w:val="FootnoteReference"/>
                <w:sz w:val="18"/>
                <w:szCs w:val="18"/>
              </w:rPr>
              <w:footnoteReference w:id="16"/>
            </w:r>
            <w:r w:rsidR="003D6732" w:rsidRPr="00662906">
              <w:rPr>
                <w:sz w:val="18"/>
                <w:szCs w:val="18"/>
              </w:rPr>
              <w:t>.</w:t>
            </w:r>
          </w:p>
          <w:p w14:paraId="1FA30AE7" w14:textId="77777777" w:rsidR="0051797F" w:rsidRPr="00662906" w:rsidRDefault="0051797F" w:rsidP="002E08DF">
            <w:pPr>
              <w:rPr>
                <w:sz w:val="18"/>
                <w:szCs w:val="18"/>
              </w:rPr>
            </w:pPr>
            <w:r w:rsidRPr="00662906">
              <w:rPr>
                <w:sz w:val="18"/>
                <w:szCs w:val="18"/>
              </w:rPr>
              <w:lastRenderedPageBreak/>
              <w:t xml:space="preserve">Despite these hurdles, declining renewable energy costs and commitments to energy transition provide opportunities to scale renewable energy to </w:t>
            </w:r>
            <w:r w:rsidRPr="00662906">
              <w:rPr>
                <w:b/>
                <w:bCs/>
                <w:sz w:val="18"/>
                <w:szCs w:val="18"/>
              </w:rPr>
              <w:t>65% of the generation mix by 2040</w:t>
            </w:r>
            <w:r w:rsidRPr="00662906">
              <w:rPr>
                <w:sz w:val="18"/>
                <w:szCs w:val="18"/>
              </w:rPr>
              <w:t>, alongside sustained contributions from natural gas to ensure grid stability during the transition.</w:t>
            </w:r>
          </w:p>
        </w:tc>
      </w:tr>
      <w:tr w:rsidR="0051797F" w:rsidRPr="00662906" w14:paraId="7D4947E8"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2E0A6C1B" w14:textId="77777777" w:rsidR="0051797F" w:rsidRPr="00662906" w:rsidRDefault="0051797F" w:rsidP="002E08DF">
            <w:pPr>
              <w:jc w:val="center"/>
              <w:rPr>
                <w:rFonts w:eastAsia="Arial" w:cs="Arial"/>
                <w:b/>
                <w:bCs/>
                <w:color w:val="0D0D0D"/>
                <w:sz w:val="18"/>
                <w:szCs w:val="18"/>
              </w:rPr>
            </w:pPr>
            <w:r w:rsidRPr="00662906">
              <w:rPr>
                <w:b/>
                <w:bCs/>
                <w:sz w:val="18"/>
                <w:szCs w:val="18"/>
              </w:rPr>
              <w:lastRenderedPageBreak/>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60E20745" w14:textId="77777777" w:rsidR="0051797F" w:rsidRPr="00662906" w:rsidRDefault="0051797F" w:rsidP="002E08DF">
            <w:pPr>
              <w:rPr>
                <w:sz w:val="18"/>
                <w:szCs w:val="18"/>
              </w:rPr>
            </w:pPr>
            <w:r w:rsidRPr="00662906">
              <w:rPr>
                <w:sz w:val="18"/>
                <w:szCs w:val="18"/>
              </w:rPr>
              <w:t>The electricity sector faces numerous challenges:</w:t>
            </w:r>
          </w:p>
          <w:p w14:paraId="5A3DDC7F" w14:textId="036C3346" w:rsidR="0051797F" w:rsidRPr="00662906" w:rsidRDefault="56A8C415" w:rsidP="005C5546">
            <w:pPr>
              <w:numPr>
                <w:ilvl w:val="0"/>
                <w:numId w:val="46"/>
              </w:numPr>
              <w:tabs>
                <w:tab w:val="num" w:pos="720"/>
              </w:tabs>
              <w:rPr>
                <w:sz w:val="18"/>
                <w:szCs w:val="18"/>
              </w:rPr>
            </w:pPr>
            <w:r w:rsidRPr="00662906">
              <w:rPr>
                <w:b/>
                <w:bCs/>
                <w:sz w:val="18"/>
                <w:szCs w:val="18"/>
              </w:rPr>
              <w:t>Infrastructure Deficits</w:t>
            </w:r>
            <w:r w:rsidRPr="00662906">
              <w:rPr>
                <w:sz w:val="18"/>
                <w:szCs w:val="18"/>
              </w:rPr>
              <w:t>: Limited capacity and ag</w:t>
            </w:r>
            <w:r w:rsidR="00395A47" w:rsidRPr="00662906">
              <w:rPr>
                <w:sz w:val="18"/>
                <w:szCs w:val="18"/>
              </w:rPr>
              <w:t>e</w:t>
            </w:r>
            <w:r w:rsidRPr="00662906">
              <w:rPr>
                <w:sz w:val="18"/>
                <w:szCs w:val="18"/>
              </w:rPr>
              <w:t xml:space="preserve">ing </w:t>
            </w:r>
            <w:r w:rsidR="00395A47" w:rsidRPr="00662906">
              <w:rPr>
                <w:sz w:val="18"/>
                <w:szCs w:val="18"/>
              </w:rPr>
              <w:t xml:space="preserve">electricity supply </w:t>
            </w:r>
            <w:r w:rsidRPr="00662906">
              <w:rPr>
                <w:sz w:val="18"/>
                <w:szCs w:val="18"/>
              </w:rPr>
              <w:t>infrastructure constrain grid expansion, transmission, and distribution. Technical losses are compounded by inefficiencies in both systems and regulatory frameworks, leading to significant energy waste</w:t>
            </w:r>
            <w:r w:rsidR="00A93521" w:rsidRPr="00662906">
              <w:rPr>
                <w:sz w:val="18"/>
                <w:szCs w:val="18"/>
                <w:vertAlign w:val="superscript"/>
              </w:rPr>
              <w:footnoteReference w:id="17"/>
            </w:r>
            <w:r w:rsidR="1B62FE2B" w:rsidRPr="00662906">
              <w:rPr>
                <w:sz w:val="18"/>
                <w:szCs w:val="18"/>
              </w:rPr>
              <w:t xml:space="preserve">. </w:t>
            </w:r>
          </w:p>
          <w:p w14:paraId="1240ECB3" w14:textId="77777777" w:rsidR="0051797F" w:rsidRPr="00662906" w:rsidRDefault="0051797F" w:rsidP="005C5546">
            <w:pPr>
              <w:numPr>
                <w:ilvl w:val="0"/>
                <w:numId w:val="46"/>
              </w:numPr>
              <w:tabs>
                <w:tab w:val="num" w:pos="720"/>
              </w:tabs>
              <w:rPr>
                <w:sz w:val="18"/>
                <w:szCs w:val="18"/>
              </w:rPr>
            </w:pPr>
            <w:r w:rsidRPr="00662906">
              <w:rPr>
                <w:b/>
                <w:bCs/>
                <w:sz w:val="18"/>
                <w:szCs w:val="18"/>
              </w:rPr>
              <w:t>Financial Barriers</w:t>
            </w:r>
            <w:r w:rsidRPr="00662906">
              <w:rPr>
                <w:sz w:val="18"/>
                <w:szCs w:val="18"/>
              </w:rPr>
              <w:t>: High investment needs, combined with limited access to affordable financing, hinder large-scale renewable energy deployment. Macroeconomic instability, non-cost-reflective tariffs, and weak currency stability create perceived high investment risks.</w:t>
            </w:r>
          </w:p>
          <w:p w14:paraId="5FC54C78" w14:textId="77777777" w:rsidR="0051797F" w:rsidRPr="00662906" w:rsidRDefault="0051797F" w:rsidP="005C5546">
            <w:pPr>
              <w:numPr>
                <w:ilvl w:val="0"/>
                <w:numId w:val="46"/>
              </w:numPr>
              <w:tabs>
                <w:tab w:val="num" w:pos="720"/>
              </w:tabs>
              <w:rPr>
                <w:sz w:val="18"/>
                <w:szCs w:val="18"/>
              </w:rPr>
            </w:pPr>
            <w:r w:rsidRPr="00662906">
              <w:rPr>
                <w:b/>
                <w:bCs/>
                <w:sz w:val="18"/>
                <w:szCs w:val="18"/>
              </w:rPr>
              <w:t>Grid Stability and Resilience</w:t>
            </w:r>
            <w:r w:rsidRPr="00662906">
              <w:rPr>
                <w:sz w:val="18"/>
                <w:szCs w:val="18"/>
              </w:rPr>
              <w:t>: The lack of robust grids prevents the integration of intermittent renewable sources like wind and solar, limiting progress toward clean energy adoption.</w:t>
            </w:r>
          </w:p>
          <w:p w14:paraId="2F136F56" w14:textId="021D0F0D" w:rsidR="0051797F" w:rsidRPr="00662906" w:rsidRDefault="0051797F" w:rsidP="005C5546">
            <w:pPr>
              <w:numPr>
                <w:ilvl w:val="0"/>
                <w:numId w:val="46"/>
              </w:numPr>
              <w:tabs>
                <w:tab w:val="num" w:pos="720"/>
              </w:tabs>
              <w:rPr>
                <w:sz w:val="18"/>
                <w:szCs w:val="18"/>
              </w:rPr>
            </w:pPr>
            <w:r w:rsidRPr="00662906">
              <w:rPr>
                <w:b/>
                <w:bCs/>
                <w:sz w:val="18"/>
                <w:szCs w:val="18"/>
              </w:rPr>
              <w:t>Energy Resource Distribution and Interconnections</w:t>
            </w:r>
            <w:r w:rsidRPr="00662906">
              <w:rPr>
                <w:sz w:val="18"/>
                <w:szCs w:val="18"/>
              </w:rPr>
              <w:t xml:space="preserve">: Renewable energy resources are unevenly distributed, requiring substantial investments in transmission networks to connect resource </w:t>
            </w:r>
            <w:r w:rsidR="00527FBF" w:rsidRPr="00662906">
              <w:rPr>
                <w:sz w:val="18"/>
                <w:szCs w:val="18"/>
              </w:rPr>
              <w:t>centres</w:t>
            </w:r>
            <w:r w:rsidRPr="00662906">
              <w:rPr>
                <w:sz w:val="18"/>
                <w:szCs w:val="18"/>
              </w:rPr>
              <w:t xml:space="preserve"> with demand hubs and enable regional electricity trading.</w:t>
            </w:r>
          </w:p>
          <w:p w14:paraId="17A3049F" w14:textId="4F440499" w:rsidR="0051797F" w:rsidRPr="00662906" w:rsidRDefault="0051797F" w:rsidP="005C5546">
            <w:pPr>
              <w:numPr>
                <w:ilvl w:val="0"/>
                <w:numId w:val="46"/>
              </w:numPr>
              <w:tabs>
                <w:tab w:val="num" w:pos="720"/>
              </w:tabs>
              <w:rPr>
                <w:sz w:val="18"/>
                <w:szCs w:val="18"/>
              </w:rPr>
            </w:pPr>
            <w:r w:rsidRPr="00662906">
              <w:rPr>
                <w:b/>
                <w:bCs/>
                <w:sz w:val="18"/>
                <w:szCs w:val="18"/>
              </w:rPr>
              <w:t>Low Demand from Anchor Sectors</w:t>
            </w:r>
            <w:r w:rsidRPr="00662906">
              <w:rPr>
                <w:sz w:val="18"/>
                <w:szCs w:val="18"/>
              </w:rPr>
              <w:t xml:space="preserve">: Industrial and transport sectors underutilize electricity due to </w:t>
            </w:r>
            <w:r w:rsidR="00395A47" w:rsidRPr="00662906">
              <w:rPr>
                <w:sz w:val="18"/>
                <w:szCs w:val="18"/>
              </w:rPr>
              <w:t xml:space="preserve">low industrialization, </w:t>
            </w:r>
            <w:r w:rsidRPr="00662906">
              <w:rPr>
                <w:sz w:val="18"/>
                <w:szCs w:val="18"/>
              </w:rPr>
              <w:t>limited adoption of electrified processes and technologies,</w:t>
            </w:r>
            <w:r w:rsidR="00410829" w:rsidRPr="00662906">
              <w:rPr>
                <w:sz w:val="18"/>
                <w:szCs w:val="18"/>
              </w:rPr>
              <w:t xml:space="preserve"> low access to electricity</w:t>
            </w:r>
            <w:r w:rsidRPr="00662906">
              <w:rPr>
                <w:sz w:val="18"/>
                <w:szCs w:val="18"/>
              </w:rPr>
              <w:t xml:space="preserve"> reducing demand predictability and utility revenue.</w:t>
            </w:r>
          </w:p>
          <w:p w14:paraId="63F4FB16" w14:textId="77777777" w:rsidR="0051797F" w:rsidRPr="00662906" w:rsidRDefault="0051797F" w:rsidP="005C5546">
            <w:pPr>
              <w:numPr>
                <w:ilvl w:val="0"/>
                <w:numId w:val="46"/>
              </w:numPr>
              <w:tabs>
                <w:tab w:val="num" w:pos="720"/>
              </w:tabs>
              <w:rPr>
                <w:sz w:val="18"/>
                <w:szCs w:val="18"/>
              </w:rPr>
            </w:pPr>
            <w:r w:rsidRPr="00662906">
              <w:rPr>
                <w:b/>
                <w:bCs/>
                <w:sz w:val="18"/>
                <w:szCs w:val="18"/>
              </w:rPr>
              <w:t>Market and Utility Constraints</w:t>
            </w:r>
            <w:r w:rsidRPr="00662906">
              <w:rPr>
                <w:sz w:val="18"/>
                <w:szCs w:val="18"/>
              </w:rPr>
              <w:t>: Many African utilities struggle financially, with only one in three capable of covering operational and debt costs. This limits their ability to invest in grid expansion and renewable energy projects.</w:t>
            </w:r>
          </w:p>
          <w:p w14:paraId="48516517" w14:textId="77777777" w:rsidR="0051797F" w:rsidRPr="00662906" w:rsidRDefault="0051797F" w:rsidP="005C5546">
            <w:pPr>
              <w:numPr>
                <w:ilvl w:val="0"/>
                <w:numId w:val="46"/>
              </w:numPr>
              <w:tabs>
                <w:tab w:val="num" w:pos="720"/>
              </w:tabs>
              <w:rPr>
                <w:sz w:val="18"/>
                <w:szCs w:val="18"/>
              </w:rPr>
            </w:pPr>
            <w:r w:rsidRPr="00662906">
              <w:rPr>
                <w:b/>
                <w:bCs/>
                <w:sz w:val="18"/>
                <w:szCs w:val="18"/>
              </w:rPr>
              <w:t>Decentralized Energy Solutions</w:t>
            </w:r>
            <w:r w:rsidRPr="00662906">
              <w:rPr>
                <w:sz w:val="18"/>
                <w:szCs w:val="18"/>
              </w:rPr>
              <w:t>: Mini-grids and off-grid systems are critical for achieving universal access but face regulatory and financing hurdles, slowing their deployment and impact.</w:t>
            </w:r>
          </w:p>
          <w:p w14:paraId="75A004FC" w14:textId="77777777" w:rsidR="0051797F" w:rsidRPr="00662906" w:rsidRDefault="0051797F" w:rsidP="005C5546">
            <w:pPr>
              <w:numPr>
                <w:ilvl w:val="0"/>
                <w:numId w:val="46"/>
              </w:numPr>
              <w:tabs>
                <w:tab w:val="num" w:pos="720"/>
              </w:tabs>
              <w:rPr>
                <w:sz w:val="18"/>
                <w:szCs w:val="18"/>
              </w:rPr>
            </w:pPr>
            <w:r w:rsidRPr="00662906">
              <w:rPr>
                <w:b/>
                <w:bCs/>
                <w:sz w:val="18"/>
                <w:szCs w:val="18"/>
              </w:rPr>
              <w:t>Policy and Regulatory Gaps</w:t>
            </w:r>
            <w:r w:rsidRPr="00662906">
              <w:rPr>
                <w:sz w:val="18"/>
                <w:szCs w:val="18"/>
              </w:rPr>
              <w:t>: Weak regulatory frameworks and fragmented policies hinder investment, project development, and cross-border collaboration. Private sector participation, through PPP and IPP frameworks, remains underdeveloped, limiting resource mobilization.</w:t>
            </w:r>
          </w:p>
          <w:p w14:paraId="16EC2B64" w14:textId="77777777" w:rsidR="0051797F" w:rsidRPr="00662906" w:rsidRDefault="0051797F" w:rsidP="005C5546">
            <w:pPr>
              <w:numPr>
                <w:ilvl w:val="0"/>
                <w:numId w:val="46"/>
              </w:numPr>
              <w:rPr>
                <w:sz w:val="18"/>
                <w:szCs w:val="18"/>
              </w:rPr>
            </w:pPr>
            <w:r w:rsidRPr="00662906">
              <w:rPr>
                <w:b/>
                <w:bCs/>
                <w:sz w:val="18"/>
                <w:szCs w:val="18"/>
              </w:rPr>
              <w:t>Social and Economic Disparities</w:t>
            </w:r>
            <w:r w:rsidRPr="00662906">
              <w:rPr>
                <w:sz w:val="18"/>
                <w:szCs w:val="18"/>
              </w:rPr>
              <w:t>: Expanding electricity access while maintaining affordability presents a significant challenge for utilities, which must balance connecting low-income households with maintaining financial sustainability.</w:t>
            </w:r>
          </w:p>
        </w:tc>
      </w:tr>
      <w:tr w:rsidR="0051797F" w:rsidRPr="00662906" w14:paraId="5D503BF6"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7F589267" w14:textId="77777777" w:rsidR="0051797F" w:rsidRPr="00662906" w:rsidRDefault="0051797F"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03F574D4" w14:textId="68F7A47F" w:rsidR="0051797F" w:rsidRPr="00662906" w:rsidRDefault="0051797F" w:rsidP="002E08DF">
            <w:pPr>
              <w:rPr>
                <w:sz w:val="18"/>
                <w:szCs w:val="18"/>
              </w:rPr>
            </w:pPr>
            <w:r w:rsidRPr="00662906">
              <w:rPr>
                <w:sz w:val="18"/>
                <w:szCs w:val="18"/>
              </w:rPr>
              <w:t xml:space="preserve">A number of socio-economic impacts are </w:t>
            </w:r>
            <w:r w:rsidR="007D4C1D" w:rsidRPr="00662906">
              <w:rPr>
                <w:sz w:val="18"/>
                <w:szCs w:val="18"/>
              </w:rPr>
              <w:t>foreseen</w:t>
            </w:r>
            <w:r w:rsidRPr="00662906">
              <w:rPr>
                <w:sz w:val="18"/>
                <w:szCs w:val="18"/>
              </w:rPr>
              <w:t xml:space="preserve"> with deployment of energy transition in the electricity sector namely:</w:t>
            </w:r>
          </w:p>
          <w:p w14:paraId="7A8FA2C8" w14:textId="77777777" w:rsidR="0051797F" w:rsidRPr="00662906" w:rsidRDefault="0051797F" w:rsidP="005C5546">
            <w:pPr>
              <w:pStyle w:val="ListParagraph"/>
              <w:numPr>
                <w:ilvl w:val="0"/>
                <w:numId w:val="47"/>
              </w:numPr>
              <w:rPr>
                <w:sz w:val="18"/>
                <w:szCs w:val="18"/>
              </w:rPr>
            </w:pPr>
            <w:r w:rsidRPr="00662906">
              <w:rPr>
                <w:sz w:val="18"/>
                <w:szCs w:val="18"/>
              </w:rPr>
              <w:t>Reliable, secure electricity supply based on deployment of sustainable sources such as RE</w:t>
            </w:r>
          </w:p>
          <w:p w14:paraId="7364D494" w14:textId="246EABF7" w:rsidR="0051797F" w:rsidRPr="00662906" w:rsidRDefault="0051797F" w:rsidP="005C5546">
            <w:pPr>
              <w:pStyle w:val="ListParagraph"/>
              <w:numPr>
                <w:ilvl w:val="0"/>
                <w:numId w:val="47"/>
              </w:numPr>
              <w:rPr>
                <w:sz w:val="18"/>
                <w:szCs w:val="18"/>
              </w:rPr>
            </w:pPr>
            <w:r w:rsidRPr="00662906">
              <w:rPr>
                <w:sz w:val="18"/>
                <w:szCs w:val="18"/>
              </w:rPr>
              <w:t>GHG emissions reduced displacing fossil fuels initially with less polluting natural gas and RE sources.</w:t>
            </w:r>
          </w:p>
          <w:p w14:paraId="7E3C30C4" w14:textId="08B3EEC5" w:rsidR="0051797F" w:rsidRPr="00662906" w:rsidRDefault="007D4C1D" w:rsidP="005C5546">
            <w:pPr>
              <w:pStyle w:val="ListParagraph"/>
              <w:numPr>
                <w:ilvl w:val="0"/>
                <w:numId w:val="47"/>
              </w:numPr>
              <w:rPr>
                <w:sz w:val="18"/>
                <w:szCs w:val="18"/>
              </w:rPr>
            </w:pPr>
            <w:r w:rsidRPr="00662906">
              <w:rPr>
                <w:sz w:val="18"/>
                <w:szCs w:val="18"/>
              </w:rPr>
              <w:t>Other impacts from</w:t>
            </w:r>
            <w:r w:rsidR="0051797F" w:rsidRPr="00662906">
              <w:rPr>
                <w:sz w:val="18"/>
                <w:szCs w:val="18"/>
              </w:rPr>
              <w:t xml:space="preserve"> using RE to generate hydrogen that is eventually used in other sectors such as industry and transport</w:t>
            </w:r>
            <w:r w:rsidRPr="00662906">
              <w:rPr>
                <w:sz w:val="18"/>
                <w:szCs w:val="18"/>
              </w:rPr>
              <w:t xml:space="preserve"> will be realized</w:t>
            </w:r>
            <w:r w:rsidR="0051797F" w:rsidRPr="00662906">
              <w:rPr>
                <w:sz w:val="18"/>
                <w:szCs w:val="18"/>
              </w:rPr>
              <w:t xml:space="preserve"> </w:t>
            </w:r>
          </w:p>
          <w:p w14:paraId="6627CAE8" w14:textId="275E7EC3" w:rsidR="0051797F" w:rsidRPr="00662906" w:rsidRDefault="0051797F" w:rsidP="005C5546">
            <w:pPr>
              <w:pStyle w:val="ListParagraph"/>
              <w:numPr>
                <w:ilvl w:val="0"/>
                <w:numId w:val="47"/>
              </w:numPr>
              <w:rPr>
                <w:sz w:val="18"/>
                <w:szCs w:val="18"/>
              </w:rPr>
            </w:pPr>
            <w:r w:rsidRPr="00662906">
              <w:rPr>
                <w:sz w:val="18"/>
                <w:szCs w:val="18"/>
              </w:rPr>
              <w:t xml:space="preserve">Social, economic, and environmental development co-benefits notably job creation, </w:t>
            </w:r>
            <w:r w:rsidR="00F35296" w:rsidRPr="00662906">
              <w:rPr>
                <w:sz w:val="18"/>
                <w:szCs w:val="18"/>
              </w:rPr>
              <w:t>Gross Domestic Product (</w:t>
            </w:r>
            <w:r w:rsidRPr="00662906">
              <w:rPr>
                <w:sz w:val="18"/>
                <w:szCs w:val="18"/>
              </w:rPr>
              <w:t>GDP</w:t>
            </w:r>
            <w:r w:rsidR="00F35296" w:rsidRPr="00662906">
              <w:rPr>
                <w:sz w:val="18"/>
                <w:szCs w:val="18"/>
              </w:rPr>
              <w:t>)</w:t>
            </w:r>
            <w:r w:rsidRPr="00662906">
              <w:rPr>
                <w:sz w:val="18"/>
                <w:szCs w:val="18"/>
              </w:rPr>
              <w:t xml:space="preserve"> and economic growth and improved air and water quality respectively.</w:t>
            </w:r>
          </w:p>
          <w:p w14:paraId="1FA0224A" w14:textId="11C2A405" w:rsidR="0051797F" w:rsidRPr="00662906" w:rsidRDefault="56A8C415" w:rsidP="00BC0340">
            <w:pPr>
              <w:pStyle w:val="ListParagraph"/>
              <w:ind w:left="382"/>
              <w:rPr>
                <w:sz w:val="18"/>
                <w:szCs w:val="18"/>
              </w:rPr>
            </w:pPr>
            <w:r w:rsidRPr="00662906">
              <w:rPr>
                <w:sz w:val="18"/>
                <w:szCs w:val="18"/>
              </w:rPr>
              <w:t xml:space="preserve">More Jobs are created by deploying RE compared to conventional sources. </w:t>
            </w:r>
            <w:r w:rsidR="00527FBF" w:rsidRPr="00662906">
              <w:rPr>
                <w:sz w:val="18"/>
                <w:szCs w:val="18"/>
              </w:rPr>
              <w:t>However,</w:t>
            </w:r>
            <w:r w:rsidRPr="00662906">
              <w:rPr>
                <w:sz w:val="18"/>
                <w:szCs w:val="18"/>
              </w:rPr>
              <w:t xml:space="preserve"> job losses and sunk assets/stranded assets</w:t>
            </w:r>
            <w:r w:rsidR="7148EE17" w:rsidRPr="00662906">
              <w:rPr>
                <w:sz w:val="18"/>
                <w:szCs w:val="18"/>
              </w:rPr>
              <w:t xml:space="preserve"> can also occur when dislodging from fossil entrenched electricity systems.</w:t>
            </w:r>
          </w:p>
        </w:tc>
      </w:tr>
      <w:tr w:rsidR="0051797F" w:rsidRPr="00662906" w14:paraId="030553BC"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A19265B" w14:textId="77777777" w:rsidR="0051797F" w:rsidRPr="00662906" w:rsidRDefault="0051797F" w:rsidP="002E08DF">
            <w:pPr>
              <w:jc w:val="center"/>
              <w:rPr>
                <w:rFonts w:eastAsia="Arial" w:cs="Arial"/>
                <w:b/>
                <w:bCs/>
                <w:color w:val="0D0D0D"/>
                <w:sz w:val="18"/>
                <w:szCs w:val="18"/>
              </w:rPr>
            </w:pPr>
            <w:r w:rsidRPr="00662906">
              <w:rPr>
                <w:b/>
                <w:bCs/>
                <w:sz w:val="18"/>
                <w:szCs w:val="18"/>
              </w:rPr>
              <w:lastRenderedPageBreak/>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61E150AA" w14:textId="1AE0FF43" w:rsidR="0051797F" w:rsidRPr="00662906" w:rsidRDefault="56A8C415" w:rsidP="002E08DF">
            <w:pPr>
              <w:rPr>
                <w:sz w:val="18"/>
                <w:szCs w:val="18"/>
              </w:rPr>
            </w:pPr>
            <w:r w:rsidRPr="00662906">
              <w:rPr>
                <w:sz w:val="18"/>
                <w:szCs w:val="18"/>
              </w:rPr>
              <w:t xml:space="preserve">Declining costs of RE </w:t>
            </w:r>
            <w:r w:rsidR="00EC4AB3" w:rsidRPr="00662906">
              <w:rPr>
                <w:sz w:val="18"/>
                <w:szCs w:val="18"/>
              </w:rPr>
              <w:t>technologies mainly</w:t>
            </w:r>
            <w:r w:rsidR="429A4C8E" w:rsidRPr="00662906">
              <w:rPr>
                <w:sz w:val="18"/>
                <w:szCs w:val="18"/>
              </w:rPr>
              <w:t xml:space="preserve"> </w:t>
            </w:r>
            <w:r w:rsidR="00527FBF" w:rsidRPr="00662906">
              <w:rPr>
                <w:sz w:val="18"/>
                <w:szCs w:val="18"/>
              </w:rPr>
              <w:t>for solar</w:t>
            </w:r>
            <w:r w:rsidRPr="00662906">
              <w:rPr>
                <w:sz w:val="18"/>
                <w:szCs w:val="18"/>
              </w:rPr>
              <w:t xml:space="preserve"> </w:t>
            </w:r>
            <w:r w:rsidR="00F35296" w:rsidRPr="00662906">
              <w:rPr>
                <w:sz w:val="18"/>
                <w:szCs w:val="18"/>
              </w:rPr>
              <w:t>Photovoltaic (</w:t>
            </w:r>
            <w:r w:rsidRPr="00662906">
              <w:rPr>
                <w:sz w:val="18"/>
                <w:szCs w:val="18"/>
              </w:rPr>
              <w:t>PV</w:t>
            </w:r>
            <w:r w:rsidR="00F35296" w:rsidRPr="00662906">
              <w:rPr>
                <w:sz w:val="18"/>
                <w:szCs w:val="18"/>
              </w:rPr>
              <w:t>)</w:t>
            </w:r>
            <w:r w:rsidRPr="00662906">
              <w:rPr>
                <w:sz w:val="18"/>
                <w:szCs w:val="18"/>
              </w:rPr>
              <w:t xml:space="preserve"> and wind power create an opportunity to accelerate RE deployment. </w:t>
            </w:r>
            <w:r w:rsidR="007D4C1D" w:rsidRPr="00662906">
              <w:rPr>
                <w:sz w:val="18"/>
                <w:szCs w:val="18"/>
              </w:rPr>
              <w:t>Between 2010 and 2023 there was a 90% decrease in</w:t>
            </w:r>
            <w:r w:rsidR="00F35296" w:rsidRPr="00662906">
              <w:rPr>
                <w:sz w:val="18"/>
                <w:szCs w:val="18"/>
              </w:rPr>
              <w:t xml:space="preserve"> Levelized cost of electricity</w:t>
            </w:r>
            <w:r w:rsidR="007D4C1D" w:rsidRPr="00662906">
              <w:rPr>
                <w:sz w:val="18"/>
                <w:szCs w:val="18"/>
              </w:rPr>
              <w:t xml:space="preserve"> </w:t>
            </w:r>
            <w:r w:rsidR="00F35296" w:rsidRPr="00662906">
              <w:rPr>
                <w:sz w:val="18"/>
                <w:szCs w:val="18"/>
              </w:rPr>
              <w:t>(</w:t>
            </w:r>
            <w:r w:rsidR="007D4C1D" w:rsidRPr="00662906">
              <w:rPr>
                <w:sz w:val="18"/>
                <w:szCs w:val="18"/>
              </w:rPr>
              <w:t>LCOE</w:t>
            </w:r>
            <w:r w:rsidR="00F35296" w:rsidRPr="00662906">
              <w:rPr>
                <w:sz w:val="18"/>
                <w:szCs w:val="18"/>
              </w:rPr>
              <w:t>)</w:t>
            </w:r>
            <w:r w:rsidR="007D4C1D" w:rsidRPr="00662906">
              <w:rPr>
                <w:sz w:val="18"/>
                <w:szCs w:val="18"/>
              </w:rPr>
              <w:t xml:space="preserve"> for solar PV and a 63% decrease in LCOE for wind</w:t>
            </w:r>
            <w:r w:rsidR="007D4C1D" w:rsidRPr="00662906">
              <w:rPr>
                <w:sz w:val="18"/>
                <w:szCs w:val="18"/>
              </w:rPr>
              <w:footnoteReference w:id="18"/>
            </w:r>
            <w:r w:rsidR="007D4C1D" w:rsidRPr="00662906">
              <w:rPr>
                <w:sz w:val="18"/>
                <w:szCs w:val="18"/>
              </w:rPr>
              <w:t xml:space="preserve">. </w:t>
            </w:r>
            <w:r w:rsidRPr="00662906">
              <w:rPr>
                <w:sz w:val="18"/>
                <w:szCs w:val="18"/>
              </w:rPr>
              <w:t>RE supply sources are more reliable –considering variability of oil prices and offset of costs of fuels.</w:t>
            </w:r>
          </w:p>
          <w:p w14:paraId="1BE08145" w14:textId="77777777" w:rsidR="0051797F" w:rsidRPr="00662906" w:rsidRDefault="0051797F" w:rsidP="002E08DF">
            <w:pPr>
              <w:rPr>
                <w:sz w:val="18"/>
                <w:szCs w:val="18"/>
              </w:rPr>
            </w:pPr>
            <w:r w:rsidRPr="00662906">
              <w:rPr>
                <w:sz w:val="18"/>
                <w:szCs w:val="18"/>
              </w:rPr>
              <w:t xml:space="preserve">Innovative grid scale and off-grid scale battery technology is emerging and can assist as direct electricity supply sources and for enabling to solve the RE intermittency. </w:t>
            </w:r>
          </w:p>
          <w:p w14:paraId="0ECC030B" w14:textId="71A1E27D" w:rsidR="0051797F" w:rsidRPr="00662906" w:rsidRDefault="0051797F" w:rsidP="002E08DF">
            <w:pPr>
              <w:rPr>
                <w:sz w:val="18"/>
                <w:szCs w:val="18"/>
              </w:rPr>
            </w:pPr>
            <w:r w:rsidRPr="00662906">
              <w:rPr>
                <w:sz w:val="18"/>
                <w:szCs w:val="18"/>
              </w:rPr>
              <w:t xml:space="preserve">Quick wins have already been mapped that can address T&amp;D </w:t>
            </w:r>
            <w:r w:rsidR="006A4BD1" w:rsidRPr="00662906">
              <w:rPr>
                <w:sz w:val="18"/>
                <w:szCs w:val="18"/>
              </w:rPr>
              <w:t>l</w:t>
            </w:r>
            <w:r w:rsidRPr="00662906">
              <w:rPr>
                <w:sz w:val="18"/>
                <w:szCs w:val="18"/>
              </w:rPr>
              <w:t>oss mainly at national level in form of densification of network, Smart grids in form of grid digitalization and advanced metering; Reactive power compensation systems and deployment of efficient grid systems such as efficient transformers.</w:t>
            </w:r>
          </w:p>
          <w:p w14:paraId="439D81B5" w14:textId="367E06D2" w:rsidR="0051797F" w:rsidRPr="00662906" w:rsidRDefault="56A8C415" w:rsidP="002E08DF">
            <w:pPr>
              <w:rPr>
                <w:sz w:val="18"/>
                <w:szCs w:val="18"/>
              </w:rPr>
            </w:pPr>
            <w:r w:rsidRPr="00662906">
              <w:rPr>
                <w:sz w:val="18"/>
                <w:szCs w:val="18"/>
              </w:rPr>
              <w:t>Distributed Generation in form of Mini</w:t>
            </w:r>
            <w:r w:rsidR="00AE7D1F" w:rsidRPr="00662906">
              <w:rPr>
                <w:sz w:val="18"/>
                <w:szCs w:val="18"/>
              </w:rPr>
              <w:t xml:space="preserve"> </w:t>
            </w:r>
            <w:r w:rsidRPr="00662906">
              <w:rPr>
                <w:sz w:val="18"/>
                <w:szCs w:val="18"/>
              </w:rPr>
              <w:t>grids and off grid systems e.g. as SSDG: are expected to support the goal for universal access by 2030</w:t>
            </w:r>
          </w:p>
          <w:p w14:paraId="0C85C5E3" w14:textId="77777777" w:rsidR="0051797F" w:rsidRPr="00662906" w:rsidRDefault="0051797F" w:rsidP="002E08DF">
            <w:pPr>
              <w:rPr>
                <w:rFonts w:eastAsia="Arial" w:cs="Arial"/>
                <w:color w:val="0D0D0D"/>
                <w:sz w:val="18"/>
                <w:szCs w:val="18"/>
              </w:rPr>
            </w:pPr>
            <w:r w:rsidRPr="00662906">
              <w:rPr>
                <w:sz w:val="18"/>
                <w:szCs w:val="18"/>
              </w:rPr>
              <w:t>Market reforms can accelerate investments in RE generation and networks through regulatory framework and creating space for aggregators, IPP/PPP and mergers to achieve economies of scale.</w:t>
            </w:r>
          </w:p>
        </w:tc>
      </w:tr>
    </w:tbl>
    <w:p w14:paraId="5618C093" w14:textId="77777777" w:rsidR="00A146E5" w:rsidRPr="00662906" w:rsidRDefault="00A146E5" w:rsidP="00A146E5">
      <w:pPr>
        <w:rPr>
          <w:rFonts w:eastAsia="Arial" w:cs="Arial"/>
          <w:i/>
          <w:iCs/>
          <w:color w:val="B4A169"/>
          <w:sz w:val="16"/>
          <w:szCs w:val="16"/>
        </w:rPr>
      </w:pPr>
      <w:bookmarkStart w:id="175" w:name="_Toc178937247"/>
      <w:bookmarkStart w:id="176" w:name="_Toc178937361"/>
      <w:bookmarkStart w:id="177" w:name="_Toc178937471"/>
      <w:bookmarkStart w:id="178" w:name="_Toc178937586"/>
      <w:bookmarkStart w:id="179" w:name="_Toc178937695"/>
      <w:bookmarkStart w:id="180" w:name="_Toc178937805"/>
      <w:bookmarkStart w:id="181" w:name="_Toc178937913"/>
      <w:bookmarkStart w:id="182" w:name="_Toc178938021"/>
      <w:bookmarkStart w:id="183" w:name="_Toc178937248"/>
      <w:bookmarkStart w:id="184" w:name="_Toc178937362"/>
      <w:bookmarkStart w:id="185" w:name="_Toc178937472"/>
      <w:bookmarkStart w:id="186" w:name="_Toc178937587"/>
      <w:bookmarkStart w:id="187" w:name="_Toc178937696"/>
      <w:bookmarkStart w:id="188" w:name="_Toc178937806"/>
      <w:bookmarkStart w:id="189" w:name="_Toc178937914"/>
      <w:bookmarkStart w:id="190" w:name="_Toc178938022"/>
      <w:bookmarkStart w:id="191" w:name="_Toc176787187"/>
      <w:bookmarkStart w:id="192" w:name="_Toc178937473"/>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4BD42482" w14:textId="6580FCC1" w:rsidR="0051797F" w:rsidRPr="00662906" w:rsidRDefault="0051797F" w:rsidP="0051797F">
      <w:pPr>
        <w:pStyle w:val="Heading3"/>
      </w:pPr>
      <w:bookmarkStart w:id="193" w:name="_Toc197433815"/>
      <w:r w:rsidRPr="00662906">
        <w:t>Transportation</w:t>
      </w:r>
      <w:bookmarkEnd w:id="191"/>
      <w:bookmarkEnd w:id="192"/>
      <w:bookmarkEnd w:id="193"/>
    </w:p>
    <w:p w14:paraId="547DA20D" w14:textId="5276C45B" w:rsidR="00332D42" w:rsidRPr="00662906" w:rsidRDefault="00332D42" w:rsidP="00332D42">
      <w:pPr>
        <w:pStyle w:val="Caption"/>
      </w:pPr>
      <w:bookmarkStart w:id="194" w:name="_Toc197433890"/>
      <w:r w:rsidRPr="00662906">
        <w:t xml:space="preserve">Table </w:t>
      </w:r>
      <w:r w:rsidRPr="00662906">
        <w:fldChar w:fldCharType="begin"/>
      </w:r>
      <w:r w:rsidRPr="00662906">
        <w:instrText>SEQ Table \* ARABIC</w:instrText>
      </w:r>
      <w:r w:rsidRPr="00662906">
        <w:fldChar w:fldCharType="separate"/>
      </w:r>
      <w:r w:rsidR="00610F61">
        <w:rPr>
          <w:noProof/>
        </w:rPr>
        <w:t>2</w:t>
      </w:r>
      <w:r w:rsidRPr="00662906">
        <w:fldChar w:fldCharType="end"/>
      </w:r>
      <w:r w:rsidR="00504943" w:rsidRPr="00662906">
        <w:t xml:space="preserve">: </w:t>
      </w:r>
      <w:r w:rsidRPr="00662906">
        <w:t>Summarized assessment of the transportation sector in the context of ET in Africa.</w:t>
      </w:r>
      <w:bookmarkEnd w:id="194"/>
    </w:p>
    <w:tbl>
      <w:tblPr>
        <w:tblStyle w:val="TableGrid"/>
        <w:tblW w:w="9078" w:type="dxa"/>
        <w:tblLayout w:type="fixed"/>
        <w:tblLook w:val="06A0" w:firstRow="1" w:lastRow="0" w:firstColumn="1" w:lastColumn="0" w:noHBand="1" w:noVBand="1"/>
      </w:tblPr>
      <w:tblGrid>
        <w:gridCol w:w="2253"/>
        <w:gridCol w:w="6825"/>
      </w:tblGrid>
      <w:tr w:rsidR="00332D42" w:rsidRPr="00662906" w14:paraId="3F8EAD4B"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4B2B37DC" w14:textId="77777777" w:rsidR="00332D42" w:rsidRPr="00662906" w:rsidRDefault="00332D42"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540ADB5F" w14:textId="77777777" w:rsidR="00332D42" w:rsidRPr="00662906" w:rsidRDefault="00332D42" w:rsidP="002E08DF">
            <w:pPr>
              <w:jc w:val="center"/>
              <w:rPr>
                <w:sz w:val="18"/>
                <w:szCs w:val="18"/>
              </w:rPr>
            </w:pPr>
            <w:r w:rsidRPr="00662906">
              <w:rPr>
                <w:rFonts w:eastAsia="Arial" w:cs="Arial"/>
                <w:b/>
                <w:bCs/>
                <w:color w:val="FFFFFF" w:themeColor="background2"/>
                <w:sz w:val="18"/>
                <w:szCs w:val="18"/>
              </w:rPr>
              <w:t>Overview</w:t>
            </w:r>
          </w:p>
        </w:tc>
      </w:tr>
      <w:tr w:rsidR="00332D42" w:rsidRPr="00662906" w14:paraId="63EBFBD9"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5F9AF1A8" w14:textId="77777777" w:rsidR="00332D42" w:rsidRPr="00662906" w:rsidRDefault="00332D42"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5635AAF2" w14:textId="185D9835" w:rsidR="00332D42" w:rsidRPr="00662906" w:rsidRDefault="36310B78" w:rsidP="002E08DF">
            <w:pPr>
              <w:rPr>
                <w:rFonts w:eastAsia="Arial" w:cs="Arial"/>
                <w:color w:val="0D0D0D"/>
                <w:sz w:val="18"/>
                <w:szCs w:val="18"/>
              </w:rPr>
            </w:pPr>
            <w:r w:rsidRPr="00662906">
              <w:rPr>
                <w:sz w:val="18"/>
                <w:szCs w:val="18"/>
              </w:rPr>
              <w:t>Africa’s transportation sector is heavily dependent on oil products, with diesel and petrol constituting 98.6% of energy use</w:t>
            </w:r>
            <w:r w:rsidR="1562C0E8" w:rsidRPr="00662906">
              <w:rPr>
                <w:sz w:val="18"/>
                <w:szCs w:val="18"/>
              </w:rPr>
              <w:t>. The growth rate in fuel demand between 2008 and 2018 was as high as 5.3%</w:t>
            </w:r>
            <w:r w:rsidR="02077036" w:rsidRPr="00662906">
              <w:rPr>
                <w:sz w:val="18"/>
                <w:szCs w:val="18"/>
              </w:rPr>
              <w:t xml:space="preserve">. Refined products used in the subsector are largely imported exposing the majority of the AU MS to price </w:t>
            </w:r>
            <w:r w:rsidR="1F8ACBC9" w:rsidRPr="00662906">
              <w:rPr>
                <w:sz w:val="18"/>
                <w:szCs w:val="18"/>
              </w:rPr>
              <w:t>volatility</w:t>
            </w:r>
            <w:r w:rsidRPr="00662906">
              <w:rPr>
                <w:sz w:val="18"/>
                <w:szCs w:val="18"/>
              </w:rPr>
              <w:t xml:space="preserve">. Initiatives like the African Continental Free Trade Area and </w:t>
            </w:r>
            <w:r w:rsidR="00F81CEC" w:rsidRPr="00662906">
              <w:rPr>
                <w:sz w:val="18"/>
                <w:szCs w:val="18"/>
              </w:rPr>
              <w:t>United Nations Environment Programme (</w:t>
            </w:r>
            <w:r w:rsidRPr="00662906">
              <w:rPr>
                <w:sz w:val="18"/>
                <w:szCs w:val="18"/>
              </w:rPr>
              <w:t>UNEP</w:t>
            </w:r>
            <w:r w:rsidR="00F81CEC" w:rsidRPr="00662906">
              <w:rPr>
                <w:sz w:val="18"/>
                <w:szCs w:val="18"/>
              </w:rPr>
              <w:t>)</w:t>
            </w:r>
            <w:r w:rsidRPr="00662906">
              <w:rPr>
                <w:sz w:val="18"/>
                <w:szCs w:val="18"/>
              </w:rPr>
              <w:t xml:space="preserve">-led clean vehicle imports are promoting </w:t>
            </w:r>
            <w:r w:rsidR="2FE6E98D" w:rsidRPr="00662906">
              <w:rPr>
                <w:sz w:val="18"/>
                <w:szCs w:val="18"/>
              </w:rPr>
              <w:t xml:space="preserve">some level of </w:t>
            </w:r>
            <w:r w:rsidRPr="00662906">
              <w:rPr>
                <w:sz w:val="18"/>
                <w:szCs w:val="18"/>
              </w:rPr>
              <w:t>sustainability. Railroads and maritime systems, though underutilized, hold potential</w:t>
            </w:r>
            <w:r w:rsidR="62982DD0" w:rsidRPr="00662906">
              <w:rPr>
                <w:sz w:val="18"/>
                <w:szCs w:val="18"/>
              </w:rPr>
              <w:t xml:space="preserve"> for energy transition measures</w:t>
            </w:r>
            <w:r w:rsidRPr="00662906">
              <w:rPr>
                <w:sz w:val="18"/>
                <w:szCs w:val="18"/>
              </w:rPr>
              <w:t>. Electricity accounts for a minimal 0.4% of transport energy, presenting a dual challenge and opportunity for clean energy integration. The air transport sector is rapidly growing but remains a minor player in global aviation biofuels. The transition to sustainable energy, particularly in road transport, is hindered by infrastructure gaps and policy deficiencies.</w:t>
            </w:r>
          </w:p>
        </w:tc>
      </w:tr>
      <w:tr w:rsidR="00332D42" w:rsidRPr="00662906" w14:paraId="5D73DE68"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F29B049" w14:textId="77777777" w:rsidR="00332D42" w:rsidRPr="00662906" w:rsidRDefault="00332D42" w:rsidP="002E08DF">
            <w:pPr>
              <w:jc w:val="center"/>
              <w:rPr>
                <w:rFonts w:eastAsia="Arial" w:cs="Arial"/>
                <w:b/>
                <w:bCs/>
                <w:color w:val="0D0D0D"/>
                <w:sz w:val="18"/>
                <w:szCs w:val="18"/>
              </w:rPr>
            </w:pPr>
            <w:r w:rsidRPr="00662906">
              <w:rPr>
                <w:b/>
                <w:bCs/>
                <w:sz w:val="18"/>
                <w:szCs w:val="18"/>
              </w:rPr>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4AC32035" w14:textId="77777777" w:rsidR="002C58BE" w:rsidRPr="00662906" w:rsidRDefault="36310B78" w:rsidP="002E08DF">
            <w:pPr>
              <w:rPr>
                <w:sz w:val="18"/>
                <w:szCs w:val="18"/>
              </w:rPr>
            </w:pPr>
            <w:r w:rsidRPr="00662906">
              <w:rPr>
                <w:sz w:val="18"/>
                <w:szCs w:val="18"/>
              </w:rPr>
              <w:t xml:space="preserve">Africa's transportation faces inadequate infrastructure, particularly in rural areas. Financial constraints hinder modernization efforts, while policy frameworks lack cohesion and integration with energy goals. Dependence on imported fossil fuels exposes </w:t>
            </w:r>
            <w:r w:rsidR="0E9520AA" w:rsidRPr="00662906">
              <w:rPr>
                <w:sz w:val="18"/>
                <w:szCs w:val="18"/>
              </w:rPr>
              <w:t xml:space="preserve">AU MS </w:t>
            </w:r>
            <w:r w:rsidRPr="00662906">
              <w:rPr>
                <w:sz w:val="18"/>
                <w:szCs w:val="18"/>
              </w:rPr>
              <w:t xml:space="preserve">economies to global price volatility. </w:t>
            </w:r>
            <w:r w:rsidR="067AA02B" w:rsidRPr="00662906">
              <w:rPr>
                <w:sz w:val="18"/>
                <w:szCs w:val="18"/>
              </w:rPr>
              <w:t xml:space="preserve">There is also high importation of pre-used vehicles into the continent that are no longer considered efficient </w:t>
            </w:r>
            <w:r w:rsidR="46CCC267" w:rsidRPr="00662906">
              <w:rPr>
                <w:sz w:val="18"/>
                <w:szCs w:val="18"/>
              </w:rPr>
              <w:t xml:space="preserve">in the countries of origin and are thus a source of high fuel demand and related pollution. </w:t>
            </w:r>
            <w:r w:rsidRPr="00662906">
              <w:rPr>
                <w:sz w:val="18"/>
                <w:szCs w:val="18"/>
              </w:rPr>
              <w:t xml:space="preserve">Urban traffic congestion and inefficiencies in public transport exacerbate pollution and energy demands. </w:t>
            </w:r>
          </w:p>
          <w:p w14:paraId="2D5CD569" w14:textId="298CE80B" w:rsidR="00332D42" w:rsidRPr="00662906" w:rsidRDefault="23EF1B05" w:rsidP="002E08DF">
            <w:pPr>
              <w:rPr>
                <w:sz w:val="18"/>
                <w:szCs w:val="18"/>
              </w:rPr>
            </w:pPr>
            <w:r w:rsidRPr="00662906">
              <w:rPr>
                <w:sz w:val="18"/>
                <w:szCs w:val="18"/>
              </w:rPr>
              <w:t>A</w:t>
            </w:r>
            <w:r w:rsidR="36310B78" w:rsidRPr="00662906">
              <w:rPr>
                <w:sz w:val="18"/>
                <w:szCs w:val="18"/>
              </w:rPr>
              <w:t xml:space="preserve">doption of </w:t>
            </w:r>
            <w:r w:rsidR="002C58BE" w:rsidRPr="00662906">
              <w:rPr>
                <w:sz w:val="18"/>
                <w:szCs w:val="18"/>
              </w:rPr>
              <w:t>electric vehicles (</w:t>
            </w:r>
            <w:r w:rsidR="36310B78" w:rsidRPr="00662906">
              <w:rPr>
                <w:sz w:val="18"/>
                <w:szCs w:val="18"/>
              </w:rPr>
              <w:t>EV</w:t>
            </w:r>
            <w:r w:rsidR="002C58BE" w:rsidRPr="00662906">
              <w:rPr>
                <w:sz w:val="18"/>
                <w:szCs w:val="18"/>
              </w:rPr>
              <w:t>)</w:t>
            </w:r>
            <w:r w:rsidR="36310B78" w:rsidRPr="00662906">
              <w:rPr>
                <w:sz w:val="18"/>
                <w:szCs w:val="18"/>
              </w:rPr>
              <w:t xml:space="preserve">s is </w:t>
            </w:r>
            <w:r w:rsidR="0DE7B1F9" w:rsidRPr="00662906">
              <w:rPr>
                <w:sz w:val="18"/>
                <w:szCs w:val="18"/>
              </w:rPr>
              <w:t>currently constrained</w:t>
            </w:r>
            <w:r w:rsidR="36310B78" w:rsidRPr="00662906">
              <w:rPr>
                <w:sz w:val="18"/>
                <w:szCs w:val="18"/>
              </w:rPr>
              <w:t xml:space="preserve"> by high </w:t>
            </w:r>
            <w:r w:rsidR="002C58BE" w:rsidRPr="00662906">
              <w:rPr>
                <w:sz w:val="18"/>
                <w:szCs w:val="18"/>
              </w:rPr>
              <w:t xml:space="preserve">fleet </w:t>
            </w:r>
            <w:r w:rsidR="36310B78" w:rsidRPr="00662906">
              <w:rPr>
                <w:sz w:val="18"/>
                <w:szCs w:val="18"/>
              </w:rPr>
              <w:t>costs, lack of infrastructure, and inadequate electricity supply. The sector’s workforce is underprepared for technological transitions. Environmental degradation and poor institutional frameworks further obstruct sustainability efforts. Transport inefficiencies increase the cost of goods, limiting competitiveness and access to markets.</w:t>
            </w:r>
          </w:p>
        </w:tc>
      </w:tr>
      <w:tr w:rsidR="00332D42" w:rsidRPr="00662906" w14:paraId="6A532C03"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41281DA3" w14:textId="77777777" w:rsidR="00332D42" w:rsidRPr="00662906" w:rsidRDefault="00332D42"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3B05D899" w14:textId="4A671CB0" w:rsidR="00332D42" w:rsidRPr="00662906" w:rsidRDefault="36310B78" w:rsidP="002E08DF">
            <w:pPr>
              <w:rPr>
                <w:rFonts w:eastAsia="Arial" w:cs="Arial"/>
                <w:color w:val="0D0D0D"/>
                <w:sz w:val="18"/>
                <w:szCs w:val="18"/>
              </w:rPr>
            </w:pPr>
            <w:r w:rsidRPr="00662906">
              <w:rPr>
                <w:sz w:val="18"/>
                <w:szCs w:val="18"/>
              </w:rPr>
              <w:t xml:space="preserve">Transportation inefficiencies restrict economic opportunities, particularly in rural areas, where poor infrastructure limits market access and perpetuates poverty cycles. Urban congestion elevates costs, reducing competitiveness. Public transport inadequacies disproportionately impact the urban poor, limiting mobility and access to </w:t>
            </w:r>
            <w:r w:rsidR="3F0A634F" w:rsidRPr="00662906">
              <w:rPr>
                <w:sz w:val="18"/>
                <w:szCs w:val="18"/>
              </w:rPr>
              <w:t xml:space="preserve">transport </w:t>
            </w:r>
            <w:r w:rsidRPr="00662906">
              <w:rPr>
                <w:sz w:val="18"/>
                <w:szCs w:val="18"/>
              </w:rPr>
              <w:t xml:space="preserve">services. Air pollution from outdated vehicles causes health issues, </w:t>
            </w:r>
            <w:r w:rsidRPr="00662906">
              <w:rPr>
                <w:sz w:val="18"/>
                <w:szCs w:val="18"/>
              </w:rPr>
              <w:lastRenderedPageBreak/>
              <w:t xml:space="preserve">straining healthcare systems. The informal transport sector provides livelihoods but lacks regulation and support, creating inefficiencies. Transitioning to cleaner energy </w:t>
            </w:r>
            <w:r w:rsidR="3D79E443" w:rsidRPr="00662906">
              <w:rPr>
                <w:sz w:val="18"/>
                <w:szCs w:val="18"/>
              </w:rPr>
              <w:t>may</w:t>
            </w:r>
            <w:r w:rsidRPr="00662906">
              <w:rPr>
                <w:sz w:val="18"/>
                <w:szCs w:val="18"/>
              </w:rPr>
              <w:t xml:space="preserve"> lead to job losses in traditional sectors but offers opportunities in EV and renewable energy industries. Effective urban planning and improved transport systems are crucial for sustainable economic growth and equitable access to resources.</w:t>
            </w:r>
          </w:p>
        </w:tc>
      </w:tr>
      <w:tr w:rsidR="00332D42" w:rsidRPr="00662906" w14:paraId="7328B431"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13CC6568" w14:textId="77777777" w:rsidR="00332D42" w:rsidRPr="00662906" w:rsidRDefault="00332D42" w:rsidP="002E08DF">
            <w:pPr>
              <w:jc w:val="center"/>
              <w:rPr>
                <w:rFonts w:eastAsia="Arial" w:cs="Arial"/>
                <w:b/>
                <w:bCs/>
                <w:color w:val="0D0D0D"/>
                <w:sz w:val="18"/>
                <w:szCs w:val="18"/>
              </w:rPr>
            </w:pPr>
            <w:r w:rsidRPr="00662906">
              <w:rPr>
                <w:b/>
                <w:bCs/>
                <w:sz w:val="18"/>
                <w:szCs w:val="18"/>
              </w:rPr>
              <w:lastRenderedPageBreak/>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235AF2FE" w14:textId="2CB3A209" w:rsidR="00332D42" w:rsidRPr="00662906" w:rsidRDefault="36310B78" w:rsidP="002E08DF">
            <w:pPr>
              <w:rPr>
                <w:rFonts w:eastAsia="Arial" w:cs="Arial"/>
                <w:color w:val="0D0D0D"/>
                <w:sz w:val="18"/>
                <w:szCs w:val="18"/>
              </w:rPr>
            </w:pPr>
            <w:r w:rsidRPr="00662906">
              <w:rPr>
                <w:sz w:val="18"/>
                <w:szCs w:val="18"/>
              </w:rPr>
              <w:t>Africa has missed opportunities in adopting low-emission transport</w:t>
            </w:r>
            <w:r w:rsidR="301188F2" w:rsidRPr="00662906">
              <w:rPr>
                <w:sz w:val="18"/>
                <w:szCs w:val="18"/>
              </w:rPr>
              <w:t xml:space="preserve"> policies and </w:t>
            </w:r>
            <w:r w:rsidRPr="00662906">
              <w:rPr>
                <w:sz w:val="18"/>
                <w:szCs w:val="18"/>
              </w:rPr>
              <w:t xml:space="preserve">technologies and leveraging its resources for energy-efficient systems. However, new prospects include developing </w:t>
            </w:r>
            <w:r w:rsidR="70743619" w:rsidRPr="00662906">
              <w:rPr>
                <w:sz w:val="18"/>
                <w:szCs w:val="18"/>
              </w:rPr>
              <w:t>N</w:t>
            </w:r>
            <w:r w:rsidRPr="00662906">
              <w:rPr>
                <w:sz w:val="18"/>
                <w:szCs w:val="18"/>
              </w:rPr>
              <w:t xml:space="preserve">EV markets, promoting green hydrogen for heavy-duty transport, and integrating </w:t>
            </w:r>
            <w:r w:rsidR="00527FBF" w:rsidRPr="00662906">
              <w:rPr>
                <w:sz w:val="18"/>
                <w:szCs w:val="18"/>
              </w:rPr>
              <w:t>mini grids</w:t>
            </w:r>
            <w:r w:rsidRPr="00662906">
              <w:rPr>
                <w:sz w:val="18"/>
                <w:szCs w:val="18"/>
              </w:rPr>
              <w:t xml:space="preserve"> for electrification in rural areas. Establishing local </w:t>
            </w:r>
            <w:r w:rsidR="08E9B8CD" w:rsidRPr="00662906">
              <w:rPr>
                <w:sz w:val="18"/>
                <w:szCs w:val="18"/>
              </w:rPr>
              <w:t>N</w:t>
            </w:r>
            <w:r w:rsidRPr="00662906">
              <w:rPr>
                <w:sz w:val="18"/>
                <w:szCs w:val="18"/>
              </w:rPr>
              <w:t>EV manufacturing and expanding battery innovation can stimulate job creation and reduce dependency on oil imports.</w:t>
            </w:r>
            <w:r w:rsidR="00C22060" w:rsidRPr="00662906">
              <w:rPr>
                <w:sz w:val="18"/>
                <w:szCs w:val="18"/>
              </w:rPr>
              <w:t xml:space="preserve"> </w:t>
            </w:r>
            <w:r w:rsidR="5BC63325" w:rsidRPr="00662906">
              <w:rPr>
                <w:sz w:val="18"/>
                <w:szCs w:val="18"/>
              </w:rPr>
              <w:t>T</w:t>
            </w:r>
            <w:r w:rsidR="00C22060" w:rsidRPr="00662906">
              <w:rPr>
                <w:sz w:val="18"/>
                <w:szCs w:val="18"/>
              </w:rPr>
              <w:t>his</w:t>
            </w:r>
            <w:r w:rsidRPr="00662906">
              <w:rPr>
                <w:sz w:val="18"/>
                <w:szCs w:val="18"/>
              </w:rPr>
              <w:t xml:space="preserve"> </w:t>
            </w:r>
            <w:r w:rsidR="5BC63325" w:rsidRPr="00662906">
              <w:rPr>
                <w:sz w:val="18"/>
                <w:szCs w:val="18"/>
              </w:rPr>
              <w:t xml:space="preserve">is particularly significant given the abundance of </w:t>
            </w:r>
            <w:r w:rsidR="5505435C" w:rsidRPr="00662906">
              <w:rPr>
                <w:sz w:val="18"/>
                <w:szCs w:val="18"/>
              </w:rPr>
              <w:t xml:space="preserve">green </w:t>
            </w:r>
            <w:r w:rsidR="08DEF86F" w:rsidRPr="00662906">
              <w:rPr>
                <w:sz w:val="18"/>
                <w:szCs w:val="18"/>
              </w:rPr>
              <w:t>minerals</w:t>
            </w:r>
            <w:r w:rsidR="5BC63325" w:rsidRPr="00662906">
              <w:rPr>
                <w:sz w:val="18"/>
                <w:szCs w:val="18"/>
              </w:rPr>
              <w:t xml:space="preserve"> </w:t>
            </w:r>
            <w:r w:rsidR="6F844C02" w:rsidRPr="00662906">
              <w:rPr>
                <w:sz w:val="18"/>
                <w:szCs w:val="18"/>
              </w:rPr>
              <w:t>which include</w:t>
            </w:r>
            <w:r w:rsidR="5BC63325" w:rsidRPr="00662906">
              <w:rPr>
                <w:sz w:val="18"/>
                <w:szCs w:val="18"/>
              </w:rPr>
              <w:t xml:space="preserve"> lithium, copper, manganese, </w:t>
            </w:r>
            <w:r w:rsidR="7BD554E4" w:rsidRPr="00662906">
              <w:rPr>
                <w:sz w:val="18"/>
                <w:szCs w:val="18"/>
              </w:rPr>
              <w:t>cobalt and</w:t>
            </w:r>
            <w:r w:rsidR="64B2D048" w:rsidRPr="00662906">
              <w:rPr>
                <w:sz w:val="18"/>
                <w:szCs w:val="18"/>
              </w:rPr>
              <w:t xml:space="preserve"> graphite</w:t>
            </w:r>
            <w:r w:rsidR="08B0668B" w:rsidRPr="00662906">
              <w:rPr>
                <w:sz w:val="18"/>
                <w:szCs w:val="18"/>
              </w:rPr>
              <w:t>.</w:t>
            </w:r>
            <w:r w:rsidR="5BC63325" w:rsidRPr="00662906">
              <w:rPr>
                <w:sz w:val="18"/>
                <w:szCs w:val="18"/>
              </w:rPr>
              <w:t xml:space="preserve"> </w:t>
            </w:r>
            <w:r w:rsidRPr="00662906">
              <w:rPr>
                <w:sz w:val="18"/>
                <w:szCs w:val="18"/>
              </w:rPr>
              <w:t xml:space="preserve">Digital technologies can improve transport efficiency through smart systems. Integrating informal transport into formal frameworks and regional collaboration to harmonize policies are key strategies. Coordinated urban planning can reduce energy use and enhance connectivity, supporting broader economic and environmental goals. Africa has </w:t>
            </w:r>
            <w:r w:rsidR="3AD489A8" w:rsidRPr="00662906">
              <w:rPr>
                <w:sz w:val="18"/>
                <w:szCs w:val="18"/>
              </w:rPr>
              <w:t xml:space="preserve">thus </w:t>
            </w:r>
            <w:r w:rsidRPr="00662906">
              <w:rPr>
                <w:sz w:val="18"/>
                <w:szCs w:val="18"/>
              </w:rPr>
              <w:t xml:space="preserve">the potential to position itself as a </w:t>
            </w:r>
            <w:r w:rsidR="381EF84A" w:rsidRPr="00662906">
              <w:rPr>
                <w:sz w:val="18"/>
                <w:szCs w:val="18"/>
              </w:rPr>
              <w:t xml:space="preserve">key </w:t>
            </w:r>
            <w:r w:rsidR="00527FBF" w:rsidRPr="00662906">
              <w:rPr>
                <w:sz w:val="18"/>
                <w:szCs w:val="18"/>
              </w:rPr>
              <w:t>player in</w:t>
            </w:r>
            <w:r w:rsidRPr="00662906">
              <w:rPr>
                <w:sz w:val="18"/>
                <w:szCs w:val="18"/>
              </w:rPr>
              <w:t xml:space="preserve"> sustainable transportation innovations.</w:t>
            </w:r>
          </w:p>
        </w:tc>
      </w:tr>
    </w:tbl>
    <w:p w14:paraId="1963FBFD" w14:textId="77777777" w:rsidR="00A146E5" w:rsidRPr="00662906" w:rsidRDefault="00A146E5" w:rsidP="00A146E5">
      <w:pPr>
        <w:rPr>
          <w:rFonts w:eastAsia="Arial" w:cs="Arial"/>
          <w:i/>
          <w:iCs/>
          <w:color w:val="B4A169"/>
          <w:sz w:val="16"/>
          <w:szCs w:val="16"/>
        </w:rPr>
      </w:pPr>
      <w:bookmarkStart w:id="195" w:name="_Toc176787188"/>
      <w:bookmarkStart w:id="196" w:name="_Toc178937474"/>
      <w:bookmarkStart w:id="197" w:name="_Toc178937808"/>
      <w:bookmarkStart w:id="198" w:name="_Toc166603628"/>
      <w:bookmarkStart w:id="199" w:name="_Toc166603750"/>
      <w:bookmarkStart w:id="200" w:name="_Toc166603836"/>
      <w:bookmarkStart w:id="201" w:name="_Toc166603950"/>
      <w:bookmarkStart w:id="202" w:name="_Toc166604048"/>
      <w:bookmarkStart w:id="203" w:name="_Toc166604198"/>
      <w:bookmarkStart w:id="204" w:name="_Toc166604331"/>
      <w:bookmarkStart w:id="205" w:name="_Toc166763454"/>
      <w:bookmarkStart w:id="206" w:name="_Toc166775511"/>
      <w:bookmarkStart w:id="207" w:name="_Toc166775759"/>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47961714" w14:textId="2C5D9E65" w:rsidR="0051797F" w:rsidRPr="00662906" w:rsidRDefault="0051797F" w:rsidP="00956995">
      <w:pPr>
        <w:pStyle w:val="Heading3"/>
        <w:ind w:left="567"/>
        <w:rPr>
          <w:rStyle w:val="normaltextrun"/>
        </w:rPr>
      </w:pPr>
      <w:bookmarkStart w:id="208" w:name="_Toc197433816"/>
      <w:r w:rsidRPr="00662906">
        <w:t>Buildings</w:t>
      </w:r>
      <w:bookmarkEnd w:id="195"/>
      <w:bookmarkEnd w:id="196"/>
      <w:bookmarkEnd w:id="197"/>
      <w:bookmarkEnd w:id="208"/>
      <w:r w:rsidRPr="00662906">
        <w:t xml:space="preserve"> </w:t>
      </w:r>
      <w:bookmarkStart w:id="209" w:name="_Toc178937475"/>
      <w:bookmarkStart w:id="210" w:name="_Toc178937809"/>
      <w:bookmarkEnd w:id="198"/>
      <w:bookmarkEnd w:id="199"/>
      <w:bookmarkEnd w:id="200"/>
      <w:bookmarkEnd w:id="201"/>
      <w:bookmarkEnd w:id="202"/>
      <w:bookmarkEnd w:id="203"/>
      <w:bookmarkEnd w:id="204"/>
      <w:bookmarkEnd w:id="205"/>
      <w:bookmarkEnd w:id="206"/>
      <w:bookmarkEnd w:id="207"/>
      <w:bookmarkEnd w:id="209"/>
      <w:bookmarkEnd w:id="210"/>
    </w:p>
    <w:p w14:paraId="17318972" w14:textId="462F1DB2" w:rsidR="00694402" w:rsidRPr="00662906" w:rsidRDefault="00694402" w:rsidP="00694402">
      <w:pPr>
        <w:pStyle w:val="Caption"/>
      </w:pPr>
      <w:bookmarkStart w:id="211" w:name="_Toc197433891"/>
      <w:r w:rsidRPr="00662906">
        <w:t xml:space="preserve">Table </w:t>
      </w:r>
      <w:r w:rsidRPr="00662906">
        <w:fldChar w:fldCharType="begin"/>
      </w:r>
      <w:r w:rsidRPr="00662906">
        <w:instrText>SEQ Table \* ARABIC</w:instrText>
      </w:r>
      <w:r w:rsidRPr="00662906">
        <w:fldChar w:fldCharType="separate"/>
      </w:r>
      <w:r w:rsidR="00610F61">
        <w:rPr>
          <w:noProof/>
        </w:rPr>
        <w:t>3</w:t>
      </w:r>
      <w:r w:rsidRPr="00662906">
        <w:fldChar w:fldCharType="end"/>
      </w:r>
      <w:r w:rsidR="00504943" w:rsidRPr="00662906">
        <w:t xml:space="preserve">: </w:t>
      </w:r>
      <w:r w:rsidRPr="00662906">
        <w:t>Summarized assessment of the buildings sector in the context of ET in Africa.</w:t>
      </w:r>
      <w:bookmarkEnd w:id="211"/>
    </w:p>
    <w:tbl>
      <w:tblPr>
        <w:tblStyle w:val="TableGrid"/>
        <w:tblW w:w="9078" w:type="dxa"/>
        <w:tblLayout w:type="fixed"/>
        <w:tblLook w:val="06A0" w:firstRow="1" w:lastRow="0" w:firstColumn="1" w:lastColumn="0" w:noHBand="1" w:noVBand="1"/>
      </w:tblPr>
      <w:tblGrid>
        <w:gridCol w:w="2253"/>
        <w:gridCol w:w="6825"/>
      </w:tblGrid>
      <w:tr w:rsidR="00694402" w:rsidRPr="00662906" w14:paraId="1F55C694"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627289FE" w14:textId="77777777" w:rsidR="00694402" w:rsidRPr="00662906" w:rsidRDefault="00694402"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5F24BC39" w14:textId="77777777" w:rsidR="00694402" w:rsidRPr="00662906" w:rsidRDefault="00694402" w:rsidP="002E08DF">
            <w:pPr>
              <w:jc w:val="center"/>
              <w:rPr>
                <w:sz w:val="18"/>
                <w:szCs w:val="18"/>
              </w:rPr>
            </w:pPr>
            <w:r w:rsidRPr="00662906">
              <w:rPr>
                <w:rFonts w:eastAsia="Arial" w:cs="Arial"/>
                <w:b/>
                <w:bCs/>
                <w:color w:val="FFFFFF" w:themeColor="background2"/>
                <w:sz w:val="18"/>
                <w:szCs w:val="18"/>
              </w:rPr>
              <w:t>Overview</w:t>
            </w:r>
          </w:p>
        </w:tc>
      </w:tr>
      <w:tr w:rsidR="00694402" w:rsidRPr="00662906" w14:paraId="3F43B4FB"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38AFD683" w14:textId="77777777" w:rsidR="00694402" w:rsidRPr="00662906" w:rsidRDefault="00694402"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4373745C" w14:textId="70F0294D" w:rsidR="00694402" w:rsidRPr="00662906" w:rsidRDefault="2744A009" w:rsidP="002E08DF">
            <w:pPr>
              <w:spacing w:line="259" w:lineRule="auto"/>
              <w:rPr>
                <w:sz w:val="18"/>
                <w:szCs w:val="18"/>
              </w:rPr>
            </w:pPr>
            <w:r w:rsidRPr="00662906">
              <w:rPr>
                <w:sz w:val="18"/>
                <w:szCs w:val="18"/>
              </w:rPr>
              <w:t xml:space="preserve">The buildings sector accounts for 40% of global energy use, with Africa’s residential buildings heavily dependent on inefficient biomass (93% of energy use). By 2060, Africa’s building stock is projected to triple, dominated by urban growth. This poses significant energy and emissions challenges, with construction materials like steel and cement contributing to 38% of emissions. While </w:t>
            </w:r>
            <w:r w:rsidR="3512D0D2" w:rsidRPr="00662906">
              <w:rPr>
                <w:sz w:val="18"/>
                <w:szCs w:val="18"/>
              </w:rPr>
              <w:t>a number of AU MS that include</w:t>
            </w:r>
            <w:r w:rsidRPr="00662906">
              <w:rPr>
                <w:sz w:val="18"/>
                <w:szCs w:val="18"/>
              </w:rPr>
              <w:t xml:space="preserve"> South Africa</w:t>
            </w:r>
            <w:r w:rsidR="081261A8" w:rsidRPr="00662906">
              <w:rPr>
                <w:sz w:val="18"/>
                <w:szCs w:val="18"/>
              </w:rPr>
              <w:t>,</w:t>
            </w:r>
            <w:r w:rsidRPr="00662906">
              <w:rPr>
                <w:sz w:val="18"/>
                <w:szCs w:val="18"/>
              </w:rPr>
              <w:t xml:space="preserve"> Kenya</w:t>
            </w:r>
            <w:r w:rsidR="23E14E34" w:rsidRPr="00662906">
              <w:rPr>
                <w:sz w:val="18"/>
                <w:szCs w:val="18"/>
              </w:rPr>
              <w:t>, Rwanda etc.</w:t>
            </w:r>
            <w:r w:rsidRPr="00662906">
              <w:rPr>
                <w:sz w:val="18"/>
                <w:szCs w:val="18"/>
              </w:rPr>
              <w:t xml:space="preserve"> have implemented energy-efficient building codes, adoption across the continent remains low. Most buildings lack energy-efficient designs, resulting in significant</w:t>
            </w:r>
            <w:r w:rsidR="38D21377" w:rsidRPr="00662906">
              <w:rPr>
                <w:sz w:val="18"/>
                <w:szCs w:val="18"/>
              </w:rPr>
              <w:t xml:space="preserve"> energy</w:t>
            </w:r>
            <w:r w:rsidRPr="00662906">
              <w:rPr>
                <w:sz w:val="18"/>
                <w:szCs w:val="18"/>
              </w:rPr>
              <w:t xml:space="preserve"> inefficiencies. Despite these challenges, Africa has vast potential to integrate renewable energy and bio-based materials, leveraging indigenous practices to build</w:t>
            </w:r>
            <w:r w:rsidR="37802327" w:rsidRPr="00662906">
              <w:rPr>
                <w:sz w:val="18"/>
                <w:szCs w:val="18"/>
              </w:rPr>
              <w:t>ing</w:t>
            </w:r>
            <w:r w:rsidRPr="00662906">
              <w:rPr>
                <w:sz w:val="18"/>
                <w:szCs w:val="18"/>
              </w:rPr>
              <w:t xml:space="preserve"> sustainably.</w:t>
            </w:r>
          </w:p>
        </w:tc>
      </w:tr>
      <w:tr w:rsidR="00694402" w:rsidRPr="00662906" w14:paraId="10288465"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2382C692" w14:textId="77777777" w:rsidR="00694402" w:rsidRPr="00662906" w:rsidRDefault="00694402" w:rsidP="002E08DF">
            <w:pPr>
              <w:jc w:val="center"/>
              <w:rPr>
                <w:rFonts w:eastAsia="Arial" w:cs="Arial"/>
                <w:b/>
                <w:bCs/>
                <w:color w:val="0D0D0D"/>
                <w:sz w:val="18"/>
                <w:szCs w:val="18"/>
              </w:rPr>
            </w:pPr>
            <w:r w:rsidRPr="00662906">
              <w:rPr>
                <w:b/>
                <w:bCs/>
                <w:sz w:val="18"/>
                <w:szCs w:val="18"/>
              </w:rPr>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128B96E5" w14:textId="24222A34" w:rsidR="00694402" w:rsidRPr="00662906" w:rsidRDefault="41C6F3C9" w:rsidP="2D9E25B5">
            <w:pPr>
              <w:pStyle w:val="Bullets"/>
              <w:numPr>
                <w:ilvl w:val="0"/>
                <w:numId w:val="0"/>
              </w:numPr>
              <w:rPr>
                <w:rFonts w:ascii="Times New Roman" w:eastAsiaTheme="minorEastAsia" w:hAnsi="Times New Roman" w:cs="Times New Roman"/>
                <w:color w:val="auto"/>
                <w:sz w:val="18"/>
                <w:szCs w:val="18"/>
                <w:lang w:val="en-GB"/>
              </w:rPr>
            </w:pPr>
            <w:r w:rsidRPr="00662906">
              <w:rPr>
                <w:sz w:val="18"/>
                <w:szCs w:val="18"/>
                <w:shd w:val="clear" w:color="auto" w:fill="FFFFFF"/>
                <w:lang w:val="en-GB" w:eastAsia="en-US"/>
              </w:rPr>
              <w:t xml:space="preserve">The adoption of energy-efficient building codes is sparse, particularly in sub-Saharan Africa. Many buildings lack passive design features, contributing to inefficiencies and </w:t>
            </w:r>
            <w:r w:rsidR="6E93698A" w:rsidRPr="00662906">
              <w:rPr>
                <w:sz w:val="18"/>
                <w:szCs w:val="18"/>
                <w:shd w:val="clear" w:color="auto" w:fill="FFFFFF"/>
                <w:lang w:val="en-GB" w:eastAsia="en-US"/>
              </w:rPr>
              <w:t xml:space="preserve">carbon </w:t>
            </w:r>
            <w:r w:rsidRPr="00662906">
              <w:rPr>
                <w:sz w:val="18"/>
                <w:szCs w:val="18"/>
                <w:shd w:val="clear" w:color="auto" w:fill="FFFFFF"/>
                <w:lang w:val="en-GB" w:eastAsia="en-US"/>
              </w:rPr>
              <w:t>emissions. The rapid urbanization and construction boom exacerbate resource and infrastructure stress. Building materials are often imported and fossil-fuel dependent, compounding environmental impact.</w:t>
            </w:r>
            <w:r w:rsidR="265689DC" w:rsidRPr="00662906">
              <w:rPr>
                <w:sz w:val="18"/>
                <w:szCs w:val="18"/>
                <w:shd w:val="clear" w:color="auto" w:fill="FFFFFF"/>
                <w:lang w:val="en-GB" w:eastAsia="en-US"/>
              </w:rPr>
              <w:t xml:space="preserve"> Potential for decarbonization </w:t>
            </w:r>
            <w:r w:rsidR="000560AD" w:rsidRPr="00662906">
              <w:rPr>
                <w:sz w:val="18"/>
                <w:szCs w:val="18"/>
                <w:shd w:val="clear" w:color="auto" w:fill="FFFFFF"/>
                <w:lang w:val="en-GB" w:eastAsia="en-US"/>
              </w:rPr>
              <w:t xml:space="preserve">by </w:t>
            </w:r>
            <w:r w:rsidR="0025270A" w:rsidRPr="00662906">
              <w:rPr>
                <w:sz w:val="18"/>
                <w:szCs w:val="18"/>
                <w:shd w:val="clear" w:color="auto" w:fill="FFFFFF"/>
                <w:lang w:val="en-GB" w:eastAsia="en-US"/>
              </w:rPr>
              <w:t>utilizing local</w:t>
            </w:r>
            <w:r w:rsidR="265689DC" w:rsidRPr="00662906">
              <w:rPr>
                <w:sz w:val="18"/>
                <w:szCs w:val="18"/>
                <w:shd w:val="clear" w:color="auto" w:fill="FFFFFF"/>
                <w:lang w:val="en-GB" w:eastAsia="en-US"/>
              </w:rPr>
              <w:t xml:space="preserve"> materials has not been fully exploited. There is st</w:t>
            </w:r>
            <w:r w:rsidR="753718B8" w:rsidRPr="00662906">
              <w:rPr>
                <w:sz w:val="18"/>
                <w:szCs w:val="18"/>
                <w:shd w:val="clear" w:color="auto" w:fill="FFFFFF"/>
                <w:lang w:val="en-GB" w:eastAsia="en-US"/>
              </w:rPr>
              <w:t>ill</w:t>
            </w:r>
            <w:r w:rsidRPr="00662906">
              <w:rPr>
                <w:sz w:val="18"/>
                <w:szCs w:val="18"/>
                <w:shd w:val="clear" w:color="auto" w:fill="FFFFFF"/>
                <w:lang w:val="en-GB" w:eastAsia="en-US"/>
              </w:rPr>
              <w:t xml:space="preserve"> </w:t>
            </w:r>
            <w:r w:rsidR="000560AD" w:rsidRPr="00662906">
              <w:rPr>
                <w:sz w:val="18"/>
                <w:szCs w:val="18"/>
                <w:shd w:val="clear" w:color="auto" w:fill="FFFFFF"/>
                <w:lang w:val="en-GB" w:eastAsia="en-US"/>
              </w:rPr>
              <w:t>l</w:t>
            </w:r>
            <w:r w:rsidRPr="00662906">
              <w:rPr>
                <w:sz w:val="18"/>
                <w:szCs w:val="18"/>
                <w:shd w:val="clear" w:color="auto" w:fill="FFFFFF"/>
                <w:lang w:val="en-GB" w:eastAsia="en-US"/>
              </w:rPr>
              <w:t>imited awareness and regulatory frameworks</w:t>
            </w:r>
            <w:r w:rsidR="000560AD" w:rsidRPr="00662906">
              <w:rPr>
                <w:sz w:val="18"/>
                <w:szCs w:val="18"/>
                <w:shd w:val="clear" w:color="auto" w:fill="FFFFFF"/>
                <w:lang w:val="en-GB" w:eastAsia="en-US"/>
              </w:rPr>
              <w:t xml:space="preserve"> </w:t>
            </w:r>
            <w:r w:rsidR="001E7224" w:rsidRPr="00662906">
              <w:rPr>
                <w:sz w:val="18"/>
                <w:szCs w:val="18"/>
                <w:shd w:val="clear" w:color="auto" w:fill="FFFFFF"/>
                <w:lang w:val="en-GB" w:eastAsia="en-US"/>
              </w:rPr>
              <w:t>regarding the energy performance of buildings</w:t>
            </w:r>
            <w:r w:rsidRPr="00662906">
              <w:rPr>
                <w:sz w:val="18"/>
                <w:szCs w:val="18"/>
                <w:shd w:val="clear" w:color="auto" w:fill="FFFFFF"/>
                <w:lang w:val="en-GB" w:eastAsia="en-US"/>
              </w:rPr>
              <w:t xml:space="preserve">, coupled with a lack of skilled </w:t>
            </w:r>
            <w:r w:rsidR="1D4FF5AC" w:rsidRPr="00662906">
              <w:rPr>
                <w:sz w:val="18"/>
                <w:szCs w:val="18"/>
                <w:shd w:val="clear" w:color="auto" w:fill="FFFFFF"/>
                <w:lang w:val="en-GB" w:eastAsia="en-US"/>
              </w:rPr>
              <w:t>labour</w:t>
            </w:r>
            <w:r w:rsidRPr="00662906">
              <w:rPr>
                <w:sz w:val="18"/>
                <w:szCs w:val="18"/>
                <w:shd w:val="clear" w:color="auto" w:fill="FFFFFF"/>
                <w:lang w:val="en-GB" w:eastAsia="en-US"/>
              </w:rPr>
              <w:t xml:space="preserve"> and investment, </w:t>
            </w:r>
            <w:r w:rsidR="71123CE5" w:rsidRPr="00662906">
              <w:rPr>
                <w:sz w:val="18"/>
                <w:szCs w:val="18"/>
                <w:shd w:val="clear" w:color="auto" w:fill="FFFFFF"/>
                <w:lang w:val="en-GB" w:eastAsia="en-US"/>
              </w:rPr>
              <w:t xml:space="preserve">that </w:t>
            </w:r>
            <w:r w:rsidRPr="00662906">
              <w:rPr>
                <w:sz w:val="18"/>
                <w:szCs w:val="18"/>
                <w:shd w:val="clear" w:color="auto" w:fill="FFFFFF"/>
                <w:lang w:val="en-GB" w:eastAsia="en-US"/>
              </w:rPr>
              <w:t xml:space="preserve">impede sustainable building practices. Socioeconomic inequities, especially in urban slums, and a fragmented construction </w:t>
            </w:r>
            <w:r w:rsidR="4698E74E" w:rsidRPr="00662906">
              <w:rPr>
                <w:sz w:val="18"/>
                <w:szCs w:val="18"/>
                <w:shd w:val="clear" w:color="auto" w:fill="FFFFFF"/>
                <w:lang w:val="en-GB" w:eastAsia="en-US"/>
              </w:rPr>
              <w:t>practices</w:t>
            </w:r>
            <w:r w:rsidRPr="00662906">
              <w:rPr>
                <w:sz w:val="18"/>
                <w:szCs w:val="18"/>
                <w:shd w:val="clear" w:color="auto" w:fill="FFFFFF"/>
                <w:lang w:val="en-GB" w:eastAsia="en-US"/>
              </w:rPr>
              <w:t xml:space="preserve"> further hinder progress. Climate resilience remains underdeveloped despite growing demands for sustainability.</w:t>
            </w:r>
          </w:p>
        </w:tc>
      </w:tr>
      <w:tr w:rsidR="00694402" w:rsidRPr="00662906" w14:paraId="08D4091C"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7D6BC8D1" w14:textId="77777777" w:rsidR="00694402" w:rsidRPr="00662906" w:rsidRDefault="00694402"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1890DF52" w14:textId="141DDCBA" w:rsidR="00694402" w:rsidRPr="00662906" w:rsidRDefault="41C6F3C9" w:rsidP="002E08DF">
            <w:pPr>
              <w:spacing w:line="259" w:lineRule="auto"/>
              <w:rPr>
                <w:rFonts w:eastAsia="Arial" w:cs="Arial"/>
                <w:sz w:val="18"/>
                <w:szCs w:val="18"/>
              </w:rPr>
            </w:pPr>
            <w:r w:rsidRPr="00662906">
              <w:rPr>
                <w:rFonts w:eastAsia="Arial" w:cs="Arial"/>
                <w:sz w:val="18"/>
                <w:szCs w:val="18"/>
              </w:rPr>
              <w:t>Energy-efficient buildings offer health benefits through improved indoor air quality and temperature regulation, reducing respiratory issues</w:t>
            </w:r>
            <w:r w:rsidR="4586B3BD" w:rsidRPr="00662906">
              <w:rPr>
                <w:rFonts w:eastAsia="Arial" w:cs="Arial"/>
                <w:sz w:val="18"/>
                <w:szCs w:val="18"/>
              </w:rPr>
              <w:t xml:space="preserve"> in addition to saving energy</w:t>
            </w:r>
            <w:r w:rsidRPr="00662906">
              <w:rPr>
                <w:rFonts w:eastAsia="Arial" w:cs="Arial"/>
                <w:sz w:val="18"/>
                <w:szCs w:val="18"/>
              </w:rPr>
              <w:t>. They also alleviate energy poverty, lowering costs for low-income households. Economic growth opportunities arise from the construction sector, which is poised to dominate African economies by 2060. Investments in green technologies and practices create jobs, enhance sustainability, and foster resilience to climate change. Public health, urban planning, and social equity benefit significantly from sustainable buildings, reducing environmental degradation and promoting inclusive growth. However, rapid urbanization risks exacerbating inequality without coordinated infrastructure investments</w:t>
            </w:r>
            <w:r w:rsidR="5AF858C1" w:rsidRPr="00662906">
              <w:rPr>
                <w:rFonts w:eastAsia="Arial" w:cs="Arial"/>
                <w:sz w:val="18"/>
                <w:szCs w:val="18"/>
              </w:rPr>
              <w:t xml:space="preserve"> and regulated practices</w:t>
            </w:r>
            <w:r w:rsidRPr="00662906">
              <w:rPr>
                <w:rFonts w:eastAsia="Arial" w:cs="Arial"/>
                <w:sz w:val="18"/>
                <w:szCs w:val="18"/>
              </w:rPr>
              <w:t>.</w:t>
            </w:r>
          </w:p>
        </w:tc>
      </w:tr>
      <w:tr w:rsidR="00694402" w:rsidRPr="00662906" w14:paraId="249101D1"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496E331D" w14:textId="77777777" w:rsidR="00694402" w:rsidRPr="00662906" w:rsidRDefault="00694402" w:rsidP="002E08DF">
            <w:pPr>
              <w:jc w:val="center"/>
              <w:rPr>
                <w:rFonts w:eastAsia="Arial" w:cs="Arial"/>
                <w:b/>
                <w:bCs/>
                <w:color w:val="0D0D0D"/>
                <w:sz w:val="18"/>
                <w:szCs w:val="18"/>
              </w:rPr>
            </w:pPr>
            <w:r w:rsidRPr="00662906">
              <w:rPr>
                <w:b/>
                <w:bCs/>
                <w:sz w:val="18"/>
                <w:szCs w:val="18"/>
              </w:rPr>
              <w:lastRenderedPageBreak/>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7556F8BB" w14:textId="603AED9E" w:rsidR="00694402" w:rsidRPr="00662906" w:rsidRDefault="55B77B2B" w:rsidP="005E5934">
            <w:pPr>
              <w:pStyle w:val="Bullets"/>
              <w:numPr>
                <w:ilvl w:val="0"/>
                <w:numId w:val="0"/>
              </w:numPr>
              <w:ind w:left="34"/>
              <w:rPr>
                <w:rFonts w:eastAsia="Arial" w:cs="Arial"/>
                <w:color w:val="0D0D0D"/>
                <w:sz w:val="18"/>
                <w:szCs w:val="18"/>
                <w:lang w:val="en-GB"/>
              </w:rPr>
            </w:pPr>
            <w:r w:rsidRPr="00662906">
              <w:rPr>
                <w:sz w:val="18"/>
                <w:szCs w:val="18"/>
                <w:lang w:val="en-GB" w:eastAsia="en-US"/>
              </w:rPr>
              <w:t xml:space="preserve">Missed opportunities include the slow adoption of energy-efficient </w:t>
            </w:r>
            <w:r w:rsidR="08BAF6F6" w:rsidRPr="00662906">
              <w:rPr>
                <w:sz w:val="18"/>
                <w:szCs w:val="18"/>
                <w:lang w:val="en-GB" w:eastAsia="en-US"/>
              </w:rPr>
              <w:t xml:space="preserve">regulatory </w:t>
            </w:r>
            <w:r w:rsidR="0025270A" w:rsidRPr="00662906">
              <w:rPr>
                <w:sz w:val="18"/>
                <w:szCs w:val="18"/>
                <w:lang w:val="en-GB" w:eastAsia="en-US"/>
              </w:rPr>
              <w:t>frameworks, technologies</w:t>
            </w:r>
            <w:r w:rsidRPr="00662906">
              <w:rPr>
                <w:sz w:val="18"/>
                <w:szCs w:val="18"/>
                <w:lang w:val="en-GB" w:eastAsia="en-US"/>
              </w:rPr>
              <w:t xml:space="preserve"> and inadequate utilization of Africa’s resources for renewable energy and low-carbon construction. Emerging opportunities lie in implementing robust building energy codes, leveraging indigenous materials, and adopting whole-life systems approaches. Initiatives like UN-Habitat’s programs showcase potential for scaling sustainable practices. The rise of green jobs in construction and retrofitting, alongside advancements in renewable energy integration, presents a chance to modernize the sector. A paradigm </w:t>
            </w:r>
            <w:r w:rsidR="0025270A" w:rsidRPr="00662906">
              <w:rPr>
                <w:sz w:val="18"/>
                <w:szCs w:val="18"/>
                <w:lang w:val="en-GB" w:eastAsia="en-US"/>
              </w:rPr>
              <w:t>shifts</w:t>
            </w:r>
            <w:r w:rsidRPr="00662906">
              <w:rPr>
                <w:sz w:val="18"/>
                <w:szCs w:val="18"/>
                <w:lang w:val="en-GB" w:eastAsia="en-US"/>
              </w:rPr>
              <w:t xml:space="preserve"> toward localized, climate-resilient designs, supported by multi-stakeholder collaboration</w:t>
            </w:r>
            <w:r w:rsidR="4D2DD39B" w:rsidRPr="00662906">
              <w:rPr>
                <w:sz w:val="18"/>
                <w:szCs w:val="18"/>
                <w:lang w:val="en-GB" w:eastAsia="en-US"/>
              </w:rPr>
              <w:t xml:space="preserve"> and skills building</w:t>
            </w:r>
            <w:r w:rsidRPr="00662906">
              <w:rPr>
                <w:sz w:val="18"/>
                <w:szCs w:val="18"/>
                <w:lang w:val="en-GB" w:eastAsia="en-US"/>
              </w:rPr>
              <w:t>, can transform Africa’s building landscape into a model of sustainability.</w:t>
            </w:r>
          </w:p>
        </w:tc>
      </w:tr>
    </w:tbl>
    <w:p w14:paraId="289C0980"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5B957B27" w14:textId="5BFEAC0B" w:rsidR="0051797F" w:rsidRPr="00662906" w:rsidRDefault="0051797F" w:rsidP="00956995">
      <w:pPr>
        <w:pStyle w:val="Heading3"/>
        <w:ind w:left="567"/>
      </w:pPr>
      <w:r w:rsidRPr="00662906">
        <w:t> </w:t>
      </w:r>
      <w:bookmarkStart w:id="212" w:name="_Toc197433817"/>
      <w:bookmarkStart w:id="213" w:name="_Toc166603629"/>
      <w:bookmarkStart w:id="214" w:name="_Toc166603751"/>
      <w:bookmarkStart w:id="215" w:name="_Toc166603837"/>
      <w:bookmarkStart w:id="216" w:name="_Toc166603951"/>
      <w:bookmarkStart w:id="217" w:name="_Toc166604049"/>
      <w:bookmarkStart w:id="218" w:name="_Toc166604199"/>
      <w:bookmarkStart w:id="219" w:name="_Toc166604332"/>
      <w:bookmarkStart w:id="220" w:name="_Toc166763455"/>
      <w:bookmarkStart w:id="221" w:name="_Toc166775512"/>
      <w:bookmarkStart w:id="222" w:name="_Toc166775760"/>
      <w:bookmarkStart w:id="223" w:name="_Toc176787189"/>
      <w:bookmarkStart w:id="224" w:name="_Toc178937476"/>
      <w:r w:rsidRPr="00662906">
        <w:t>Industry</w:t>
      </w:r>
      <w:bookmarkEnd w:id="212"/>
      <w:r w:rsidRPr="00662906">
        <w:t xml:space="preserve"> </w:t>
      </w:r>
      <w:bookmarkEnd w:id="213"/>
      <w:bookmarkEnd w:id="214"/>
      <w:bookmarkEnd w:id="215"/>
      <w:bookmarkEnd w:id="216"/>
      <w:bookmarkEnd w:id="217"/>
      <w:bookmarkEnd w:id="218"/>
      <w:bookmarkEnd w:id="219"/>
      <w:bookmarkEnd w:id="220"/>
      <w:bookmarkEnd w:id="221"/>
      <w:bookmarkEnd w:id="222"/>
      <w:bookmarkEnd w:id="223"/>
      <w:bookmarkEnd w:id="224"/>
    </w:p>
    <w:p w14:paraId="4CC7754D" w14:textId="0DA9490D" w:rsidR="003158DD" w:rsidRPr="00662906" w:rsidRDefault="003158DD" w:rsidP="003158DD">
      <w:pPr>
        <w:pStyle w:val="Caption"/>
      </w:pPr>
      <w:bookmarkStart w:id="225" w:name="_Toc197433892"/>
      <w:r w:rsidRPr="00662906">
        <w:t xml:space="preserve">Table </w:t>
      </w:r>
      <w:r w:rsidRPr="00662906">
        <w:fldChar w:fldCharType="begin"/>
      </w:r>
      <w:r w:rsidRPr="00662906">
        <w:instrText>SEQ Table \* ARABIC</w:instrText>
      </w:r>
      <w:r w:rsidRPr="00662906">
        <w:fldChar w:fldCharType="separate"/>
      </w:r>
      <w:r w:rsidR="00610F61">
        <w:rPr>
          <w:noProof/>
        </w:rPr>
        <w:t>4</w:t>
      </w:r>
      <w:r w:rsidRPr="00662906">
        <w:fldChar w:fldCharType="end"/>
      </w:r>
      <w:r w:rsidR="00504943" w:rsidRPr="00662906">
        <w:t xml:space="preserve">: </w:t>
      </w:r>
      <w:r w:rsidRPr="00662906">
        <w:t>Summarized assessment of the electricity sector in the context of ET in Africa.</w:t>
      </w:r>
      <w:bookmarkEnd w:id="225"/>
    </w:p>
    <w:tbl>
      <w:tblPr>
        <w:tblStyle w:val="TableGrid"/>
        <w:tblW w:w="9078" w:type="dxa"/>
        <w:tblLayout w:type="fixed"/>
        <w:tblLook w:val="06A0" w:firstRow="1" w:lastRow="0" w:firstColumn="1" w:lastColumn="0" w:noHBand="1" w:noVBand="1"/>
      </w:tblPr>
      <w:tblGrid>
        <w:gridCol w:w="2253"/>
        <w:gridCol w:w="6825"/>
      </w:tblGrid>
      <w:tr w:rsidR="003158DD" w:rsidRPr="00662906" w14:paraId="6B9934FE"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1AEBF8D2" w14:textId="77777777" w:rsidR="003158DD" w:rsidRPr="00662906" w:rsidRDefault="003158DD"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69B54EB4" w14:textId="77777777" w:rsidR="003158DD" w:rsidRPr="00662906" w:rsidRDefault="003158DD" w:rsidP="002E08DF">
            <w:pPr>
              <w:jc w:val="center"/>
              <w:rPr>
                <w:sz w:val="18"/>
                <w:szCs w:val="18"/>
              </w:rPr>
            </w:pPr>
            <w:r w:rsidRPr="00662906">
              <w:rPr>
                <w:rFonts w:eastAsia="Arial" w:cs="Arial"/>
                <w:b/>
                <w:bCs/>
                <w:color w:val="FFFFFF" w:themeColor="background2"/>
                <w:sz w:val="18"/>
                <w:szCs w:val="18"/>
              </w:rPr>
              <w:t>Overview</w:t>
            </w:r>
          </w:p>
        </w:tc>
      </w:tr>
      <w:tr w:rsidR="006B2B95" w:rsidRPr="00662906" w14:paraId="4DD516E7"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F92D9CC" w14:textId="77777777" w:rsidR="006B2B95" w:rsidRPr="00662906" w:rsidRDefault="006B2B95" w:rsidP="006B2B95">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1F958493" w14:textId="2C933C14" w:rsidR="003E3373" w:rsidRPr="00662906" w:rsidRDefault="2AEFE7AF" w:rsidP="00DB46D5">
            <w:pPr>
              <w:spacing w:before="0" w:after="160" w:line="259" w:lineRule="auto"/>
              <w:rPr>
                <w:rFonts w:eastAsia="Arial" w:cs="Arial"/>
                <w:sz w:val="18"/>
                <w:szCs w:val="18"/>
              </w:rPr>
            </w:pPr>
            <w:r w:rsidRPr="00662906">
              <w:rPr>
                <w:sz w:val="18"/>
                <w:szCs w:val="18"/>
              </w:rPr>
              <w:t>Industry share in 2021 of the TFEC</w:t>
            </w:r>
            <w:r w:rsidR="00900B7D" w:rsidRPr="00662906">
              <w:rPr>
                <w:sz w:val="18"/>
                <w:szCs w:val="18"/>
              </w:rPr>
              <w:t xml:space="preserve"> </w:t>
            </w:r>
            <w:r w:rsidRPr="00662906">
              <w:rPr>
                <w:sz w:val="18"/>
                <w:szCs w:val="18"/>
              </w:rPr>
              <w:t xml:space="preserve">was 14.2% comprising of electricity, coal, natural gas, oil, bioenergy (fuelwood) with significant fossil </w:t>
            </w:r>
            <w:r w:rsidR="1D4FF5AC" w:rsidRPr="00662906">
              <w:rPr>
                <w:sz w:val="18"/>
                <w:szCs w:val="18"/>
              </w:rPr>
              <w:t>fuel</w:t>
            </w:r>
            <w:r w:rsidRPr="00662906">
              <w:rPr>
                <w:sz w:val="18"/>
                <w:szCs w:val="18"/>
              </w:rPr>
              <w:t xml:space="preserve"> share in form of natural gas (26%); coal (42%)</w:t>
            </w:r>
            <w:r w:rsidR="4D16257C" w:rsidRPr="00662906">
              <w:rPr>
                <w:sz w:val="18"/>
                <w:szCs w:val="18"/>
              </w:rPr>
              <w:t xml:space="preserve">, </w:t>
            </w:r>
            <w:r w:rsidRPr="00662906">
              <w:rPr>
                <w:sz w:val="18"/>
                <w:szCs w:val="18"/>
              </w:rPr>
              <w:t>electricity (23%), Oil (6%), Fuelwood (3%).​</w:t>
            </w:r>
            <w:r w:rsidR="0089700E" w:rsidRPr="00662906">
              <w:rPr>
                <w:rFonts w:eastAsia="Arial" w:cs="Arial"/>
                <w:sz w:val="18"/>
                <w:szCs w:val="18"/>
              </w:rPr>
              <w:t xml:space="preserve"> </w:t>
            </w:r>
          </w:p>
          <w:p w14:paraId="460BC189" w14:textId="2A9B454A" w:rsidR="003E3373" w:rsidRPr="00662906" w:rsidRDefault="003E3373" w:rsidP="003E3373">
            <w:pPr>
              <w:spacing w:line="259" w:lineRule="auto"/>
              <w:rPr>
                <w:sz w:val="18"/>
                <w:szCs w:val="18"/>
              </w:rPr>
            </w:pPr>
            <w:r w:rsidRPr="00662906">
              <w:rPr>
                <w:sz w:val="18"/>
                <w:szCs w:val="18"/>
              </w:rPr>
              <w:t>CO</w:t>
            </w:r>
            <w:r w:rsidRPr="00662906">
              <w:rPr>
                <w:sz w:val="18"/>
                <w:szCs w:val="18"/>
                <w:vertAlign w:val="subscript"/>
              </w:rPr>
              <w:t>2</w:t>
            </w:r>
            <w:r w:rsidRPr="00662906">
              <w:rPr>
                <w:sz w:val="18"/>
                <w:szCs w:val="18"/>
              </w:rPr>
              <w:t xml:space="preserve"> emissions from industry in that year of 2021 was 10% third to electricity generation (56%) and Transport (22%)</w:t>
            </w:r>
            <w:r w:rsidR="0089700E" w:rsidRPr="00662906">
              <w:rPr>
                <w:sz w:val="18"/>
                <w:szCs w:val="18"/>
              </w:rPr>
              <w:t xml:space="preserve"> in Africa</w:t>
            </w:r>
            <w:r w:rsidRPr="00662906">
              <w:rPr>
                <w:sz w:val="18"/>
                <w:szCs w:val="18"/>
              </w:rPr>
              <w:t>.</w:t>
            </w:r>
          </w:p>
          <w:p w14:paraId="4C0C7F35" w14:textId="11E38919" w:rsidR="003E3373" w:rsidRPr="00662906" w:rsidRDefault="003E3373" w:rsidP="003E3373">
            <w:pPr>
              <w:spacing w:line="259" w:lineRule="auto"/>
              <w:rPr>
                <w:sz w:val="18"/>
                <w:szCs w:val="18"/>
              </w:rPr>
            </w:pPr>
            <w:r w:rsidRPr="00662906">
              <w:rPr>
                <w:sz w:val="18"/>
                <w:szCs w:val="18"/>
              </w:rPr>
              <w:t xml:space="preserve">South Africa, Morocco, Tunisia, Egypt), </w:t>
            </w:r>
            <w:r w:rsidR="0089700E" w:rsidRPr="00662906">
              <w:rPr>
                <w:sz w:val="18"/>
                <w:szCs w:val="18"/>
              </w:rPr>
              <w:t>M</w:t>
            </w:r>
            <w:r w:rsidRPr="00662906">
              <w:rPr>
                <w:sz w:val="18"/>
                <w:szCs w:val="18"/>
              </w:rPr>
              <w:t>auritius, Eswatini, Namibia, Nigeria</w:t>
            </w:r>
            <w:r w:rsidR="0089700E" w:rsidRPr="00662906">
              <w:rPr>
                <w:sz w:val="18"/>
                <w:szCs w:val="18"/>
              </w:rPr>
              <w:t xml:space="preserve">, </w:t>
            </w:r>
            <w:r w:rsidRPr="00662906">
              <w:rPr>
                <w:sz w:val="18"/>
                <w:szCs w:val="18"/>
              </w:rPr>
              <w:t>Côte d'Ivoire, Equatorial Guinea, and Senegal are</w:t>
            </w:r>
            <w:r w:rsidR="0089700E" w:rsidRPr="00662906">
              <w:rPr>
                <w:sz w:val="18"/>
                <w:szCs w:val="18"/>
              </w:rPr>
              <w:t xml:space="preserve"> together</w:t>
            </w:r>
            <w:r w:rsidRPr="00662906">
              <w:rPr>
                <w:sz w:val="18"/>
                <w:szCs w:val="18"/>
              </w:rPr>
              <w:t xml:space="preserve"> listed as having the largest industries in Africa</w:t>
            </w:r>
            <w:r w:rsidRPr="00662906">
              <w:rPr>
                <w:sz w:val="18"/>
                <w:szCs w:val="18"/>
                <w:vertAlign w:val="superscript"/>
              </w:rPr>
              <w:footnoteReference w:id="19"/>
            </w:r>
            <w:r w:rsidR="0077004D" w:rsidRPr="00662906">
              <w:rPr>
                <w:sz w:val="18"/>
                <w:szCs w:val="18"/>
              </w:rPr>
              <w:t>.</w:t>
            </w:r>
          </w:p>
          <w:p w14:paraId="1678F750" w14:textId="77777777" w:rsidR="003E3373" w:rsidRPr="00662906" w:rsidRDefault="003E3373" w:rsidP="003E3373">
            <w:pPr>
              <w:spacing w:line="259" w:lineRule="auto"/>
              <w:rPr>
                <w:sz w:val="18"/>
                <w:szCs w:val="18"/>
              </w:rPr>
            </w:pPr>
            <w:r w:rsidRPr="00662906">
              <w:rPr>
                <w:sz w:val="18"/>
                <w:szCs w:val="18"/>
              </w:rPr>
              <w:t xml:space="preserve">Whilst the continent has smaller industries apart from a few countries like South Africa and Egypt, its energy supply to the industry sector is still dominated by fossil fuels and electricity used in the subsector is largely generated from fossil fuels.  </w:t>
            </w:r>
          </w:p>
          <w:p w14:paraId="39B4707C" w14:textId="7CDDDB07" w:rsidR="003E3373" w:rsidRPr="00662906" w:rsidRDefault="2AEFE7AF" w:rsidP="003E3373">
            <w:pPr>
              <w:spacing w:line="259" w:lineRule="auto"/>
              <w:rPr>
                <w:sz w:val="18"/>
                <w:szCs w:val="18"/>
              </w:rPr>
            </w:pPr>
            <w:r w:rsidRPr="00662906">
              <w:rPr>
                <w:sz w:val="18"/>
                <w:szCs w:val="18"/>
              </w:rPr>
              <w:t xml:space="preserve">According to </w:t>
            </w:r>
            <w:r w:rsidR="00F14C16" w:rsidRPr="00662906">
              <w:rPr>
                <w:sz w:val="18"/>
                <w:szCs w:val="18"/>
              </w:rPr>
              <w:t>International Energy Agency (</w:t>
            </w:r>
            <w:r w:rsidRPr="00662906">
              <w:rPr>
                <w:sz w:val="18"/>
                <w:szCs w:val="18"/>
              </w:rPr>
              <w:t>IEA</w:t>
            </w:r>
            <w:r w:rsidR="00F14C16" w:rsidRPr="00662906">
              <w:rPr>
                <w:sz w:val="18"/>
                <w:szCs w:val="18"/>
              </w:rPr>
              <w:t>)</w:t>
            </w:r>
            <w:r w:rsidRPr="00662906">
              <w:rPr>
                <w:sz w:val="18"/>
                <w:szCs w:val="18"/>
              </w:rPr>
              <w:t xml:space="preserve"> </w:t>
            </w:r>
            <w:r w:rsidR="004C0FA4" w:rsidRPr="00662906">
              <w:rPr>
                <w:sz w:val="18"/>
                <w:szCs w:val="18"/>
              </w:rPr>
              <w:t>Stated Policies Scenario (</w:t>
            </w:r>
            <w:r w:rsidRPr="00662906">
              <w:rPr>
                <w:sz w:val="18"/>
                <w:szCs w:val="18"/>
              </w:rPr>
              <w:t>STEPS</w:t>
            </w:r>
            <w:r w:rsidR="004C0FA4" w:rsidRPr="00662906">
              <w:rPr>
                <w:sz w:val="18"/>
                <w:szCs w:val="18"/>
              </w:rPr>
              <w:t>)</w:t>
            </w:r>
            <w:r w:rsidRPr="00662906">
              <w:rPr>
                <w:sz w:val="18"/>
                <w:szCs w:val="18"/>
              </w:rPr>
              <w:t xml:space="preserve"> and </w:t>
            </w:r>
            <w:r w:rsidR="004C0FA4" w:rsidRPr="00662906">
              <w:rPr>
                <w:sz w:val="18"/>
                <w:szCs w:val="18"/>
                <w:lang w:eastAsia="fr-FR"/>
              </w:rPr>
              <w:t>Announced Pledges Scenario (</w:t>
            </w:r>
            <w:r w:rsidRPr="00662906">
              <w:rPr>
                <w:sz w:val="18"/>
                <w:szCs w:val="18"/>
              </w:rPr>
              <w:t>APS</w:t>
            </w:r>
            <w:r w:rsidR="004C0FA4" w:rsidRPr="00662906">
              <w:rPr>
                <w:sz w:val="18"/>
                <w:szCs w:val="18"/>
              </w:rPr>
              <w:t>)</w:t>
            </w:r>
            <w:r w:rsidRPr="00662906">
              <w:rPr>
                <w:sz w:val="18"/>
                <w:szCs w:val="18"/>
              </w:rPr>
              <w:t xml:space="preserve">, Industry final energy consumption will have grown by 17% and 21% in 2030 respectively from base year of 2021/22. In 2050, </w:t>
            </w:r>
            <w:r w:rsidR="0077004D" w:rsidRPr="00662906">
              <w:rPr>
                <w:sz w:val="18"/>
                <w:szCs w:val="18"/>
              </w:rPr>
              <w:t>i</w:t>
            </w:r>
            <w:r w:rsidRPr="00662906">
              <w:rPr>
                <w:sz w:val="18"/>
                <w:szCs w:val="18"/>
              </w:rPr>
              <w:t>ndustry FEC will have grown by 72% and 98% compared to the base year of 2021/22.</w:t>
            </w:r>
            <w:r w:rsidR="004C0FA4" w:rsidRPr="00662906">
              <w:rPr>
                <w:sz w:val="18"/>
                <w:szCs w:val="18"/>
              </w:rPr>
              <w:t xml:space="preserve"> </w:t>
            </w:r>
            <w:r w:rsidRPr="00662906">
              <w:rPr>
                <w:sz w:val="18"/>
                <w:szCs w:val="18"/>
              </w:rPr>
              <w:t>The CO2 emissions from industry are foreseen to emulate the energy demand unless if the pledged policies make impact.</w:t>
            </w:r>
          </w:p>
          <w:p w14:paraId="63C313A2" w14:textId="48B49448" w:rsidR="006B2B95" w:rsidRPr="00662906" w:rsidRDefault="2AEFE7AF" w:rsidP="003E3373">
            <w:pPr>
              <w:spacing w:line="259" w:lineRule="auto"/>
              <w:rPr>
                <w:sz w:val="18"/>
                <w:szCs w:val="18"/>
              </w:rPr>
            </w:pPr>
            <w:r w:rsidRPr="00662906">
              <w:rPr>
                <w:sz w:val="18"/>
                <w:szCs w:val="18"/>
              </w:rPr>
              <w:t>African industrialization has been slow and, in some cases, regressing facing competition from other regions like Asia.</w:t>
            </w:r>
            <w:r w:rsidR="004C0FA4" w:rsidRPr="00662906">
              <w:rPr>
                <w:sz w:val="18"/>
                <w:szCs w:val="18"/>
              </w:rPr>
              <w:t xml:space="preserve"> </w:t>
            </w:r>
            <w:r w:rsidRPr="00662906">
              <w:rPr>
                <w:sz w:val="18"/>
                <w:szCs w:val="18"/>
              </w:rPr>
              <w:t>Africa has also been avoided as a priority destination for certain industrial investments, with the Member States largely</w:t>
            </w:r>
            <w:r w:rsidR="004C0FA4" w:rsidRPr="00662906">
              <w:rPr>
                <w:sz w:val="18"/>
                <w:szCs w:val="18"/>
              </w:rPr>
              <w:t xml:space="preserve"> </w:t>
            </w:r>
            <w:r w:rsidRPr="00662906">
              <w:rPr>
                <w:sz w:val="18"/>
                <w:szCs w:val="18"/>
              </w:rPr>
              <w:t>exporting unprocessed strategic/critical mineral</w:t>
            </w:r>
            <w:r w:rsidR="0025270A" w:rsidRPr="00662906">
              <w:rPr>
                <w:sz w:val="18"/>
                <w:szCs w:val="18"/>
              </w:rPr>
              <w:t xml:space="preserve"> </w:t>
            </w:r>
            <w:r w:rsidRPr="00662906">
              <w:rPr>
                <w:sz w:val="18"/>
                <w:szCs w:val="18"/>
              </w:rPr>
              <w:t xml:space="preserve">like lithium, cobalt, nickel, manganese that can make a contribution to energy transition in the continent. </w:t>
            </w:r>
          </w:p>
        </w:tc>
      </w:tr>
      <w:tr w:rsidR="006B2B95" w:rsidRPr="00662906" w14:paraId="7B1899EA"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02DC68B9" w14:textId="77777777" w:rsidR="006B2B95" w:rsidRPr="00662906" w:rsidRDefault="006B2B95" w:rsidP="006B2B95">
            <w:pPr>
              <w:jc w:val="center"/>
              <w:rPr>
                <w:rFonts w:eastAsia="Arial" w:cs="Arial"/>
                <w:b/>
                <w:bCs/>
                <w:color w:val="0D0D0D"/>
                <w:sz w:val="18"/>
                <w:szCs w:val="18"/>
              </w:rPr>
            </w:pPr>
            <w:r w:rsidRPr="00662906">
              <w:rPr>
                <w:b/>
                <w:bCs/>
                <w:sz w:val="18"/>
                <w:szCs w:val="18"/>
              </w:rPr>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4CFFFF40" w14:textId="77777777" w:rsidR="003204F9" w:rsidRPr="00662906" w:rsidRDefault="003204F9" w:rsidP="003204F9">
            <w:pPr>
              <w:rPr>
                <w:sz w:val="18"/>
                <w:szCs w:val="18"/>
                <w:shd w:val="clear" w:color="auto" w:fill="FFFFFF"/>
              </w:rPr>
            </w:pPr>
            <w:r w:rsidRPr="00662906">
              <w:rPr>
                <w:sz w:val="18"/>
                <w:szCs w:val="18"/>
                <w:shd w:val="clear" w:color="auto" w:fill="FFFFFF"/>
              </w:rPr>
              <w:t>Critical challenges include:</w:t>
            </w:r>
          </w:p>
          <w:p w14:paraId="13F022EE" w14:textId="77777777" w:rsidR="003204F9" w:rsidRPr="00662906" w:rsidRDefault="003204F9" w:rsidP="00A944EF">
            <w:pPr>
              <w:pStyle w:val="Bullets"/>
              <w:ind w:left="463"/>
              <w:rPr>
                <w:sz w:val="18"/>
                <w:szCs w:val="18"/>
                <w:shd w:val="clear" w:color="auto" w:fill="FFFFFF"/>
                <w:lang w:val="en-GB"/>
              </w:rPr>
            </w:pPr>
            <w:r w:rsidRPr="00662906">
              <w:rPr>
                <w:sz w:val="18"/>
                <w:szCs w:val="18"/>
                <w:shd w:val="clear" w:color="auto" w:fill="FFFFFF"/>
                <w:lang w:val="en-GB"/>
              </w:rPr>
              <w:t xml:space="preserve">Low market share of African economies in world trade and the deterioration of the terms of trade for raw materials. </w:t>
            </w:r>
          </w:p>
          <w:p w14:paraId="7E78AE6B" w14:textId="77777777" w:rsidR="003204F9" w:rsidRPr="00662906" w:rsidRDefault="003204F9" w:rsidP="00A944EF">
            <w:pPr>
              <w:pStyle w:val="Bullets"/>
              <w:ind w:left="463"/>
              <w:rPr>
                <w:sz w:val="18"/>
                <w:szCs w:val="18"/>
                <w:shd w:val="clear" w:color="auto" w:fill="FFFFFF"/>
                <w:lang w:val="en-GB"/>
              </w:rPr>
            </w:pPr>
            <w:r w:rsidRPr="00662906">
              <w:rPr>
                <w:sz w:val="18"/>
                <w:szCs w:val="18"/>
                <w:shd w:val="clear" w:color="auto" w:fill="FFFFFF"/>
                <w:lang w:val="en-GB"/>
              </w:rPr>
              <w:t>Drive to earn quick revenue from raw materials.</w:t>
            </w:r>
          </w:p>
          <w:p w14:paraId="76C83448" w14:textId="77777777" w:rsidR="003204F9" w:rsidRPr="00662906" w:rsidRDefault="003204F9" w:rsidP="00A944EF">
            <w:pPr>
              <w:pStyle w:val="Bullets"/>
              <w:ind w:left="463"/>
              <w:rPr>
                <w:sz w:val="18"/>
                <w:szCs w:val="18"/>
                <w:shd w:val="clear" w:color="auto" w:fill="FFFFFF"/>
                <w:lang w:val="en-GB"/>
              </w:rPr>
            </w:pPr>
            <w:r w:rsidRPr="00662906">
              <w:rPr>
                <w:sz w:val="18"/>
                <w:szCs w:val="18"/>
                <w:shd w:val="clear" w:color="auto" w:fill="FFFFFF"/>
                <w:lang w:val="en-GB"/>
              </w:rPr>
              <w:t>There is high competition from the Asian more industrialized countries.</w:t>
            </w:r>
          </w:p>
          <w:p w14:paraId="798AA045" w14:textId="77777777" w:rsidR="003204F9" w:rsidRPr="00662906" w:rsidRDefault="003204F9" w:rsidP="00A944EF">
            <w:pPr>
              <w:pStyle w:val="Bullets"/>
              <w:ind w:left="463"/>
              <w:rPr>
                <w:sz w:val="18"/>
                <w:szCs w:val="18"/>
                <w:shd w:val="clear" w:color="auto" w:fill="FFFFFF"/>
                <w:lang w:val="en-GB"/>
              </w:rPr>
            </w:pPr>
            <w:r w:rsidRPr="00662906">
              <w:rPr>
                <w:sz w:val="18"/>
                <w:szCs w:val="18"/>
                <w:shd w:val="clear" w:color="auto" w:fill="FFFFFF"/>
                <w:lang w:val="en-GB"/>
              </w:rPr>
              <w:t>Local infrastructure targeted policies that can support industrialization are lacking.</w:t>
            </w:r>
          </w:p>
          <w:p w14:paraId="4B9054F8" w14:textId="17962093" w:rsidR="006B2B95" w:rsidRPr="00662906" w:rsidRDefault="003204F9" w:rsidP="00A944EF">
            <w:pPr>
              <w:pStyle w:val="Bullets"/>
              <w:ind w:left="463"/>
              <w:rPr>
                <w:rFonts w:ascii="Times New Roman" w:eastAsiaTheme="minorHAnsi" w:hAnsi="Times New Roman" w:cs="Times New Roman"/>
                <w:color w:val="auto"/>
                <w:sz w:val="18"/>
                <w:szCs w:val="18"/>
                <w:lang w:val="en-GB"/>
              </w:rPr>
            </w:pPr>
            <w:r w:rsidRPr="00662906">
              <w:rPr>
                <w:sz w:val="18"/>
                <w:szCs w:val="18"/>
                <w:shd w:val="clear" w:color="auto" w:fill="FFFFFF"/>
                <w:lang w:val="en-GB"/>
              </w:rPr>
              <w:t>R&amp;D, technology transfer and skills for beneficiating the strategic minerals for energy transition is lacking</w:t>
            </w:r>
            <w:r w:rsidR="00044A4B" w:rsidRPr="00662906">
              <w:rPr>
                <w:sz w:val="18"/>
                <w:szCs w:val="18"/>
                <w:shd w:val="clear" w:color="auto" w:fill="FFFFFF"/>
                <w:lang w:val="en-GB"/>
              </w:rPr>
              <w:t>.</w:t>
            </w:r>
          </w:p>
        </w:tc>
      </w:tr>
      <w:tr w:rsidR="006B2B95" w:rsidRPr="00662906" w14:paraId="422E8651"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79D58E74" w14:textId="77777777" w:rsidR="006B2B95" w:rsidRPr="00662906" w:rsidRDefault="006B2B95" w:rsidP="006B2B95">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1445EBBE" w14:textId="4EAA3B52" w:rsidR="009173E4" w:rsidRPr="00662906" w:rsidRDefault="007713DE" w:rsidP="009173E4">
            <w:pPr>
              <w:spacing w:before="0" w:after="160" w:line="259" w:lineRule="auto"/>
              <w:rPr>
                <w:rFonts w:eastAsia="Arial" w:cs="Arial"/>
                <w:sz w:val="18"/>
                <w:szCs w:val="18"/>
              </w:rPr>
            </w:pPr>
            <w:r w:rsidRPr="00662906">
              <w:rPr>
                <w:rFonts w:eastAsia="Arial" w:cs="Arial"/>
                <w:sz w:val="18"/>
                <w:szCs w:val="18"/>
              </w:rPr>
              <w:t xml:space="preserve">By </w:t>
            </w:r>
            <w:r w:rsidR="009173E4" w:rsidRPr="00662906">
              <w:rPr>
                <w:rFonts w:eastAsia="Arial" w:cs="Arial"/>
                <w:sz w:val="18"/>
                <w:szCs w:val="18"/>
              </w:rPr>
              <w:t xml:space="preserve">adopting local </w:t>
            </w:r>
            <w:r w:rsidRPr="00662906">
              <w:rPr>
                <w:rFonts w:eastAsia="Arial" w:cs="Arial"/>
                <w:sz w:val="18"/>
                <w:szCs w:val="18"/>
              </w:rPr>
              <w:t>content in</w:t>
            </w:r>
            <w:r w:rsidR="00182D6B" w:rsidRPr="00662906">
              <w:rPr>
                <w:rFonts w:eastAsia="Arial" w:cs="Arial"/>
                <w:sz w:val="18"/>
                <w:szCs w:val="18"/>
              </w:rPr>
              <w:t xml:space="preserve"> the</w:t>
            </w:r>
            <w:r w:rsidRPr="00662906">
              <w:rPr>
                <w:rFonts w:eastAsia="Arial" w:cs="Arial"/>
                <w:sz w:val="18"/>
                <w:szCs w:val="18"/>
              </w:rPr>
              <w:t xml:space="preserve"> form of</w:t>
            </w:r>
            <w:r w:rsidR="009173E4" w:rsidRPr="00662906">
              <w:rPr>
                <w:rFonts w:eastAsia="Arial" w:cs="Arial"/>
                <w:sz w:val="18"/>
                <w:szCs w:val="18"/>
              </w:rPr>
              <w:t xml:space="preserve"> African </w:t>
            </w:r>
            <w:r w:rsidR="0070004C" w:rsidRPr="00662906">
              <w:rPr>
                <w:rFonts w:eastAsia="Arial" w:cs="Arial"/>
                <w:sz w:val="18"/>
                <w:szCs w:val="18"/>
              </w:rPr>
              <w:t xml:space="preserve">natural </w:t>
            </w:r>
            <w:r w:rsidR="009173E4" w:rsidRPr="00662906">
              <w:rPr>
                <w:rFonts w:eastAsia="Arial" w:cs="Arial"/>
                <w:sz w:val="18"/>
                <w:szCs w:val="18"/>
              </w:rPr>
              <w:t xml:space="preserve">resources is bound to increase value-addition, achieve skills development, and create the much-needed employment especially for the young population of Africa. It also helps diversify the </w:t>
            </w:r>
            <w:r w:rsidR="009173E4" w:rsidRPr="00662906">
              <w:rPr>
                <w:rFonts w:eastAsia="Arial" w:cs="Arial"/>
                <w:sz w:val="18"/>
                <w:szCs w:val="18"/>
              </w:rPr>
              <w:lastRenderedPageBreak/>
              <w:t>economy and reduce dependence on raw material exports particularly from its main primary sectors of agriculture and mining.</w:t>
            </w:r>
          </w:p>
          <w:p w14:paraId="309F3DD6" w14:textId="77777777" w:rsidR="0089700E" w:rsidRPr="00662906" w:rsidRDefault="009173E4" w:rsidP="0089700E">
            <w:pPr>
              <w:spacing w:before="0" w:after="160" w:line="259" w:lineRule="auto"/>
              <w:rPr>
                <w:rFonts w:eastAsia="Arial" w:cs="Arial"/>
                <w:sz w:val="18"/>
                <w:szCs w:val="18"/>
              </w:rPr>
            </w:pPr>
            <w:r w:rsidRPr="00662906">
              <w:rPr>
                <w:rFonts w:eastAsia="Arial" w:cs="Arial"/>
                <w:sz w:val="18"/>
                <w:szCs w:val="18"/>
              </w:rPr>
              <w:t>Africa presents an opportunity to beneficiate its strategic minerals for battery technology, manufacturing solar equipment and using its abundant RE in form of solar and wind power to manufacture hydrogen, thereby creating the much-needed economic growth and employment.</w:t>
            </w:r>
            <w:r w:rsidR="0089700E" w:rsidRPr="00662906">
              <w:rPr>
                <w:rFonts w:eastAsia="Arial" w:cs="Arial"/>
                <w:sz w:val="18"/>
                <w:szCs w:val="18"/>
              </w:rPr>
              <w:t xml:space="preserve"> </w:t>
            </w:r>
          </w:p>
          <w:p w14:paraId="322C4B1D" w14:textId="125BB246" w:rsidR="009173E4" w:rsidRPr="00662906" w:rsidRDefault="0089700E" w:rsidP="009173E4">
            <w:pPr>
              <w:spacing w:before="0" w:after="160" w:line="259" w:lineRule="auto"/>
              <w:rPr>
                <w:rFonts w:eastAsia="Arial" w:cs="Arial"/>
                <w:sz w:val="18"/>
                <w:szCs w:val="18"/>
              </w:rPr>
            </w:pPr>
            <w:r w:rsidRPr="00662906">
              <w:rPr>
                <w:rFonts w:eastAsia="Arial" w:cs="Arial"/>
                <w:sz w:val="18"/>
                <w:szCs w:val="18"/>
              </w:rPr>
              <w:t xml:space="preserve">The share of economic sectors in GDP and employment on the continent is expected to increase as new industries are created. </w:t>
            </w:r>
          </w:p>
          <w:p w14:paraId="684A5A38" w14:textId="2ACCD71A" w:rsidR="009173E4" w:rsidRPr="00662906" w:rsidRDefault="009173E4" w:rsidP="009173E4">
            <w:pPr>
              <w:spacing w:before="0" w:after="160" w:line="259" w:lineRule="auto"/>
              <w:rPr>
                <w:rFonts w:eastAsia="Arial" w:cs="Arial"/>
                <w:sz w:val="18"/>
                <w:szCs w:val="18"/>
              </w:rPr>
            </w:pPr>
            <w:r w:rsidRPr="00662906">
              <w:rPr>
                <w:rFonts w:eastAsia="Arial" w:cs="Arial"/>
                <w:sz w:val="18"/>
                <w:szCs w:val="18"/>
              </w:rPr>
              <w:t xml:space="preserve">There is already concerted effort to produce </w:t>
            </w:r>
            <w:r w:rsidR="00504943" w:rsidRPr="00662906">
              <w:rPr>
                <w:rFonts w:eastAsia="Arial" w:cs="Arial"/>
                <w:sz w:val="18"/>
                <w:szCs w:val="18"/>
              </w:rPr>
              <w:t>hydrogen</w:t>
            </w:r>
            <w:r w:rsidRPr="00662906">
              <w:rPr>
                <w:rFonts w:eastAsia="Arial" w:cs="Arial"/>
                <w:sz w:val="18"/>
                <w:szCs w:val="18"/>
              </w:rPr>
              <w:t xml:space="preserve"> already on the continent utilizing the abundant solar resources in a number of countries in Africa.</w:t>
            </w:r>
            <w:r w:rsidR="004C0FA4" w:rsidRPr="00662906">
              <w:rPr>
                <w:rFonts w:eastAsia="Arial" w:cs="Arial"/>
                <w:sz w:val="18"/>
                <w:szCs w:val="18"/>
              </w:rPr>
              <w:t xml:space="preserve"> </w:t>
            </w:r>
            <w:r w:rsidRPr="00662906">
              <w:rPr>
                <w:rFonts w:eastAsia="Arial" w:cs="Arial"/>
                <w:sz w:val="18"/>
                <w:szCs w:val="18"/>
              </w:rPr>
              <w:t>The Africa Green Hydrogen Alliance (AGHA)</w:t>
            </w:r>
            <w:r w:rsidR="004C0FA4" w:rsidRPr="00662906">
              <w:rPr>
                <w:rFonts w:eastAsia="Arial" w:cs="Arial"/>
                <w:sz w:val="18"/>
                <w:szCs w:val="18"/>
              </w:rPr>
              <w:t xml:space="preserve"> </w:t>
            </w:r>
            <w:r w:rsidRPr="00662906">
              <w:rPr>
                <w:rFonts w:eastAsia="Arial" w:cs="Arial"/>
                <w:sz w:val="18"/>
                <w:szCs w:val="18"/>
              </w:rPr>
              <w:t xml:space="preserve">that include Egypt, Kenya, Mauritania, Morocco, Namibia, and South Africa are estimated to add $66 billion to $126 billion to the GDP of AGHA member countries in 2050. This is equivalent to 6 percent to 12 percent of the current GDP of these countries. This could also create 2 million to 4 million jobs by 2050 in AGHA member countries. </w:t>
            </w:r>
          </w:p>
          <w:p w14:paraId="39886F9C" w14:textId="1BD87F02" w:rsidR="00841DDF" w:rsidRPr="00662906" w:rsidRDefault="00841DDF" w:rsidP="0098698D">
            <w:pPr>
              <w:rPr>
                <w:rFonts w:eastAsia="Arial" w:cs="Arial"/>
                <w:sz w:val="18"/>
                <w:szCs w:val="18"/>
              </w:rPr>
            </w:pPr>
            <w:r w:rsidRPr="00662906">
              <w:rPr>
                <w:rFonts w:eastAsia="Arial" w:cs="Arial"/>
                <w:sz w:val="18"/>
                <w:szCs w:val="18"/>
              </w:rPr>
              <w:t>By</w:t>
            </w:r>
            <w:r w:rsidR="00AE7D1F" w:rsidRPr="00662906">
              <w:rPr>
                <w:rFonts w:eastAsia="Arial" w:cs="Arial"/>
                <w:sz w:val="18"/>
                <w:szCs w:val="18"/>
              </w:rPr>
              <w:t xml:space="preserve"> </w:t>
            </w:r>
            <w:r w:rsidRPr="00662906">
              <w:rPr>
                <w:rFonts w:eastAsia="Arial" w:cs="Arial"/>
                <w:sz w:val="18"/>
                <w:szCs w:val="18"/>
              </w:rPr>
              <w:t>delivering</w:t>
            </w:r>
            <w:r w:rsidR="007713DE" w:rsidRPr="00662906">
              <w:rPr>
                <w:rFonts w:eastAsia="Arial" w:cs="Arial"/>
                <w:sz w:val="18"/>
                <w:szCs w:val="18"/>
              </w:rPr>
              <w:t xml:space="preserve"> </w:t>
            </w:r>
            <w:r w:rsidRPr="00662906">
              <w:rPr>
                <w:rFonts w:eastAsia="Arial" w:cs="Arial"/>
                <w:sz w:val="18"/>
                <w:szCs w:val="18"/>
              </w:rPr>
              <w:t xml:space="preserve">on AGHA’s green hydrogen potential, member countries could help abate around 6.5 </w:t>
            </w:r>
            <w:r w:rsidR="00950B91" w:rsidRPr="00662906">
              <w:rPr>
                <w:rFonts w:eastAsia="Arial" w:cs="Arial"/>
                <w:sz w:val="18"/>
                <w:szCs w:val="18"/>
              </w:rPr>
              <w:t>Gigaton (</w:t>
            </w:r>
            <w:r w:rsidRPr="00662906">
              <w:rPr>
                <w:rFonts w:eastAsia="Arial" w:cs="Arial"/>
                <w:sz w:val="18"/>
                <w:szCs w:val="18"/>
              </w:rPr>
              <w:t>Gt</w:t>
            </w:r>
            <w:r w:rsidR="00950B91" w:rsidRPr="00662906">
              <w:rPr>
                <w:rFonts w:eastAsia="Arial" w:cs="Arial"/>
                <w:sz w:val="18"/>
                <w:szCs w:val="18"/>
              </w:rPr>
              <w:t>)</w:t>
            </w:r>
            <w:r w:rsidRPr="00662906">
              <w:rPr>
                <w:rFonts w:eastAsia="Arial" w:cs="Arial"/>
                <w:sz w:val="18"/>
                <w:szCs w:val="18"/>
              </w:rPr>
              <w:t xml:space="preserve"> of cumulative CO</w:t>
            </w:r>
            <w:r w:rsidRPr="00662906">
              <w:rPr>
                <w:rFonts w:eastAsia="Arial" w:cs="Arial"/>
                <w:sz w:val="18"/>
                <w:szCs w:val="18"/>
                <w:vertAlign w:val="subscript"/>
              </w:rPr>
              <w:t xml:space="preserve">2 </w:t>
            </w:r>
            <w:r w:rsidRPr="00662906">
              <w:rPr>
                <w:rFonts w:eastAsia="Arial" w:cs="Arial"/>
                <w:sz w:val="18"/>
                <w:szCs w:val="18"/>
              </w:rPr>
              <w:t>emissions globally by 2050, roughly equivalent to the combined CO</w:t>
            </w:r>
            <w:r w:rsidRPr="00662906">
              <w:rPr>
                <w:rFonts w:eastAsia="Arial" w:cs="Arial"/>
                <w:sz w:val="18"/>
                <w:szCs w:val="18"/>
                <w:vertAlign w:val="subscript"/>
              </w:rPr>
              <w:t>2</w:t>
            </w:r>
            <w:r w:rsidRPr="00662906">
              <w:rPr>
                <w:rFonts w:eastAsia="Arial" w:cs="Arial"/>
                <w:sz w:val="18"/>
                <w:szCs w:val="18"/>
              </w:rPr>
              <w:t xml:space="preserve"> emission in the United States and Europe in 2021</w:t>
            </w:r>
            <w:r w:rsidR="00084A96" w:rsidRPr="00662906">
              <w:rPr>
                <w:rStyle w:val="FootnoteReference"/>
                <w:rFonts w:eastAsia="Arial" w:cs="Arial"/>
                <w:sz w:val="18"/>
                <w:szCs w:val="18"/>
              </w:rPr>
              <w:footnoteReference w:id="20"/>
            </w:r>
            <w:r w:rsidRPr="00662906">
              <w:rPr>
                <w:rFonts w:eastAsia="Arial" w:cs="Arial"/>
                <w:sz w:val="18"/>
                <w:szCs w:val="18"/>
              </w:rPr>
              <w:t>.</w:t>
            </w:r>
          </w:p>
        </w:tc>
      </w:tr>
      <w:tr w:rsidR="006B2B95" w:rsidRPr="00662906" w14:paraId="3C0C5D89"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0DE3B8AE" w14:textId="77777777" w:rsidR="006B2B95" w:rsidRPr="00662906" w:rsidRDefault="006B2B95" w:rsidP="006B2B95">
            <w:pPr>
              <w:jc w:val="center"/>
              <w:rPr>
                <w:rFonts w:eastAsia="Arial" w:cs="Arial"/>
                <w:b/>
                <w:bCs/>
                <w:color w:val="0D0D0D"/>
                <w:sz w:val="18"/>
                <w:szCs w:val="18"/>
              </w:rPr>
            </w:pPr>
            <w:r w:rsidRPr="00662906">
              <w:rPr>
                <w:b/>
                <w:bCs/>
                <w:sz w:val="18"/>
                <w:szCs w:val="18"/>
              </w:rPr>
              <w:lastRenderedPageBreak/>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06D11726" w14:textId="77777777" w:rsidR="002D60E5" w:rsidRPr="00662906" w:rsidRDefault="002D60E5" w:rsidP="002D60E5">
            <w:pPr>
              <w:rPr>
                <w:i/>
                <w:iCs/>
                <w:sz w:val="18"/>
                <w:szCs w:val="18"/>
              </w:rPr>
            </w:pPr>
            <w:r w:rsidRPr="00662906">
              <w:rPr>
                <w:i/>
                <w:iCs/>
                <w:sz w:val="18"/>
                <w:szCs w:val="18"/>
              </w:rPr>
              <w:t>Energy Transition Technical opportunities</w:t>
            </w:r>
          </w:p>
          <w:p w14:paraId="1E71C767" w14:textId="77777777" w:rsidR="002D60E5" w:rsidRPr="00662906" w:rsidRDefault="002D60E5" w:rsidP="00DB46D5">
            <w:pPr>
              <w:rPr>
                <w:sz w:val="18"/>
                <w:szCs w:val="18"/>
              </w:rPr>
            </w:pPr>
            <w:r w:rsidRPr="00662906">
              <w:rPr>
                <w:sz w:val="18"/>
                <w:szCs w:val="18"/>
              </w:rPr>
              <w:t>Africa, being endowed with clean and RE resources, many minerals and also a rich agricultural land has opportunities to boost its industrialization favouring for local processing of its raw materials.</w:t>
            </w:r>
          </w:p>
          <w:p w14:paraId="0DFB6F8C" w14:textId="6CC4A8E9" w:rsidR="002D60E5" w:rsidRPr="00662906" w:rsidRDefault="2872E1D0" w:rsidP="00DB46D5">
            <w:pPr>
              <w:rPr>
                <w:sz w:val="18"/>
                <w:szCs w:val="18"/>
              </w:rPr>
            </w:pPr>
            <w:r w:rsidRPr="00662906">
              <w:rPr>
                <w:sz w:val="18"/>
                <w:szCs w:val="18"/>
              </w:rPr>
              <w:t xml:space="preserve">ET opportunities for deployment of decarbonization measures e.g. by substituting the fossil fuels with hydrogen do exist in hard to </w:t>
            </w:r>
            <w:r w:rsidR="3D0F5D58" w:rsidRPr="00662906">
              <w:rPr>
                <w:sz w:val="18"/>
                <w:szCs w:val="18"/>
              </w:rPr>
              <w:t>abate</w:t>
            </w:r>
            <w:r w:rsidRPr="00662906">
              <w:rPr>
                <w:sz w:val="18"/>
                <w:szCs w:val="18"/>
              </w:rPr>
              <w:t xml:space="preserve"> industries of chemical industries (ammonia, methanol), steel making, concrete</w:t>
            </w:r>
            <w:r w:rsidR="21DFBF63" w:rsidRPr="00662906">
              <w:rPr>
                <w:sz w:val="18"/>
                <w:szCs w:val="18"/>
              </w:rPr>
              <w:t>/cement</w:t>
            </w:r>
            <w:r w:rsidRPr="00662906">
              <w:rPr>
                <w:sz w:val="18"/>
                <w:szCs w:val="18"/>
              </w:rPr>
              <w:t xml:space="preserve"> production and oil refining</w:t>
            </w:r>
            <w:r w:rsidR="2558C1C7" w:rsidRPr="00662906">
              <w:rPr>
                <w:sz w:val="18"/>
                <w:szCs w:val="18"/>
              </w:rPr>
              <w:t>, and Transportation</w:t>
            </w:r>
            <w:r w:rsidR="002D60E5" w:rsidRPr="00662906">
              <w:rPr>
                <w:sz w:val="18"/>
                <w:szCs w:val="18"/>
                <w:vertAlign w:val="superscript"/>
              </w:rPr>
              <w:footnoteReference w:id="21"/>
            </w:r>
            <w:r w:rsidRPr="00662906">
              <w:rPr>
                <w:sz w:val="18"/>
                <w:szCs w:val="18"/>
              </w:rPr>
              <w:t>. There are also energy efficiency opportunities, deploying localized RE sources and recycling of waste to energy or back into the manufacturing value chain.</w:t>
            </w:r>
          </w:p>
          <w:p w14:paraId="01F2F906" w14:textId="77777777" w:rsidR="002D60E5" w:rsidRPr="00662906" w:rsidRDefault="002D60E5" w:rsidP="00DB46D5">
            <w:pPr>
              <w:rPr>
                <w:sz w:val="18"/>
                <w:szCs w:val="18"/>
              </w:rPr>
            </w:pPr>
            <w:r w:rsidRPr="00662906">
              <w:rPr>
                <w:sz w:val="18"/>
                <w:szCs w:val="18"/>
              </w:rPr>
              <w:t>Under ET paradigm, new industries can also be introduced to proliferate manufacturing of RE and EE equipment, including manufacturing of battery for RE-Based Electricity storage and for Transport.</w:t>
            </w:r>
          </w:p>
          <w:p w14:paraId="61480044" w14:textId="77777777" w:rsidR="002D60E5" w:rsidRPr="00662906" w:rsidRDefault="002D60E5" w:rsidP="00DB46D5">
            <w:pPr>
              <w:rPr>
                <w:i/>
                <w:iCs/>
                <w:sz w:val="18"/>
                <w:szCs w:val="18"/>
              </w:rPr>
            </w:pPr>
            <w:r w:rsidRPr="00662906">
              <w:rPr>
                <w:i/>
                <w:iCs/>
                <w:sz w:val="18"/>
                <w:szCs w:val="18"/>
              </w:rPr>
              <w:t>‘Soft’ Solutions</w:t>
            </w:r>
          </w:p>
          <w:p w14:paraId="223F2D8A" w14:textId="77777777" w:rsidR="002D60E5" w:rsidRPr="00662906" w:rsidRDefault="002D60E5" w:rsidP="00DB46D5">
            <w:pPr>
              <w:rPr>
                <w:sz w:val="18"/>
                <w:szCs w:val="18"/>
              </w:rPr>
            </w:pPr>
            <w:r w:rsidRPr="00662906">
              <w:rPr>
                <w:sz w:val="18"/>
                <w:szCs w:val="18"/>
              </w:rPr>
              <w:t xml:space="preserve">Development of infrastructure, improvement of the investment climate, transparency of legislation, reduction of administrative costs for doing business, reduction of corruption, prevention of armed conflicts are a necessity to attract industrialization especially of new technologies and processes. </w:t>
            </w:r>
          </w:p>
          <w:p w14:paraId="6CC2C2C6" w14:textId="698D810E" w:rsidR="002D60E5" w:rsidRPr="00662906" w:rsidRDefault="2872E1D0" w:rsidP="002D60E5">
            <w:pPr>
              <w:rPr>
                <w:sz w:val="18"/>
                <w:szCs w:val="18"/>
              </w:rPr>
            </w:pPr>
            <w:r w:rsidRPr="00662906">
              <w:rPr>
                <w:sz w:val="18"/>
                <w:szCs w:val="18"/>
              </w:rPr>
              <w:t>Regional integration would help to address the common challenges facing Africa to increase market</w:t>
            </w:r>
            <w:r w:rsidR="511D7E2D" w:rsidRPr="00662906">
              <w:rPr>
                <w:sz w:val="18"/>
                <w:szCs w:val="18"/>
              </w:rPr>
              <w:t>s</w:t>
            </w:r>
            <w:r w:rsidRPr="00662906">
              <w:rPr>
                <w:sz w:val="18"/>
                <w:szCs w:val="18"/>
              </w:rPr>
              <w:t xml:space="preserve"> for the products manufactured on the continent</w:t>
            </w:r>
            <w:r w:rsidR="002D60E5" w:rsidRPr="00662906">
              <w:rPr>
                <w:sz w:val="18"/>
                <w:szCs w:val="18"/>
                <w:vertAlign w:val="superscript"/>
              </w:rPr>
              <w:footnoteReference w:id="22"/>
            </w:r>
            <w:r w:rsidRPr="00662906">
              <w:rPr>
                <w:sz w:val="18"/>
                <w:szCs w:val="18"/>
              </w:rPr>
              <w:t>.</w:t>
            </w:r>
          </w:p>
          <w:p w14:paraId="06B71640" w14:textId="77777777" w:rsidR="002D60E5" w:rsidRPr="00662906" w:rsidRDefault="002D60E5" w:rsidP="002D60E5">
            <w:pPr>
              <w:rPr>
                <w:sz w:val="18"/>
                <w:szCs w:val="18"/>
              </w:rPr>
            </w:pPr>
            <w:r w:rsidRPr="00662906">
              <w:rPr>
                <w:sz w:val="18"/>
                <w:szCs w:val="18"/>
              </w:rPr>
              <w:t xml:space="preserve">For decarbonization, countries and regions and the continent can also harmonize policies for trade that recognizes carbon mitigation adjustments in the manufacture of products.  </w:t>
            </w:r>
          </w:p>
          <w:p w14:paraId="38DD5384" w14:textId="77777777" w:rsidR="002D60E5" w:rsidRPr="00662906" w:rsidRDefault="002D60E5" w:rsidP="002D60E5">
            <w:pPr>
              <w:rPr>
                <w:sz w:val="18"/>
                <w:szCs w:val="18"/>
              </w:rPr>
            </w:pPr>
            <w:r w:rsidRPr="00662906">
              <w:rPr>
                <w:sz w:val="18"/>
                <w:szCs w:val="18"/>
              </w:rPr>
              <w:t>Deliberate industrialization strategies for encouraging local processing, productivity, skills development, and employment are needed and can be supported by policies that focus on:</w:t>
            </w:r>
          </w:p>
          <w:p w14:paraId="1DD9C69F" w14:textId="783E6DB3" w:rsidR="002D60E5" w:rsidRPr="00662906" w:rsidRDefault="2872E1D0" w:rsidP="002D60E5">
            <w:pPr>
              <w:pStyle w:val="Bullets"/>
              <w:ind w:left="463"/>
              <w:rPr>
                <w:sz w:val="18"/>
                <w:szCs w:val="18"/>
                <w:lang w:val="en-GB"/>
              </w:rPr>
            </w:pPr>
            <w:r w:rsidRPr="00662906">
              <w:rPr>
                <w:sz w:val="18"/>
                <w:szCs w:val="18"/>
                <w:lang w:val="en-GB"/>
              </w:rPr>
              <w:t>Creating Special processing zones with special incentives to nature new industries especially those that will focus on beneficiation of strategic minerals e.g. for electric Vehicle batteries</w:t>
            </w:r>
            <w:r w:rsidR="1BE0E133" w:rsidRPr="00662906">
              <w:rPr>
                <w:sz w:val="18"/>
                <w:szCs w:val="18"/>
                <w:lang w:val="en-GB"/>
              </w:rPr>
              <w:t>,</w:t>
            </w:r>
            <w:r w:rsidRPr="00662906">
              <w:rPr>
                <w:sz w:val="18"/>
                <w:szCs w:val="18"/>
                <w:lang w:val="en-GB"/>
              </w:rPr>
              <w:t xml:space="preserve"> </w:t>
            </w:r>
          </w:p>
          <w:p w14:paraId="46A5892B" w14:textId="0F095323" w:rsidR="002D60E5" w:rsidRPr="00662906" w:rsidRDefault="00504943" w:rsidP="002D60E5">
            <w:pPr>
              <w:pStyle w:val="Bullets"/>
              <w:ind w:left="463"/>
              <w:rPr>
                <w:sz w:val="18"/>
                <w:szCs w:val="18"/>
                <w:lang w:val="en-GB"/>
              </w:rPr>
            </w:pPr>
            <w:r w:rsidRPr="00662906">
              <w:rPr>
                <w:sz w:val="18"/>
                <w:szCs w:val="18"/>
                <w:lang w:val="en-GB"/>
              </w:rPr>
              <w:lastRenderedPageBreak/>
              <w:t>Localizing</w:t>
            </w:r>
            <w:r w:rsidR="002D60E5" w:rsidRPr="00662906">
              <w:rPr>
                <w:sz w:val="18"/>
                <w:szCs w:val="18"/>
                <w:lang w:val="en-GB"/>
              </w:rPr>
              <w:t xml:space="preserve"> manufacturing segments with dedicated intent to create competitiveness on the global markets.</w:t>
            </w:r>
          </w:p>
          <w:p w14:paraId="578C146E" w14:textId="6CF1EDA0" w:rsidR="002D60E5" w:rsidRPr="00662906" w:rsidRDefault="002D60E5" w:rsidP="002D60E5">
            <w:pPr>
              <w:pStyle w:val="Bullets"/>
              <w:ind w:left="463"/>
              <w:rPr>
                <w:sz w:val="18"/>
                <w:szCs w:val="18"/>
                <w:lang w:val="en-GB"/>
              </w:rPr>
            </w:pPr>
            <w:r w:rsidRPr="00662906">
              <w:rPr>
                <w:sz w:val="18"/>
                <w:szCs w:val="18"/>
                <w:lang w:val="en-GB"/>
              </w:rPr>
              <w:t>Supporting technology transfer and patents procurement</w:t>
            </w:r>
            <w:r w:rsidR="00BA066D" w:rsidRPr="00662906">
              <w:rPr>
                <w:sz w:val="18"/>
                <w:szCs w:val="18"/>
                <w:lang w:val="en-GB"/>
              </w:rPr>
              <w:t>.</w:t>
            </w:r>
          </w:p>
          <w:p w14:paraId="33F8A9B0" w14:textId="73A371F2" w:rsidR="002D60E5" w:rsidRPr="00662906" w:rsidRDefault="002D60E5" w:rsidP="002D60E5">
            <w:pPr>
              <w:pStyle w:val="Bullets"/>
              <w:ind w:left="463"/>
              <w:rPr>
                <w:sz w:val="18"/>
                <w:szCs w:val="18"/>
                <w:lang w:val="en-GB"/>
              </w:rPr>
            </w:pPr>
            <w:r w:rsidRPr="00662906">
              <w:rPr>
                <w:sz w:val="18"/>
                <w:szCs w:val="18"/>
                <w:lang w:val="en-GB"/>
              </w:rPr>
              <w:t>Targeting beneficiation of strategic minerals for Africa’s ET</w:t>
            </w:r>
            <w:r w:rsidR="00BA066D" w:rsidRPr="00662906">
              <w:rPr>
                <w:sz w:val="18"/>
                <w:szCs w:val="18"/>
                <w:lang w:val="en-GB"/>
              </w:rPr>
              <w:t>.</w:t>
            </w:r>
          </w:p>
          <w:p w14:paraId="36A03B36" w14:textId="18CF31A1" w:rsidR="00D960FE" w:rsidRPr="00662906" w:rsidRDefault="002D60E5" w:rsidP="002D60E5">
            <w:pPr>
              <w:pStyle w:val="Bullets"/>
              <w:ind w:left="463"/>
              <w:rPr>
                <w:rFonts w:eastAsia="Arial" w:cs="Arial"/>
                <w:color w:val="0D0D0D"/>
                <w:sz w:val="18"/>
                <w:szCs w:val="18"/>
                <w:lang w:val="en-GB"/>
              </w:rPr>
            </w:pPr>
            <w:r w:rsidRPr="00662906">
              <w:rPr>
                <w:sz w:val="18"/>
                <w:szCs w:val="18"/>
                <w:lang w:val="en-GB"/>
              </w:rPr>
              <w:t>Supporting integrated planning of industrialization with mining and agriculture productivity.</w:t>
            </w:r>
          </w:p>
        </w:tc>
      </w:tr>
    </w:tbl>
    <w:p w14:paraId="43B7ED61" w14:textId="77777777" w:rsidR="00A146E5" w:rsidRPr="00662906" w:rsidRDefault="00A146E5" w:rsidP="00A146E5">
      <w:pPr>
        <w:rPr>
          <w:rFonts w:eastAsia="Arial" w:cs="Arial"/>
          <w:i/>
          <w:iCs/>
          <w:color w:val="B4A169"/>
          <w:sz w:val="16"/>
          <w:szCs w:val="16"/>
        </w:rPr>
      </w:pPr>
      <w:bookmarkStart w:id="226" w:name="_Toc166775517"/>
      <w:bookmarkStart w:id="227" w:name="_Toc166775765"/>
      <w:bookmarkStart w:id="228" w:name="_Toc176787190"/>
      <w:bookmarkStart w:id="229" w:name="_Toc166603630"/>
      <w:bookmarkStart w:id="230" w:name="_Toc166603752"/>
      <w:bookmarkStart w:id="231" w:name="_Toc166603838"/>
      <w:bookmarkStart w:id="232" w:name="_Toc166603952"/>
      <w:bookmarkStart w:id="233" w:name="_Toc166604050"/>
      <w:bookmarkStart w:id="234" w:name="_Toc166604200"/>
      <w:bookmarkStart w:id="235" w:name="_Toc166604333"/>
      <w:bookmarkStart w:id="236" w:name="_Toc166763460"/>
      <w:bookmarkStart w:id="237" w:name="_Toc178937477"/>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p>
    <w:p w14:paraId="0D415696" w14:textId="0C0E8CF2" w:rsidR="0051797F" w:rsidRPr="00662906" w:rsidRDefault="0051797F" w:rsidP="00956995">
      <w:pPr>
        <w:pStyle w:val="Heading3"/>
        <w:ind w:left="567"/>
      </w:pPr>
      <w:bookmarkStart w:id="238" w:name="_Toc197433818"/>
      <w:r w:rsidRPr="00662906">
        <w:t>Oil and Gas</w:t>
      </w:r>
      <w:bookmarkEnd w:id="226"/>
      <w:bookmarkEnd w:id="227"/>
      <w:bookmarkEnd w:id="228"/>
      <w:r w:rsidRPr="00662906">
        <w:t xml:space="preserve"> </w:t>
      </w:r>
      <w:bookmarkEnd w:id="229"/>
      <w:bookmarkEnd w:id="230"/>
      <w:bookmarkEnd w:id="231"/>
      <w:bookmarkEnd w:id="232"/>
      <w:bookmarkEnd w:id="233"/>
      <w:bookmarkEnd w:id="234"/>
      <w:bookmarkEnd w:id="235"/>
      <w:bookmarkEnd w:id="236"/>
      <w:r w:rsidRPr="00662906">
        <w:t>and related infrastructure</w:t>
      </w:r>
      <w:bookmarkEnd w:id="237"/>
      <w:bookmarkEnd w:id="238"/>
    </w:p>
    <w:p w14:paraId="1EA38020" w14:textId="4282F6EA" w:rsidR="0051797F" w:rsidRPr="00662906" w:rsidRDefault="005E5934" w:rsidP="005E5934">
      <w:pPr>
        <w:pStyle w:val="Caption"/>
      </w:pPr>
      <w:bookmarkStart w:id="239" w:name="_Toc197433893"/>
      <w:r w:rsidRPr="00662906">
        <w:t xml:space="preserve">Table </w:t>
      </w:r>
      <w:r w:rsidRPr="00662906">
        <w:fldChar w:fldCharType="begin"/>
      </w:r>
      <w:r w:rsidRPr="00662906">
        <w:instrText>SEQ Table \* ARABIC</w:instrText>
      </w:r>
      <w:r w:rsidRPr="00662906">
        <w:fldChar w:fldCharType="separate"/>
      </w:r>
      <w:r w:rsidR="00610F61">
        <w:rPr>
          <w:noProof/>
        </w:rPr>
        <w:t>5</w:t>
      </w:r>
      <w:r w:rsidRPr="00662906">
        <w:fldChar w:fldCharType="end"/>
      </w:r>
      <w:r w:rsidR="00504943" w:rsidRPr="00662906">
        <w:t>:</w:t>
      </w:r>
      <w:r w:rsidRPr="00662906">
        <w:t xml:space="preserve"> Summarized assessment of the oil and gas sector in the context of ET in Africa.</w:t>
      </w:r>
      <w:bookmarkEnd w:id="239"/>
    </w:p>
    <w:tbl>
      <w:tblPr>
        <w:tblStyle w:val="TableGrid"/>
        <w:tblW w:w="9078" w:type="dxa"/>
        <w:tblLayout w:type="fixed"/>
        <w:tblLook w:val="06A0" w:firstRow="1" w:lastRow="0" w:firstColumn="1" w:lastColumn="0" w:noHBand="1" w:noVBand="1"/>
      </w:tblPr>
      <w:tblGrid>
        <w:gridCol w:w="2253"/>
        <w:gridCol w:w="6825"/>
      </w:tblGrid>
      <w:tr w:rsidR="005E5934" w:rsidRPr="00662906" w14:paraId="7CF56CF1"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137C8D4C" w14:textId="77777777" w:rsidR="005E5934" w:rsidRPr="00662906" w:rsidRDefault="005E5934"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2C45630B" w14:textId="77777777" w:rsidR="005E5934" w:rsidRPr="00662906" w:rsidRDefault="005E5934" w:rsidP="002E08DF">
            <w:pPr>
              <w:jc w:val="center"/>
              <w:rPr>
                <w:sz w:val="18"/>
                <w:szCs w:val="18"/>
              </w:rPr>
            </w:pPr>
            <w:r w:rsidRPr="00662906">
              <w:rPr>
                <w:rFonts w:eastAsia="Arial" w:cs="Arial"/>
                <w:b/>
                <w:bCs/>
                <w:color w:val="FFFFFF" w:themeColor="background2"/>
                <w:sz w:val="18"/>
                <w:szCs w:val="18"/>
              </w:rPr>
              <w:t>Overview</w:t>
            </w:r>
          </w:p>
        </w:tc>
      </w:tr>
      <w:tr w:rsidR="005E5934" w:rsidRPr="00662906" w14:paraId="52DE22D5"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E61527C" w14:textId="77777777" w:rsidR="005E5934" w:rsidRPr="00662906" w:rsidRDefault="005E5934"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1B1F0353" w14:textId="77777777" w:rsidR="00D5528F" w:rsidRPr="00662906" w:rsidRDefault="69D6F05D" w:rsidP="00D5528F">
            <w:pPr>
              <w:rPr>
                <w:sz w:val="18"/>
                <w:szCs w:val="18"/>
                <w:lang w:eastAsia="fr-FR"/>
              </w:rPr>
            </w:pPr>
            <w:r w:rsidRPr="00662906">
              <w:rPr>
                <w:sz w:val="18"/>
                <w:szCs w:val="18"/>
              </w:rPr>
              <w:t>Africa is a significant global player in oil and gas</w:t>
            </w:r>
            <w:r w:rsidR="4F7BB927" w:rsidRPr="00662906">
              <w:rPr>
                <w:sz w:val="18"/>
                <w:szCs w:val="18"/>
              </w:rPr>
              <w:t xml:space="preserve"> production</w:t>
            </w:r>
            <w:r w:rsidRPr="00662906">
              <w:rPr>
                <w:sz w:val="18"/>
                <w:szCs w:val="18"/>
              </w:rPr>
              <w:t xml:space="preserve">, with major producers like Nigeria, Angola, and Algeria leading exports. </w:t>
            </w:r>
            <w:r w:rsidR="00D5528F" w:rsidRPr="00662906">
              <w:rPr>
                <w:sz w:val="18"/>
                <w:szCs w:val="18"/>
                <w:lang w:eastAsia="fr-FR"/>
              </w:rPr>
              <w:t>Africa currently produces 7 million barrels of crude oil per day, with about 40% of it being exported.</w:t>
            </w:r>
          </w:p>
          <w:p w14:paraId="26A63F7B" w14:textId="26C90537" w:rsidR="005E5934" w:rsidRPr="00662906" w:rsidRDefault="69D6F05D" w:rsidP="002E08DF">
            <w:pPr>
              <w:spacing w:line="259" w:lineRule="auto"/>
              <w:rPr>
                <w:sz w:val="18"/>
                <w:szCs w:val="18"/>
              </w:rPr>
            </w:pPr>
            <w:r w:rsidRPr="00662906">
              <w:rPr>
                <w:sz w:val="18"/>
                <w:szCs w:val="18"/>
              </w:rPr>
              <w:t>Natural gas is</w:t>
            </w:r>
            <w:r w:rsidR="59BE5D0E" w:rsidRPr="00662906">
              <w:rPr>
                <w:sz w:val="18"/>
                <w:szCs w:val="18"/>
              </w:rPr>
              <w:t xml:space="preserve"> still</w:t>
            </w:r>
            <w:r w:rsidRPr="00662906">
              <w:rPr>
                <w:sz w:val="18"/>
                <w:szCs w:val="18"/>
              </w:rPr>
              <w:t xml:space="preserve"> a growing sector, with reserves in </w:t>
            </w:r>
            <w:r w:rsidR="66865EB7" w:rsidRPr="00662906">
              <w:rPr>
                <w:sz w:val="18"/>
                <w:szCs w:val="18"/>
              </w:rPr>
              <w:t xml:space="preserve">various AU MS that include </w:t>
            </w:r>
            <w:r w:rsidRPr="00662906">
              <w:rPr>
                <w:sz w:val="18"/>
                <w:szCs w:val="18"/>
              </w:rPr>
              <w:t>Nigeria, Mozambique, and Senegal, but infrastructure like pipelines and</w:t>
            </w:r>
            <w:r w:rsidR="004C0FA4" w:rsidRPr="00662906">
              <w:rPr>
                <w:sz w:val="18"/>
                <w:szCs w:val="18"/>
              </w:rPr>
              <w:t xml:space="preserve"> Liquified Natural Gas</w:t>
            </w:r>
            <w:r w:rsidRPr="00662906">
              <w:rPr>
                <w:sz w:val="18"/>
                <w:szCs w:val="18"/>
              </w:rPr>
              <w:t xml:space="preserve"> </w:t>
            </w:r>
            <w:r w:rsidR="004C0FA4" w:rsidRPr="00662906">
              <w:rPr>
                <w:sz w:val="18"/>
                <w:szCs w:val="18"/>
              </w:rPr>
              <w:t>(</w:t>
            </w:r>
            <w:r w:rsidRPr="00662906">
              <w:rPr>
                <w:sz w:val="18"/>
                <w:szCs w:val="18"/>
              </w:rPr>
              <w:t>LNG</w:t>
            </w:r>
            <w:r w:rsidR="004C0FA4" w:rsidRPr="00662906">
              <w:rPr>
                <w:sz w:val="18"/>
                <w:szCs w:val="18"/>
              </w:rPr>
              <w:t>)</w:t>
            </w:r>
            <w:r w:rsidRPr="00662906">
              <w:rPr>
                <w:sz w:val="18"/>
                <w:szCs w:val="18"/>
              </w:rPr>
              <w:t xml:space="preserve"> facilities remains limited. Africa relies heavily on imports for refined products due to insufficient refinery capacity, contributing to high costs </w:t>
            </w:r>
            <w:r w:rsidR="67FF60B8" w:rsidRPr="00662906">
              <w:rPr>
                <w:sz w:val="18"/>
                <w:szCs w:val="18"/>
              </w:rPr>
              <w:t xml:space="preserve">of fuels </w:t>
            </w:r>
            <w:r w:rsidRPr="00662906">
              <w:rPr>
                <w:sz w:val="18"/>
                <w:szCs w:val="18"/>
              </w:rPr>
              <w:t xml:space="preserve">and </w:t>
            </w:r>
            <w:r w:rsidR="1D81D288" w:rsidRPr="00662906">
              <w:rPr>
                <w:sz w:val="18"/>
                <w:szCs w:val="18"/>
              </w:rPr>
              <w:t xml:space="preserve">supply </w:t>
            </w:r>
            <w:r w:rsidRPr="00662906">
              <w:rPr>
                <w:sz w:val="18"/>
                <w:szCs w:val="18"/>
              </w:rPr>
              <w:t>inefficiencies. Oil and gas infrastructure is fragmented, dominated by IOCs, while NOCs lack expertise and resources. Natural gas is increasingly positioned as a "transition fuel" in the energy mix, with significant demand growth expected, especially for industrial and power sectors. Despite substantial reserves, political instability, underinvestment, and aging infrastructure hinder progress.</w:t>
            </w:r>
          </w:p>
        </w:tc>
      </w:tr>
      <w:tr w:rsidR="005E5934" w:rsidRPr="00662906" w14:paraId="2F626DB3"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2EEB145B" w14:textId="77777777" w:rsidR="005E5934" w:rsidRPr="00662906" w:rsidRDefault="005E5934" w:rsidP="002E08DF">
            <w:pPr>
              <w:jc w:val="center"/>
              <w:rPr>
                <w:rFonts w:eastAsia="Arial" w:cs="Arial"/>
                <w:b/>
                <w:bCs/>
                <w:color w:val="0D0D0D"/>
                <w:sz w:val="18"/>
                <w:szCs w:val="18"/>
              </w:rPr>
            </w:pPr>
            <w:r w:rsidRPr="00662906">
              <w:rPr>
                <w:b/>
                <w:bCs/>
                <w:sz w:val="18"/>
                <w:szCs w:val="18"/>
              </w:rPr>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0B78ABC5" w14:textId="5FF67AD6" w:rsidR="005E5934" w:rsidRPr="00662906" w:rsidRDefault="69D6F05D" w:rsidP="2D9E25B5">
            <w:pPr>
              <w:pStyle w:val="Bullets"/>
              <w:numPr>
                <w:ilvl w:val="0"/>
                <w:numId w:val="0"/>
              </w:numPr>
              <w:rPr>
                <w:rFonts w:ascii="Times New Roman" w:eastAsiaTheme="minorEastAsia" w:hAnsi="Times New Roman" w:cs="Times New Roman"/>
                <w:color w:val="auto"/>
                <w:sz w:val="18"/>
                <w:szCs w:val="18"/>
                <w:lang w:val="en-GB"/>
              </w:rPr>
            </w:pPr>
            <w:r w:rsidRPr="00662906">
              <w:rPr>
                <w:sz w:val="18"/>
                <w:szCs w:val="18"/>
                <w:shd w:val="clear" w:color="auto" w:fill="FFFFFF"/>
                <w:lang w:val="en-GB" w:eastAsia="en-US"/>
              </w:rPr>
              <w:t>The sector faces geographical and environmental obstacles, such as diverse terrains, extreme climates, and ecosystem disruptions. Political instability and insecurity, including theft and vandalism, impede operations</w:t>
            </w:r>
            <w:r w:rsidR="174914EF" w:rsidRPr="00662906">
              <w:rPr>
                <w:sz w:val="18"/>
                <w:szCs w:val="18"/>
                <w:shd w:val="clear" w:color="auto" w:fill="FFFFFF"/>
                <w:lang w:val="en-GB" w:eastAsia="en-US"/>
              </w:rPr>
              <w:t xml:space="preserve"> in some AU MS</w:t>
            </w:r>
            <w:r w:rsidRPr="00662906">
              <w:rPr>
                <w:sz w:val="18"/>
                <w:szCs w:val="18"/>
                <w:shd w:val="clear" w:color="auto" w:fill="FFFFFF"/>
                <w:lang w:val="en-GB" w:eastAsia="en-US"/>
              </w:rPr>
              <w:t xml:space="preserve">. Financial constraints, market volatility, and a lack of investment in infrastructure exacerbate </w:t>
            </w:r>
            <w:r w:rsidR="11197A94" w:rsidRPr="00662906">
              <w:rPr>
                <w:sz w:val="18"/>
                <w:szCs w:val="18"/>
                <w:shd w:val="clear" w:color="auto" w:fill="FFFFFF"/>
                <w:lang w:val="en-GB" w:eastAsia="en-US"/>
              </w:rPr>
              <w:t xml:space="preserve">supply </w:t>
            </w:r>
            <w:r w:rsidRPr="00662906">
              <w:rPr>
                <w:sz w:val="18"/>
                <w:szCs w:val="18"/>
                <w:shd w:val="clear" w:color="auto" w:fill="FFFFFF"/>
                <w:lang w:val="en-GB" w:eastAsia="en-US"/>
              </w:rPr>
              <w:t>inefficiencies. Many pipelines and facilities require advanced monitoring and maintenance. High production costs and carbon intensity make African oil and gas less competitive globally. Regulatory hurdles, inadequate cross-border coordination</w:t>
            </w:r>
            <w:r w:rsidR="4240FBED" w:rsidRPr="00662906">
              <w:rPr>
                <w:sz w:val="18"/>
                <w:szCs w:val="18"/>
                <w:shd w:val="clear" w:color="auto" w:fill="FFFFFF"/>
                <w:lang w:val="en-GB" w:eastAsia="en-US"/>
              </w:rPr>
              <w:t xml:space="preserve"> and standards</w:t>
            </w:r>
            <w:r w:rsidRPr="00662906">
              <w:rPr>
                <w:sz w:val="18"/>
                <w:szCs w:val="18"/>
                <w:shd w:val="clear" w:color="auto" w:fill="FFFFFF"/>
                <w:lang w:val="en-GB" w:eastAsia="en-US"/>
              </w:rPr>
              <w:t xml:space="preserve">, and weak local industry capabilities further limit </w:t>
            </w:r>
            <w:r w:rsidR="5DD07FB2" w:rsidRPr="00662906">
              <w:rPr>
                <w:sz w:val="18"/>
                <w:szCs w:val="18"/>
                <w:shd w:val="clear" w:color="auto" w:fill="FFFFFF"/>
                <w:lang w:val="en-GB" w:eastAsia="en-US"/>
              </w:rPr>
              <w:t xml:space="preserve">sub sector </w:t>
            </w:r>
            <w:r w:rsidRPr="00662906">
              <w:rPr>
                <w:sz w:val="18"/>
                <w:szCs w:val="18"/>
                <w:shd w:val="clear" w:color="auto" w:fill="FFFFFF"/>
                <w:lang w:val="en-GB" w:eastAsia="en-US"/>
              </w:rPr>
              <w:t>development</w:t>
            </w:r>
            <w:r w:rsidR="0FDCE30C" w:rsidRPr="00662906">
              <w:rPr>
                <w:sz w:val="18"/>
                <w:szCs w:val="18"/>
                <w:shd w:val="clear" w:color="auto" w:fill="FFFFFF"/>
                <w:lang w:val="en-GB" w:eastAsia="en-US"/>
              </w:rPr>
              <w:t xml:space="preserve"> and decarbonization measures</w:t>
            </w:r>
            <w:r w:rsidRPr="00662906">
              <w:rPr>
                <w:sz w:val="18"/>
                <w:szCs w:val="18"/>
                <w:shd w:val="clear" w:color="auto" w:fill="FFFFFF"/>
                <w:lang w:val="en-GB" w:eastAsia="en-US"/>
              </w:rPr>
              <w:t>. There is growing pressure to balance fossil fuel dependency with sustainability and global decarbonization efforts.</w:t>
            </w:r>
          </w:p>
        </w:tc>
      </w:tr>
      <w:tr w:rsidR="005E5934" w:rsidRPr="00662906" w14:paraId="66191690"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E172A4A" w14:textId="77777777" w:rsidR="005E5934" w:rsidRPr="00662906" w:rsidRDefault="005E5934"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09BE56EA" w14:textId="12B8388A" w:rsidR="005E5934" w:rsidRPr="00662906" w:rsidRDefault="69D6F05D" w:rsidP="002E08DF">
            <w:pPr>
              <w:spacing w:line="259" w:lineRule="auto"/>
              <w:rPr>
                <w:rFonts w:eastAsia="Arial" w:cs="Arial"/>
                <w:sz w:val="18"/>
                <w:szCs w:val="18"/>
              </w:rPr>
            </w:pPr>
            <w:r w:rsidRPr="00662906">
              <w:rPr>
                <w:rFonts w:eastAsia="Arial" w:cs="Arial"/>
                <w:sz w:val="18"/>
                <w:szCs w:val="18"/>
              </w:rPr>
              <w:t xml:space="preserve">The oil and gas sector </w:t>
            </w:r>
            <w:r w:rsidR="00527FBF" w:rsidRPr="00662906">
              <w:rPr>
                <w:rFonts w:eastAsia="Arial" w:cs="Arial"/>
                <w:sz w:val="18"/>
                <w:szCs w:val="18"/>
              </w:rPr>
              <w:t>are</w:t>
            </w:r>
            <w:r w:rsidRPr="00662906">
              <w:rPr>
                <w:rFonts w:eastAsia="Arial" w:cs="Arial"/>
                <w:sz w:val="18"/>
                <w:szCs w:val="18"/>
              </w:rPr>
              <w:t xml:space="preserve"> central to the economies of many African nations, providing over 50% of export revenues in </w:t>
            </w:r>
            <w:r w:rsidR="40CF7671" w:rsidRPr="00662906">
              <w:rPr>
                <w:rFonts w:eastAsia="Arial" w:cs="Arial"/>
                <w:sz w:val="18"/>
                <w:szCs w:val="18"/>
              </w:rPr>
              <w:t xml:space="preserve">some </w:t>
            </w:r>
            <w:r w:rsidRPr="00662906">
              <w:rPr>
                <w:rFonts w:eastAsia="Arial" w:cs="Arial"/>
                <w:sz w:val="18"/>
                <w:szCs w:val="18"/>
              </w:rPr>
              <w:t xml:space="preserve">key countries like Nigeria. However, reliance on fossil fuels leaves these economies vulnerable to global market shifts and environmental challenges. Decarbonization </w:t>
            </w:r>
            <w:r w:rsidR="1029F13E" w:rsidRPr="00662906">
              <w:rPr>
                <w:rFonts w:eastAsia="Arial" w:cs="Arial"/>
                <w:sz w:val="18"/>
                <w:szCs w:val="18"/>
              </w:rPr>
              <w:t>measures on the continent can</w:t>
            </w:r>
            <w:r w:rsidRPr="00662906">
              <w:rPr>
                <w:rFonts w:eastAsia="Arial" w:cs="Arial"/>
                <w:sz w:val="18"/>
                <w:szCs w:val="18"/>
              </w:rPr>
              <w:t xml:space="preserve"> </w:t>
            </w:r>
            <w:r w:rsidR="5D416057" w:rsidRPr="00662906">
              <w:rPr>
                <w:rFonts w:eastAsia="Arial" w:cs="Arial"/>
                <w:sz w:val="18"/>
                <w:szCs w:val="18"/>
              </w:rPr>
              <w:t xml:space="preserve">enhance fuel supply while </w:t>
            </w:r>
            <w:r w:rsidRPr="00662906">
              <w:rPr>
                <w:rFonts w:eastAsia="Arial" w:cs="Arial"/>
                <w:sz w:val="18"/>
                <w:szCs w:val="18"/>
              </w:rPr>
              <w:t>mitigat</w:t>
            </w:r>
            <w:r w:rsidR="3E977BA6" w:rsidRPr="00662906">
              <w:rPr>
                <w:rFonts w:eastAsia="Arial" w:cs="Arial"/>
                <w:sz w:val="18"/>
                <w:szCs w:val="18"/>
              </w:rPr>
              <w:t>ing carbon</w:t>
            </w:r>
            <w:r w:rsidRPr="00662906">
              <w:rPr>
                <w:rFonts w:eastAsia="Arial" w:cs="Arial"/>
                <w:sz w:val="18"/>
                <w:szCs w:val="18"/>
              </w:rPr>
              <w:t xml:space="preserve"> emissions, reduce costs, and extend the viability </w:t>
            </w:r>
            <w:r w:rsidR="6A4F7A4A" w:rsidRPr="00662906">
              <w:rPr>
                <w:rFonts w:eastAsia="Arial" w:cs="Arial"/>
                <w:sz w:val="18"/>
                <w:szCs w:val="18"/>
              </w:rPr>
              <w:t xml:space="preserve">and </w:t>
            </w:r>
            <w:r w:rsidR="001C3A9D" w:rsidRPr="00662906">
              <w:rPr>
                <w:rFonts w:eastAsia="Arial" w:cs="Arial"/>
                <w:sz w:val="18"/>
                <w:szCs w:val="18"/>
              </w:rPr>
              <w:t>sustainability</w:t>
            </w:r>
            <w:r w:rsidR="6A4F7A4A" w:rsidRPr="00662906">
              <w:rPr>
                <w:rFonts w:eastAsia="Arial" w:cs="Arial"/>
                <w:sz w:val="18"/>
                <w:szCs w:val="18"/>
              </w:rPr>
              <w:t xml:space="preserve"> of the subsector</w:t>
            </w:r>
            <w:r w:rsidRPr="00662906">
              <w:rPr>
                <w:rFonts w:eastAsia="Arial" w:cs="Arial"/>
                <w:sz w:val="18"/>
                <w:szCs w:val="18"/>
              </w:rPr>
              <w:t xml:space="preserve"> operations. Technologies like carbon capture and renewable energy integration can offer solutions. Job creation is critical, particularly in local oil and gas value chains. The transition to renewable energy could reduce reliance on imports, promote regional integration, and improve energy access. However, stranded assets and inequities in the transition remain significant risks.</w:t>
            </w:r>
          </w:p>
        </w:tc>
      </w:tr>
      <w:tr w:rsidR="005E5934" w:rsidRPr="00662906" w14:paraId="2EB31E71" w14:textId="77777777" w:rsidTr="2D9E25B5">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B837E0F" w14:textId="77777777" w:rsidR="005E5934" w:rsidRPr="00662906" w:rsidRDefault="005E5934" w:rsidP="002E08DF">
            <w:pPr>
              <w:jc w:val="center"/>
              <w:rPr>
                <w:rFonts w:eastAsia="Arial" w:cs="Arial"/>
                <w:b/>
                <w:bCs/>
                <w:color w:val="0D0D0D"/>
                <w:sz w:val="18"/>
                <w:szCs w:val="18"/>
              </w:rPr>
            </w:pPr>
            <w:r w:rsidRPr="00662906">
              <w:rPr>
                <w:b/>
                <w:bCs/>
                <w:sz w:val="18"/>
                <w:szCs w:val="18"/>
              </w:rPr>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2E87E6EF" w14:textId="655D6C61" w:rsidR="005E5934" w:rsidRPr="00662906" w:rsidRDefault="69D6F05D" w:rsidP="002E08DF">
            <w:pPr>
              <w:pStyle w:val="Bullets"/>
              <w:numPr>
                <w:ilvl w:val="0"/>
                <w:numId w:val="0"/>
              </w:numPr>
              <w:ind w:left="34"/>
              <w:rPr>
                <w:rFonts w:eastAsia="Arial" w:cs="Arial"/>
                <w:color w:val="0D0D0D"/>
                <w:sz w:val="18"/>
                <w:szCs w:val="18"/>
                <w:lang w:val="en-GB"/>
              </w:rPr>
            </w:pPr>
            <w:r w:rsidRPr="00662906">
              <w:rPr>
                <w:sz w:val="18"/>
                <w:szCs w:val="18"/>
                <w:lang w:val="en-GB" w:eastAsia="en-US"/>
              </w:rPr>
              <w:t>Africa has missed opportunities to decarbonize its oil and gas sector and capitalize on renewable energy integration. Emerging opportunities include leveraging natural gas as a cleaner alternative</w:t>
            </w:r>
            <w:r w:rsidR="0A523F93" w:rsidRPr="00662906">
              <w:rPr>
                <w:sz w:val="18"/>
                <w:szCs w:val="18"/>
                <w:lang w:val="en-GB" w:eastAsia="en-US"/>
              </w:rPr>
              <w:t xml:space="preserve"> (before RE alternatives are fully integrated in Africa’s energy mix)</w:t>
            </w:r>
            <w:r w:rsidRPr="00662906">
              <w:rPr>
                <w:sz w:val="18"/>
                <w:szCs w:val="18"/>
                <w:lang w:val="en-GB" w:eastAsia="en-US"/>
              </w:rPr>
              <w:t xml:space="preserve">, developing cross-border pipeline networks, and increasing LNG exports. </w:t>
            </w:r>
            <w:r w:rsidR="309352B8" w:rsidRPr="00662906">
              <w:rPr>
                <w:sz w:val="18"/>
                <w:szCs w:val="18"/>
                <w:lang w:val="en-GB" w:eastAsia="en-US"/>
              </w:rPr>
              <w:t>Some oil and gas producing c</w:t>
            </w:r>
            <w:r w:rsidRPr="00662906">
              <w:rPr>
                <w:sz w:val="18"/>
                <w:szCs w:val="18"/>
                <w:lang w:val="en-GB" w:eastAsia="en-US"/>
              </w:rPr>
              <w:t xml:space="preserve">ountries like Nigeria are reforming fiscal frameworks to attract investment. Decarbonization, including flaring reduction and renewable energy use in operations, offers potential economic and environmental gains. Capacity building, regulatory improvements, and local workforce development are essential for a "just transition." Investment in renewable energy, combined with sustainable oil and gas practices, can position Africa as a </w:t>
            </w:r>
            <w:r w:rsidR="646962A2" w:rsidRPr="00662906">
              <w:rPr>
                <w:sz w:val="18"/>
                <w:szCs w:val="18"/>
                <w:lang w:val="en-GB" w:eastAsia="en-US"/>
              </w:rPr>
              <w:t>key player</w:t>
            </w:r>
            <w:r w:rsidRPr="00662906">
              <w:rPr>
                <w:sz w:val="18"/>
                <w:szCs w:val="18"/>
                <w:lang w:val="en-GB" w:eastAsia="en-US"/>
              </w:rPr>
              <w:t xml:space="preserve"> in the evolving energy landscape. Collaboration among stakeholders is vital to </w:t>
            </w:r>
            <w:r w:rsidRPr="00662906">
              <w:rPr>
                <w:sz w:val="18"/>
                <w:szCs w:val="18"/>
                <w:lang w:val="en-GB" w:eastAsia="en-US"/>
              </w:rPr>
              <w:lastRenderedPageBreak/>
              <w:t xml:space="preserve">ensuring energy </w:t>
            </w:r>
            <w:r w:rsidR="1E3E8166" w:rsidRPr="00662906">
              <w:rPr>
                <w:sz w:val="18"/>
                <w:szCs w:val="18"/>
                <w:lang w:val="en-GB" w:eastAsia="en-US"/>
              </w:rPr>
              <w:t>security</w:t>
            </w:r>
            <w:r w:rsidRPr="00662906">
              <w:rPr>
                <w:sz w:val="18"/>
                <w:szCs w:val="18"/>
                <w:lang w:val="en-GB" w:eastAsia="en-US"/>
              </w:rPr>
              <w:t xml:space="preserve"> and economic growth in the context of global decarbonization goals.</w:t>
            </w:r>
          </w:p>
        </w:tc>
      </w:tr>
    </w:tbl>
    <w:p w14:paraId="5BF32099" w14:textId="77777777" w:rsidR="00A146E5" w:rsidRPr="00662906" w:rsidRDefault="00A146E5" w:rsidP="00A146E5">
      <w:pPr>
        <w:rPr>
          <w:rFonts w:eastAsia="Arial" w:cs="Arial"/>
          <w:i/>
          <w:iCs/>
          <w:color w:val="B4A169"/>
          <w:sz w:val="16"/>
          <w:szCs w:val="16"/>
        </w:rPr>
      </w:pPr>
      <w:bookmarkStart w:id="240" w:name="_Toc178936775"/>
      <w:bookmarkStart w:id="241" w:name="_Toc178937254"/>
      <w:bookmarkStart w:id="242" w:name="_Toc178937368"/>
      <w:bookmarkStart w:id="243" w:name="_Toc178937478"/>
      <w:bookmarkStart w:id="244" w:name="_Toc178937593"/>
      <w:bookmarkStart w:id="245" w:name="_Toc178937702"/>
      <w:bookmarkStart w:id="246" w:name="_Toc178937812"/>
      <w:bookmarkStart w:id="247" w:name="_Toc178937920"/>
      <w:bookmarkStart w:id="248" w:name="_Toc178938028"/>
      <w:bookmarkStart w:id="249" w:name="_Toc178936776"/>
      <w:bookmarkStart w:id="250" w:name="_Toc178937255"/>
      <w:bookmarkStart w:id="251" w:name="_Toc178937369"/>
      <w:bookmarkStart w:id="252" w:name="_Toc178937479"/>
      <w:bookmarkStart w:id="253" w:name="_Toc178937594"/>
      <w:bookmarkStart w:id="254" w:name="_Toc178937703"/>
      <w:bookmarkStart w:id="255" w:name="_Toc178937813"/>
      <w:bookmarkStart w:id="256" w:name="_Toc178937921"/>
      <w:bookmarkStart w:id="257" w:name="_Toc178938029"/>
      <w:bookmarkStart w:id="258" w:name="_Toc189749906"/>
      <w:bookmarkStart w:id="259" w:name="_Toc189750113"/>
      <w:bookmarkStart w:id="260" w:name="_Toc189754821"/>
      <w:bookmarkStart w:id="261" w:name="_Toc189749907"/>
      <w:bookmarkStart w:id="262" w:name="_Toc189750114"/>
      <w:bookmarkStart w:id="263" w:name="_Toc189754822"/>
      <w:bookmarkStart w:id="264" w:name="_Toc189749908"/>
      <w:bookmarkStart w:id="265" w:name="_Toc189750115"/>
      <w:bookmarkStart w:id="266" w:name="_Toc189754823"/>
      <w:bookmarkStart w:id="267" w:name="_Toc189749909"/>
      <w:bookmarkStart w:id="268" w:name="_Toc189750116"/>
      <w:bookmarkStart w:id="269" w:name="_Toc189754824"/>
      <w:bookmarkStart w:id="270" w:name="_Toc189749910"/>
      <w:bookmarkStart w:id="271" w:name="_Toc189750117"/>
      <w:bookmarkStart w:id="272" w:name="_Toc189754825"/>
      <w:bookmarkStart w:id="273" w:name="_Toc189749911"/>
      <w:bookmarkStart w:id="274" w:name="_Toc189750118"/>
      <w:bookmarkStart w:id="275" w:name="_Toc189754826"/>
      <w:bookmarkStart w:id="276" w:name="_Toc189749912"/>
      <w:bookmarkStart w:id="277" w:name="_Toc189750119"/>
      <w:bookmarkStart w:id="278" w:name="_Toc189754827"/>
      <w:bookmarkStart w:id="279" w:name="_Toc189749913"/>
      <w:bookmarkStart w:id="280" w:name="_Toc189750120"/>
      <w:bookmarkStart w:id="281" w:name="_Toc189754828"/>
      <w:bookmarkStart w:id="282" w:name="_Toc189749914"/>
      <w:bookmarkStart w:id="283" w:name="_Toc189750121"/>
      <w:bookmarkStart w:id="284" w:name="_Toc189754829"/>
      <w:bookmarkStart w:id="285" w:name="_Toc176787191"/>
      <w:bookmarkStart w:id="286" w:name="_Toc178937480"/>
      <w:bookmarkStart w:id="287" w:name="_Toc166604207"/>
      <w:bookmarkStart w:id="288" w:name="_Toc166604340"/>
      <w:bookmarkStart w:id="289" w:name="_Toc166763467"/>
      <w:bookmarkStart w:id="290" w:name="_Toc166775524"/>
      <w:bookmarkStart w:id="291" w:name="_Toc166775772"/>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p>
    <w:p w14:paraId="50DFAF2E" w14:textId="66172CA1" w:rsidR="0051797F" w:rsidRPr="00662906" w:rsidRDefault="0051797F" w:rsidP="00956995">
      <w:pPr>
        <w:pStyle w:val="Heading3"/>
        <w:ind w:left="567"/>
      </w:pPr>
      <w:bookmarkStart w:id="292" w:name="_Toc197433819"/>
      <w:r w:rsidRPr="00662906">
        <w:t>Agriculture</w:t>
      </w:r>
      <w:bookmarkEnd w:id="285"/>
      <w:bookmarkEnd w:id="286"/>
      <w:bookmarkEnd w:id="292"/>
      <w:r w:rsidRPr="00662906">
        <w:t xml:space="preserve"> </w:t>
      </w:r>
      <w:bookmarkEnd w:id="287"/>
      <w:bookmarkEnd w:id="288"/>
      <w:bookmarkEnd w:id="289"/>
      <w:bookmarkEnd w:id="290"/>
      <w:bookmarkEnd w:id="291"/>
    </w:p>
    <w:p w14:paraId="30505DFE" w14:textId="41BD8F6F" w:rsidR="0051797F" w:rsidRPr="00662906" w:rsidRDefault="0051797F" w:rsidP="0051797F">
      <w:pPr>
        <w:pStyle w:val="Caption"/>
      </w:pPr>
      <w:bookmarkStart w:id="293" w:name="_Toc176787290"/>
      <w:bookmarkStart w:id="294" w:name="_Toc197433894"/>
      <w:r w:rsidRPr="00662906">
        <w:t xml:space="preserve">Table </w:t>
      </w:r>
      <w:r w:rsidRPr="00662906">
        <w:fldChar w:fldCharType="begin"/>
      </w:r>
      <w:r w:rsidRPr="00662906">
        <w:instrText>SEQ Table \* ARABIC</w:instrText>
      </w:r>
      <w:r w:rsidRPr="00662906">
        <w:fldChar w:fldCharType="separate"/>
      </w:r>
      <w:r w:rsidR="00610F61">
        <w:rPr>
          <w:noProof/>
        </w:rPr>
        <w:t>6</w:t>
      </w:r>
      <w:r w:rsidRPr="00662906">
        <w:fldChar w:fldCharType="end"/>
      </w:r>
      <w:r w:rsidR="00504943" w:rsidRPr="00662906">
        <w:t>:</w:t>
      </w:r>
      <w:r w:rsidRPr="00662906">
        <w:t xml:space="preserve"> Summarized assessment of the agriculture sector in the context of ET in Africa.</w:t>
      </w:r>
      <w:bookmarkEnd w:id="293"/>
      <w:bookmarkEnd w:id="294"/>
    </w:p>
    <w:tbl>
      <w:tblPr>
        <w:tblStyle w:val="TableGrid"/>
        <w:tblW w:w="9078" w:type="dxa"/>
        <w:tblLayout w:type="fixed"/>
        <w:tblLook w:val="06A0" w:firstRow="1" w:lastRow="0" w:firstColumn="1" w:lastColumn="0" w:noHBand="1" w:noVBand="1"/>
      </w:tblPr>
      <w:tblGrid>
        <w:gridCol w:w="2253"/>
        <w:gridCol w:w="6825"/>
      </w:tblGrid>
      <w:tr w:rsidR="0051797F" w:rsidRPr="00662906" w14:paraId="663D4648"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163295E5"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2DAD23A5"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Overview</w:t>
            </w:r>
          </w:p>
        </w:tc>
      </w:tr>
      <w:tr w:rsidR="0051797F" w:rsidRPr="00662906" w14:paraId="74C12556"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57BE3416" w14:textId="77777777" w:rsidR="0051797F" w:rsidRPr="00662906" w:rsidRDefault="0051797F"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36E11A77" w14:textId="77777777" w:rsidR="0051797F" w:rsidRPr="00662906" w:rsidRDefault="0051797F" w:rsidP="002E08DF">
            <w:pPr>
              <w:rPr>
                <w:rFonts w:eastAsia="Arial" w:cs="Arial"/>
                <w:color w:val="0D0D0D"/>
                <w:sz w:val="18"/>
                <w:szCs w:val="18"/>
              </w:rPr>
            </w:pPr>
            <w:r w:rsidRPr="00662906">
              <w:rPr>
                <w:sz w:val="18"/>
                <w:szCs w:val="18"/>
              </w:rPr>
              <w:t>African agriculture is in a transformative phase, embracing renewable energy to improve and promote sustainability and efficiency. While traditional bioenergy sources are widely used, there's an expanding interest in modern bioenergy systems such as biogas, solar-powered irrigation, and biofuel for machinery. The integration of these renewable energy sources is seen as a key strategy for reducing reliance on fossil fuels and improving agricultural productivity. However, the pace and scale of adoption vary significantly across regions, influenced by local policies, environmental conditions, and economic factors.</w:t>
            </w:r>
          </w:p>
        </w:tc>
      </w:tr>
      <w:tr w:rsidR="0051797F" w:rsidRPr="00662906" w14:paraId="559FAC61"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30C259D7" w14:textId="77777777" w:rsidR="0051797F" w:rsidRPr="00662906" w:rsidRDefault="0051797F" w:rsidP="002E08DF">
            <w:pPr>
              <w:jc w:val="center"/>
              <w:rPr>
                <w:rFonts w:eastAsia="Arial" w:cs="Arial"/>
                <w:b/>
                <w:bCs/>
                <w:color w:val="0D0D0D"/>
                <w:sz w:val="18"/>
                <w:szCs w:val="18"/>
              </w:rPr>
            </w:pPr>
            <w:r w:rsidRPr="00662906">
              <w:rPr>
                <w:b/>
                <w:bCs/>
                <w:sz w:val="18"/>
                <w:szCs w:val="18"/>
              </w:rPr>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2AFD61DA" w14:textId="4C13BDF3" w:rsidR="0051797F" w:rsidRPr="00662906" w:rsidRDefault="56A8C415" w:rsidP="002E08DF">
            <w:pPr>
              <w:rPr>
                <w:sz w:val="18"/>
                <w:szCs w:val="18"/>
              </w:rPr>
            </w:pPr>
            <w:r w:rsidRPr="00662906">
              <w:rPr>
                <w:sz w:val="18"/>
                <w:szCs w:val="18"/>
              </w:rPr>
              <w:t xml:space="preserve"> Regulatory and financial barriers further hinder the wide-scale adoption of modern bioenergy solutions. There's also a pressing need for infrastructure development and technological advancement to support the deployment of renewable energy in remote and rural areas. Additionally, the lack of awareness and technical skills among farmers and stakeholders about the benefits and application of renewable energy technologies in agriculture presents a significant obstacle. Finally, affordability of the various solutions at the farm level is another major challenge.</w:t>
            </w:r>
          </w:p>
        </w:tc>
      </w:tr>
      <w:tr w:rsidR="0051797F" w:rsidRPr="00662906" w14:paraId="7227832C"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9A4EA50" w14:textId="77777777" w:rsidR="0051797F" w:rsidRPr="00662906" w:rsidRDefault="0051797F"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76BE0089" w14:textId="77777777" w:rsidR="0051797F" w:rsidRPr="00662906" w:rsidRDefault="0051797F" w:rsidP="002E08DF">
            <w:pPr>
              <w:rPr>
                <w:rFonts w:eastAsia="Arial" w:cs="Arial"/>
                <w:color w:val="0D0D0D"/>
                <w:sz w:val="18"/>
                <w:szCs w:val="18"/>
              </w:rPr>
            </w:pPr>
            <w:r w:rsidRPr="00662906">
              <w:rPr>
                <w:sz w:val="18"/>
                <w:szCs w:val="18"/>
              </w:rPr>
              <w:t>The integration of renewable energy into agriculture has profound socio-economic implications. Positively, it can lead to significant reductions in greenhouse gas emissions, lower operational costs for farmers, and create new employment opportunities in the renewable energy sector. Improved energy access can also lead to enhanced food security and quality of life for rural communities. However, the transition to renewable energy must be managed carefully to avoid widening existing socio-economic disparities, particularly between small-scale farmers and larger agricultural enterprises. Equitable access to renewable energy technologies and financial resources is crucial to ensure that the benefits of the energy transition are shared widely.</w:t>
            </w:r>
          </w:p>
        </w:tc>
      </w:tr>
      <w:tr w:rsidR="0051797F" w:rsidRPr="00662906" w14:paraId="4C9DA852"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70E0357A" w14:textId="77777777" w:rsidR="0051797F" w:rsidRPr="00662906" w:rsidRDefault="0051797F" w:rsidP="002E08DF">
            <w:pPr>
              <w:jc w:val="center"/>
              <w:rPr>
                <w:rFonts w:eastAsia="Arial" w:cs="Arial"/>
                <w:b/>
                <w:bCs/>
                <w:color w:val="0D0D0D"/>
                <w:sz w:val="18"/>
                <w:szCs w:val="18"/>
              </w:rPr>
            </w:pPr>
            <w:r w:rsidRPr="00662906">
              <w:rPr>
                <w:b/>
                <w:bCs/>
                <w:sz w:val="18"/>
                <w:szCs w:val="18"/>
              </w:rPr>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64708B52" w14:textId="77777777" w:rsidR="0051797F" w:rsidRPr="00662906" w:rsidRDefault="0051797F" w:rsidP="002E08DF">
            <w:pPr>
              <w:rPr>
                <w:rFonts w:eastAsia="Arial" w:cs="Arial"/>
                <w:color w:val="0D0D0D"/>
                <w:sz w:val="18"/>
                <w:szCs w:val="18"/>
              </w:rPr>
            </w:pPr>
            <w:r w:rsidRPr="00662906">
              <w:rPr>
                <w:sz w:val="18"/>
                <w:szCs w:val="18"/>
              </w:rPr>
              <w:t>Historically, the slow adoption of cutting-edge bioenergy technologies and comprehensive policies for sustainable energy use in agriculture has led to missed opportunities for enhancing energy efficiency and reducing environmental impacts. Looking forward, there are promising new opportunities for growth and innovation. Embracing solar energy for water pumping and irrigation, expanding biogas production from agricultural waste, and exploring the potential of biofuels present viable pathways for making African agriculture more sustainable and resilient. Furthermore, the integration of smart agricultural practices, such as precision farming powered by renewable energy, offers the potential to revolutionize food production systems, reduce waste, and improve water and energy use efficiency. These developments not only support climate change mitigation and adaptation efforts but also open new economic perspectives for farmers and communities across the continent.</w:t>
            </w:r>
          </w:p>
        </w:tc>
      </w:tr>
    </w:tbl>
    <w:p w14:paraId="11EFD7CA" w14:textId="77777777" w:rsidR="00A146E5" w:rsidRPr="00662906" w:rsidRDefault="00A146E5" w:rsidP="00A146E5">
      <w:pPr>
        <w:rPr>
          <w:rFonts w:eastAsia="Arial" w:cs="Arial"/>
          <w:i/>
          <w:iCs/>
          <w:color w:val="B4A169"/>
          <w:sz w:val="16"/>
          <w:szCs w:val="16"/>
        </w:rPr>
      </w:pPr>
      <w:bookmarkStart w:id="295" w:name="_Toc176787192"/>
      <w:bookmarkStart w:id="296" w:name="_Toc178937481"/>
      <w:bookmarkStart w:id="297" w:name="_Toc166055149"/>
      <w:bookmarkStart w:id="298" w:name="_Toc166603519"/>
      <w:bookmarkStart w:id="299" w:name="_Toc166603643"/>
      <w:bookmarkStart w:id="300" w:name="_Toc166603765"/>
      <w:bookmarkStart w:id="301" w:name="_Toc166603851"/>
      <w:bookmarkStart w:id="302" w:name="_Toc166603965"/>
      <w:bookmarkStart w:id="303" w:name="_Toc166604063"/>
      <w:bookmarkStart w:id="304" w:name="_Toc166604214"/>
      <w:bookmarkStart w:id="305" w:name="_Toc166604347"/>
      <w:bookmarkStart w:id="306" w:name="_Toc166763474"/>
      <w:bookmarkStart w:id="307" w:name="_Toc166775531"/>
      <w:bookmarkStart w:id="308" w:name="_Toc166775779"/>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16B089FA" w14:textId="358E1FFE" w:rsidR="0051797F" w:rsidRPr="00662906" w:rsidRDefault="0051797F" w:rsidP="00956995">
      <w:pPr>
        <w:pStyle w:val="Heading3"/>
        <w:ind w:left="567"/>
      </w:pPr>
      <w:bookmarkStart w:id="309" w:name="_Toc197433820"/>
      <w:r w:rsidRPr="00662906">
        <w:t>Clean Cooking</w:t>
      </w:r>
      <w:bookmarkEnd w:id="295"/>
      <w:bookmarkEnd w:id="296"/>
      <w:bookmarkEnd w:id="309"/>
      <w:r w:rsidRPr="00662906">
        <w:t xml:space="preserve"> </w:t>
      </w:r>
      <w:bookmarkEnd w:id="297"/>
      <w:bookmarkEnd w:id="298"/>
      <w:bookmarkEnd w:id="299"/>
      <w:bookmarkEnd w:id="300"/>
      <w:bookmarkEnd w:id="301"/>
      <w:bookmarkEnd w:id="302"/>
      <w:bookmarkEnd w:id="303"/>
      <w:bookmarkEnd w:id="304"/>
      <w:bookmarkEnd w:id="305"/>
      <w:bookmarkEnd w:id="306"/>
      <w:bookmarkEnd w:id="307"/>
      <w:bookmarkEnd w:id="308"/>
    </w:p>
    <w:p w14:paraId="0DAA0029" w14:textId="4FA4C45C" w:rsidR="0051797F" w:rsidRPr="00662906" w:rsidRDefault="0051797F" w:rsidP="0051797F">
      <w:pPr>
        <w:pStyle w:val="Caption"/>
      </w:pPr>
      <w:bookmarkStart w:id="310" w:name="_Toc197433895"/>
      <w:r w:rsidRPr="00662906">
        <w:t xml:space="preserve">Table </w:t>
      </w:r>
      <w:r w:rsidRPr="00662906">
        <w:fldChar w:fldCharType="begin"/>
      </w:r>
      <w:r w:rsidRPr="00662906">
        <w:instrText>SEQ Table \* ARABIC</w:instrText>
      </w:r>
      <w:r w:rsidRPr="00662906">
        <w:fldChar w:fldCharType="separate"/>
      </w:r>
      <w:r w:rsidR="00610F61">
        <w:rPr>
          <w:noProof/>
        </w:rPr>
        <w:t>7</w:t>
      </w:r>
      <w:r w:rsidRPr="00662906">
        <w:fldChar w:fldCharType="end"/>
      </w:r>
      <w:r w:rsidR="00504943" w:rsidRPr="00662906">
        <w:t>:</w:t>
      </w:r>
      <w:r w:rsidRPr="00662906">
        <w:t xml:space="preserve"> </w:t>
      </w:r>
      <w:r w:rsidR="007050E8" w:rsidRPr="00662906">
        <w:t>Summary of c</w:t>
      </w:r>
      <w:r w:rsidRPr="00662906">
        <w:t>lean cooking sector.</w:t>
      </w:r>
      <w:bookmarkEnd w:id="310"/>
    </w:p>
    <w:tbl>
      <w:tblPr>
        <w:tblStyle w:val="TableGrid"/>
        <w:tblW w:w="9078" w:type="dxa"/>
        <w:tblLayout w:type="fixed"/>
        <w:tblLook w:val="06A0" w:firstRow="1" w:lastRow="0" w:firstColumn="1" w:lastColumn="0" w:noHBand="1" w:noVBand="1"/>
      </w:tblPr>
      <w:tblGrid>
        <w:gridCol w:w="2253"/>
        <w:gridCol w:w="6825"/>
      </w:tblGrid>
      <w:tr w:rsidR="0051797F" w:rsidRPr="00662906" w14:paraId="0F28C5B6"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4DD4CB2F"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Aspect</w:t>
            </w:r>
          </w:p>
        </w:tc>
        <w:tc>
          <w:tcPr>
            <w:tcW w:w="6825" w:type="dxa"/>
            <w:tcBorders>
              <w:top w:val="single" w:sz="8" w:space="0" w:color="67162A"/>
              <w:left w:val="single" w:sz="8" w:space="0" w:color="67162A"/>
              <w:bottom w:val="single" w:sz="8" w:space="0" w:color="67162A"/>
              <w:right w:val="single" w:sz="8" w:space="0" w:color="67162A"/>
            </w:tcBorders>
            <w:shd w:val="clear" w:color="auto" w:fill="B4A269" w:themeFill="text2"/>
            <w:tcMar>
              <w:left w:w="108" w:type="dxa"/>
              <w:right w:w="108" w:type="dxa"/>
            </w:tcMar>
            <w:vAlign w:val="center"/>
          </w:tcPr>
          <w:p w14:paraId="77839CF1" w14:textId="77777777" w:rsidR="0051797F" w:rsidRPr="00662906" w:rsidRDefault="0051797F" w:rsidP="002E08DF">
            <w:pPr>
              <w:jc w:val="center"/>
              <w:rPr>
                <w:sz w:val="18"/>
                <w:szCs w:val="18"/>
              </w:rPr>
            </w:pPr>
            <w:r w:rsidRPr="00662906">
              <w:rPr>
                <w:rFonts w:eastAsia="Arial" w:cs="Arial"/>
                <w:b/>
                <w:bCs/>
                <w:color w:val="FFFFFF" w:themeColor="background2"/>
                <w:sz w:val="18"/>
                <w:szCs w:val="18"/>
              </w:rPr>
              <w:t>Overview</w:t>
            </w:r>
          </w:p>
        </w:tc>
      </w:tr>
      <w:tr w:rsidR="0051797F" w:rsidRPr="00662906" w14:paraId="11D87350"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2A3589D8" w14:textId="77777777" w:rsidR="0051797F" w:rsidRPr="00662906" w:rsidRDefault="0051797F" w:rsidP="002E08DF">
            <w:pPr>
              <w:jc w:val="center"/>
              <w:rPr>
                <w:rFonts w:eastAsia="Arial" w:cs="Arial"/>
                <w:b/>
                <w:bCs/>
                <w:color w:val="0D0D0D"/>
                <w:sz w:val="18"/>
                <w:szCs w:val="18"/>
              </w:rPr>
            </w:pPr>
            <w:r w:rsidRPr="00662906">
              <w:rPr>
                <w:b/>
                <w:bCs/>
                <w:sz w:val="18"/>
                <w:szCs w:val="18"/>
              </w:rPr>
              <w:t>Status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62F5FC2F" w14:textId="6A6D0582" w:rsidR="0051797F" w:rsidRPr="00662906" w:rsidRDefault="0051797F" w:rsidP="002E08DF">
            <w:pPr>
              <w:rPr>
                <w:rFonts w:eastAsia="Arial" w:cs="Arial"/>
                <w:color w:val="0D0D0D"/>
                <w:sz w:val="18"/>
                <w:szCs w:val="18"/>
              </w:rPr>
            </w:pPr>
            <w:r w:rsidRPr="00662906">
              <w:rPr>
                <w:sz w:val="18"/>
                <w:szCs w:val="18"/>
              </w:rPr>
              <w:t xml:space="preserve">Across Africa, the transition to clean cooking technologies is progressing slowly, with a vast majority of the population still dependent on traditional cooking methods such as biomass, charcoal, and kerosene. Urban </w:t>
            </w:r>
            <w:r w:rsidR="00527FBF" w:rsidRPr="00662906">
              <w:rPr>
                <w:sz w:val="18"/>
                <w:szCs w:val="18"/>
              </w:rPr>
              <w:t>centres</w:t>
            </w:r>
            <w:r w:rsidRPr="00662906">
              <w:rPr>
                <w:sz w:val="18"/>
                <w:szCs w:val="18"/>
              </w:rPr>
              <w:t xml:space="preserve"> report better penetration of modern cooking solutions due to better infrastructure and availability of </w:t>
            </w:r>
            <w:r w:rsidRPr="00662906">
              <w:rPr>
                <w:sz w:val="18"/>
                <w:szCs w:val="18"/>
              </w:rPr>
              <w:lastRenderedPageBreak/>
              <w:t>technologies. However, rural areas continue to struggle with access, hindered by a combination of logistical challenges, lack of adequate infrastructure, and limited awareness about the benefits of clean cooking solutions. This stark urban-rural divide underscores the critical need for targeted policies and programs that specifically address the unique challenges faced by rural communities in accessing modern, clean cooking facilities.</w:t>
            </w:r>
          </w:p>
        </w:tc>
      </w:tr>
      <w:tr w:rsidR="0051797F" w:rsidRPr="00662906" w14:paraId="3A0646A9"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37CC8E8B" w14:textId="77777777" w:rsidR="0051797F" w:rsidRPr="00662906" w:rsidRDefault="0051797F" w:rsidP="002E08DF">
            <w:pPr>
              <w:jc w:val="center"/>
              <w:rPr>
                <w:rFonts w:eastAsia="Arial" w:cs="Arial"/>
                <w:b/>
                <w:bCs/>
                <w:color w:val="0D0D0D"/>
                <w:sz w:val="18"/>
                <w:szCs w:val="18"/>
              </w:rPr>
            </w:pPr>
            <w:r w:rsidRPr="00662906">
              <w:rPr>
                <w:b/>
                <w:bCs/>
                <w:sz w:val="18"/>
                <w:szCs w:val="18"/>
              </w:rPr>
              <w:lastRenderedPageBreak/>
              <w:t>Challenges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3D85331A" w14:textId="43051A21" w:rsidR="0051797F" w:rsidRPr="00662906" w:rsidRDefault="0051797F" w:rsidP="002E08DF">
            <w:pPr>
              <w:rPr>
                <w:sz w:val="18"/>
                <w:szCs w:val="18"/>
              </w:rPr>
            </w:pPr>
            <w:r w:rsidRPr="00662906">
              <w:rPr>
                <w:sz w:val="18"/>
                <w:szCs w:val="18"/>
              </w:rPr>
              <w:t xml:space="preserve">The path to widespread adoption of clean cooking solutions is fraught with substantial challenges. Key among these is the absence of a supportive policy environment that can stimulate investment and consumer adoption of modern technologies. Supply chains for clean cooking equipment are often underdeveloped, and financing mechanisms are insufficient, making it difficult for consumers to afford upfront costs. Cultural preferences for traditional cooking practices further complicate the adoption of new technologies. These issues are compounded by a general lack of awareness and education about the health and environmental benefits of clean cooking solutions, suggesting a strong need for comprehensive awareness campaigns and community engagement </w:t>
            </w:r>
            <w:r w:rsidR="00504943" w:rsidRPr="00662906">
              <w:rPr>
                <w:sz w:val="18"/>
                <w:szCs w:val="18"/>
              </w:rPr>
              <w:t>programs.</w:t>
            </w:r>
          </w:p>
        </w:tc>
      </w:tr>
      <w:tr w:rsidR="0051797F" w:rsidRPr="00662906" w14:paraId="49DE340A"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1DD18F8C" w14:textId="77777777" w:rsidR="0051797F" w:rsidRPr="00662906" w:rsidRDefault="0051797F" w:rsidP="002E08DF">
            <w:pPr>
              <w:jc w:val="center"/>
              <w:rPr>
                <w:rFonts w:eastAsia="Arial" w:cs="Arial"/>
                <w:b/>
                <w:bCs/>
                <w:color w:val="0D0D0D"/>
                <w:sz w:val="18"/>
                <w:szCs w:val="18"/>
              </w:rPr>
            </w:pPr>
            <w:r w:rsidRPr="00662906">
              <w:rPr>
                <w:b/>
                <w:bCs/>
                <w:sz w:val="18"/>
                <w:szCs w:val="18"/>
              </w:rPr>
              <w:t>Socio-economic Impacts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0B7CB2A6" w14:textId="0058FEE3" w:rsidR="0051797F" w:rsidRPr="00662906" w:rsidRDefault="0051797F" w:rsidP="002E08DF">
            <w:pPr>
              <w:rPr>
                <w:rFonts w:eastAsia="Arial" w:cs="Arial"/>
                <w:color w:val="0D0D0D"/>
                <w:sz w:val="18"/>
                <w:szCs w:val="18"/>
              </w:rPr>
            </w:pPr>
            <w:r w:rsidRPr="00662906">
              <w:rPr>
                <w:sz w:val="18"/>
                <w:szCs w:val="18"/>
              </w:rPr>
              <w:t>The socio-economic implications of inadequate clean cooking facilities are significant and multifaceted. Health issues predominantly stem from indoor air pollution caused by traditional cooking methods, which disproportionately affect women and children who spend more time in proximity to cooking activities. These health challenges are linked to higher medical expenses and reduced life expectancy. Economically, the dependency on traditional fuels not only incurs higher ongoing costs for households but also detracts from educational and economic opportunities due to the extensive time required for fuel collection. This scenario underscores the urgent need for interventions that can alleviate the financial and logistical burdens associated with transitioning to clean cooking solutions.</w:t>
            </w:r>
          </w:p>
        </w:tc>
      </w:tr>
      <w:tr w:rsidR="0051797F" w:rsidRPr="00662906" w14:paraId="06DFF63A" w14:textId="77777777" w:rsidTr="002A7B9B">
        <w:trPr>
          <w:trHeight w:val="300"/>
        </w:trPr>
        <w:tc>
          <w:tcPr>
            <w:tcW w:w="2253" w:type="dxa"/>
            <w:tcBorders>
              <w:top w:val="single" w:sz="8" w:space="0" w:color="67162A"/>
              <w:left w:val="single" w:sz="8" w:space="0" w:color="67162A"/>
              <w:bottom w:val="single" w:sz="8" w:space="0" w:color="67162A"/>
              <w:right w:val="single" w:sz="8" w:space="0" w:color="67162A"/>
            </w:tcBorders>
            <w:tcMar>
              <w:left w:w="108" w:type="dxa"/>
              <w:right w:w="108" w:type="dxa"/>
            </w:tcMar>
            <w:vAlign w:val="center"/>
          </w:tcPr>
          <w:p w14:paraId="6C7F4423" w14:textId="77777777" w:rsidR="0051797F" w:rsidRPr="00662906" w:rsidRDefault="0051797F" w:rsidP="002E08DF">
            <w:pPr>
              <w:jc w:val="center"/>
              <w:rPr>
                <w:rFonts w:eastAsia="Arial" w:cs="Arial"/>
                <w:b/>
                <w:bCs/>
                <w:color w:val="0D0D0D"/>
                <w:sz w:val="18"/>
                <w:szCs w:val="18"/>
              </w:rPr>
            </w:pPr>
            <w:r w:rsidRPr="00662906">
              <w:rPr>
                <w:b/>
                <w:bCs/>
                <w:sz w:val="18"/>
                <w:szCs w:val="18"/>
              </w:rPr>
              <w:t>Missed and New Opportunities and Perspectives</w:t>
            </w:r>
          </w:p>
        </w:tc>
        <w:tc>
          <w:tcPr>
            <w:tcW w:w="6825" w:type="dxa"/>
            <w:tcBorders>
              <w:top w:val="single" w:sz="8" w:space="0" w:color="67162A"/>
              <w:left w:val="single" w:sz="8" w:space="0" w:color="67162A"/>
              <w:bottom w:val="single" w:sz="8" w:space="0" w:color="67162A"/>
              <w:right w:val="single" w:sz="8" w:space="0" w:color="67162A"/>
            </w:tcBorders>
            <w:tcMar>
              <w:left w:w="108" w:type="dxa"/>
              <w:right w:w="108" w:type="dxa"/>
            </w:tcMar>
          </w:tcPr>
          <w:p w14:paraId="6965F11E" w14:textId="77777777" w:rsidR="0051797F" w:rsidRPr="00662906" w:rsidRDefault="0051797F" w:rsidP="002E08DF">
            <w:pPr>
              <w:rPr>
                <w:rFonts w:eastAsia="Arial" w:cs="Arial"/>
                <w:color w:val="0D0D0D"/>
                <w:sz w:val="18"/>
                <w:szCs w:val="18"/>
              </w:rPr>
            </w:pPr>
            <w:r w:rsidRPr="00662906">
              <w:rPr>
                <w:sz w:val="18"/>
                <w:szCs w:val="18"/>
              </w:rPr>
              <w:t>Numerous opportunities have been missed in the realm of clean cooking, particularly in the slow adoption of existing technologies and the underutilization of available international funding and support. Looking forward, new strategic perspectives suggest a more integrated approach by linking clean cooking initiatives with broader renewable energy policies, which could drive more comprehensive and sustainable solutions. Innovative financing models, such as pay-as-you-go systems and carbon finance, along with stronger public-private partnerships, are seen as vital to overcoming current barriers. These strategies aim to improve the affordability, accessibility, and attractiveness of clean cooking solutions, ultimately accelerating the shift towards sustainable and universally accessible cooking technologies.</w:t>
            </w:r>
          </w:p>
        </w:tc>
      </w:tr>
    </w:tbl>
    <w:p w14:paraId="509F44B9" w14:textId="77777777" w:rsidR="00A146E5" w:rsidRPr="00662906" w:rsidRDefault="00A146E5" w:rsidP="00A146E5">
      <w:pPr>
        <w:rPr>
          <w:rFonts w:eastAsia="Arial" w:cs="Arial"/>
          <w:i/>
          <w:iCs/>
          <w:color w:val="B4A169"/>
          <w:sz w:val="16"/>
          <w:szCs w:val="16"/>
        </w:rPr>
      </w:pPr>
      <w:bookmarkStart w:id="311" w:name="_Toc178937434"/>
      <w:bookmarkStart w:id="312" w:name="_Toc185519160"/>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2D1A171" w14:textId="783B60C9" w:rsidR="00C87E79" w:rsidRPr="00662906" w:rsidRDefault="00C87E79" w:rsidP="00005A46">
      <w:pPr>
        <w:pStyle w:val="Heading2"/>
        <w:rPr>
          <w:lang w:eastAsia="fr-FR"/>
        </w:rPr>
      </w:pPr>
      <w:bookmarkStart w:id="313" w:name="_Toc197433821"/>
      <w:r w:rsidRPr="00662906">
        <w:rPr>
          <w:lang w:eastAsia="fr-FR"/>
        </w:rPr>
        <w:t>National Energy Transition</w:t>
      </w:r>
      <w:r w:rsidR="009A0D6A" w:rsidRPr="00662906">
        <w:rPr>
          <w:lang w:eastAsia="fr-FR"/>
        </w:rPr>
        <w:t xml:space="preserve"> </w:t>
      </w:r>
      <w:r w:rsidR="007713DE" w:rsidRPr="00662906">
        <w:rPr>
          <w:lang w:eastAsia="fr-FR"/>
        </w:rPr>
        <w:t>Frameworks</w:t>
      </w:r>
      <w:bookmarkEnd w:id="311"/>
      <w:bookmarkEnd w:id="312"/>
      <w:bookmarkEnd w:id="313"/>
    </w:p>
    <w:p w14:paraId="1F2B4598" w14:textId="495A5F8E" w:rsidR="00C87E79" w:rsidRPr="00662906" w:rsidRDefault="17AC3E0E" w:rsidP="00C87E79">
      <w:pPr>
        <w:rPr>
          <w:lang w:eastAsia="fr-FR"/>
        </w:rPr>
      </w:pPr>
      <w:r w:rsidRPr="00662906">
        <w:rPr>
          <w:lang w:eastAsia="fr-FR"/>
        </w:rPr>
        <w:t xml:space="preserve">An analysis of the AU-MS regarding their enabling environment to </w:t>
      </w:r>
      <w:r w:rsidR="006C3BAE" w:rsidRPr="00662906">
        <w:rPr>
          <w:lang w:eastAsia="fr-FR"/>
        </w:rPr>
        <w:t>ET</w:t>
      </w:r>
      <w:r w:rsidRPr="00662906">
        <w:rPr>
          <w:lang w:eastAsia="fr-FR"/>
        </w:rPr>
        <w:t xml:space="preserve"> was made (See</w:t>
      </w:r>
      <w:r w:rsidR="4740C418" w:rsidRPr="00662906">
        <w:rPr>
          <w:lang w:eastAsia="fr-FR"/>
        </w:rPr>
        <w:t xml:space="preserve"> Annex </w:t>
      </w:r>
      <w:r w:rsidR="00750823" w:rsidRPr="00662906">
        <w:rPr>
          <w:lang w:eastAsia="fr-FR"/>
        </w:rPr>
        <w:fldChar w:fldCharType="begin"/>
      </w:r>
      <w:r w:rsidR="00750823" w:rsidRPr="00662906">
        <w:rPr>
          <w:lang w:eastAsia="fr-FR"/>
        </w:rPr>
        <w:instrText xml:space="preserve"> REF _Ref185538336 \r \h </w:instrText>
      </w:r>
      <w:r w:rsidR="00750823" w:rsidRPr="00662906">
        <w:rPr>
          <w:lang w:eastAsia="fr-FR"/>
        </w:rPr>
      </w:r>
      <w:r w:rsidR="00750823" w:rsidRPr="00662906">
        <w:rPr>
          <w:lang w:eastAsia="fr-FR"/>
        </w:rPr>
        <w:fldChar w:fldCharType="separate"/>
      </w:r>
      <w:r w:rsidR="00610F61">
        <w:rPr>
          <w:lang w:eastAsia="fr-FR"/>
        </w:rPr>
        <w:t>6.2</w:t>
      </w:r>
      <w:r w:rsidR="00750823" w:rsidRPr="00662906">
        <w:rPr>
          <w:lang w:eastAsia="fr-FR"/>
        </w:rPr>
        <w:fldChar w:fldCharType="end"/>
      </w:r>
      <w:r w:rsidR="4740C418" w:rsidRPr="00662906">
        <w:rPr>
          <w:lang w:eastAsia="fr-FR"/>
        </w:rPr>
        <w:t xml:space="preserve"> </w:t>
      </w:r>
      <w:r w:rsidRPr="00662906">
        <w:rPr>
          <w:lang w:eastAsia="fr-FR"/>
        </w:rPr>
        <w:t>Stocktaking Report</w:t>
      </w:r>
      <w:r w:rsidR="497C5883" w:rsidRPr="00662906">
        <w:rPr>
          <w:lang w:eastAsia="fr-FR"/>
        </w:rPr>
        <w:t>)</w:t>
      </w:r>
      <w:r w:rsidRPr="00662906">
        <w:rPr>
          <w:lang w:eastAsia="fr-FR"/>
        </w:rPr>
        <w:t>. Overall, 46 AU-</w:t>
      </w:r>
      <w:r w:rsidR="004C0FA4" w:rsidRPr="00662906">
        <w:rPr>
          <w:lang w:eastAsia="fr-FR"/>
        </w:rPr>
        <w:t>MS</w:t>
      </w:r>
      <w:r w:rsidRPr="00662906">
        <w:rPr>
          <w:lang w:eastAsia="fr-FR"/>
        </w:rPr>
        <w:t xml:space="preserve"> have what can be considered national ET strateg</w:t>
      </w:r>
      <w:r w:rsidR="6B5616DA" w:rsidRPr="00662906">
        <w:rPr>
          <w:lang w:eastAsia="fr-FR"/>
        </w:rPr>
        <w:t>ies</w:t>
      </w:r>
      <w:r w:rsidRPr="00662906">
        <w:rPr>
          <w:lang w:eastAsia="fr-FR"/>
        </w:rPr>
        <w:t xml:space="preserve"> with the time frames</w:t>
      </w:r>
      <w:r w:rsidR="006C3BAE" w:rsidRPr="00662906">
        <w:rPr>
          <w:lang w:eastAsia="fr-FR"/>
        </w:rPr>
        <w:t xml:space="preserve"> as</w:t>
      </w:r>
      <w:r w:rsidRPr="00662906">
        <w:rPr>
          <w:lang w:eastAsia="fr-FR"/>
        </w:rPr>
        <w:t xml:space="preserve"> indicated in </w:t>
      </w:r>
      <w:r w:rsidR="00C87E79" w:rsidRPr="00662906">
        <w:rPr>
          <w:lang w:eastAsia="fr-FR"/>
        </w:rPr>
        <w:fldChar w:fldCharType="begin"/>
      </w:r>
      <w:r w:rsidR="00C87E79" w:rsidRPr="00662906">
        <w:rPr>
          <w:lang w:eastAsia="fr-FR"/>
        </w:rPr>
        <w:instrText xml:space="preserve"> REF _Ref185440917 \h </w:instrText>
      </w:r>
      <w:r w:rsidR="00504943" w:rsidRPr="00662906">
        <w:rPr>
          <w:lang w:eastAsia="fr-FR"/>
        </w:rPr>
        <w:instrText xml:space="preserve"> \* MERGEFORMAT </w:instrText>
      </w:r>
      <w:r w:rsidR="00C87E79" w:rsidRPr="00662906">
        <w:rPr>
          <w:lang w:eastAsia="fr-FR"/>
        </w:rPr>
      </w:r>
      <w:r w:rsidR="00C87E79" w:rsidRPr="00662906">
        <w:rPr>
          <w:lang w:eastAsia="fr-FR"/>
        </w:rPr>
        <w:fldChar w:fldCharType="separate"/>
      </w:r>
      <w:r w:rsidR="00610F61" w:rsidRPr="00610F61">
        <w:rPr>
          <w:lang w:eastAsia="fr-FR"/>
        </w:rPr>
        <w:t>Table 8</w:t>
      </w:r>
      <w:r w:rsidR="00C87E79" w:rsidRPr="00662906">
        <w:rPr>
          <w:lang w:eastAsia="fr-FR"/>
        </w:rPr>
        <w:fldChar w:fldCharType="end"/>
      </w:r>
      <w:r w:rsidRPr="00662906">
        <w:rPr>
          <w:lang w:eastAsia="fr-FR"/>
        </w:rPr>
        <w:t xml:space="preserve"> (details of the countries are included in Annex X). </w:t>
      </w:r>
      <w:r w:rsidR="006C3BAE" w:rsidRPr="00662906">
        <w:rPr>
          <w:lang w:eastAsia="fr-FR"/>
        </w:rPr>
        <w:t>Most</w:t>
      </w:r>
      <w:r w:rsidRPr="00662906">
        <w:rPr>
          <w:lang w:eastAsia="fr-FR"/>
        </w:rPr>
        <w:t xml:space="preserve"> </w:t>
      </w:r>
      <w:r w:rsidR="00B14AF5" w:rsidRPr="00662906">
        <w:rPr>
          <w:lang w:eastAsia="fr-FR"/>
        </w:rPr>
        <w:t>ET</w:t>
      </w:r>
      <w:r w:rsidRPr="00662906">
        <w:rPr>
          <w:lang w:eastAsia="fr-FR"/>
        </w:rPr>
        <w:t xml:space="preserve"> targets have a time frame up to 2030/2035 and 2040. Only 7 AU-MS have targets for energy transition up to 2050 and these are the AU-MS aiming for net zero in 2050.</w:t>
      </w:r>
    </w:p>
    <w:p w14:paraId="5A198E04" w14:textId="5F58374F" w:rsidR="00C87E79" w:rsidRPr="00662906" w:rsidRDefault="00C87E79" w:rsidP="00C87E79">
      <w:pPr>
        <w:rPr>
          <w:i/>
          <w:iCs/>
          <w:color w:val="B4A269" w:themeColor="text2"/>
          <w:sz w:val="18"/>
          <w:szCs w:val="18"/>
        </w:rPr>
      </w:pPr>
      <w:bookmarkStart w:id="314" w:name="_Ref185440917"/>
      <w:bookmarkStart w:id="315" w:name="_Toc197433896"/>
      <w:r w:rsidRPr="00662906">
        <w:rPr>
          <w:i/>
          <w:iCs/>
          <w:color w:val="B4A269" w:themeColor="text2"/>
          <w:sz w:val="18"/>
          <w:szCs w:val="18"/>
        </w:rPr>
        <w:t xml:space="preserve">Table </w:t>
      </w:r>
      <w:r w:rsidRPr="00662906">
        <w:rPr>
          <w:i/>
          <w:iCs/>
          <w:color w:val="B4A269" w:themeColor="text2"/>
          <w:sz w:val="18"/>
          <w:szCs w:val="18"/>
        </w:rPr>
        <w:fldChar w:fldCharType="begin"/>
      </w:r>
      <w:r w:rsidRPr="00662906">
        <w:rPr>
          <w:i/>
          <w:iCs/>
          <w:color w:val="B4A269" w:themeColor="text2"/>
          <w:sz w:val="18"/>
          <w:szCs w:val="18"/>
        </w:rPr>
        <w:instrText xml:space="preserve"> SEQ Table \* ARABIC </w:instrText>
      </w:r>
      <w:r w:rsidRPr="00662906">
        <w:rPr>
          <w:i/>
          <w:iCs/>
          <w:color w:val="B4A269" w:themeColor="text2"/>
          <w:sz w:val="18"/>
          <w:szCs w:val="18"/>
        </w:rPr>
        <w:fldChar w:fldCharType="separate"/>
      </w:r>
      <w:r w:rsidR="00610F61">
        <w:rPr>
          <w:i/>
          <w:iCs/>
          <w:noProof/>
          <w:color w:val="B4A269" w:themeColor="text2"/>
          <w:sz w:val="18"/>
          <w:szCs w:val="18"/>
        </w:rPr>
        <w:t>8</w:t>
      </w:r>
      <w:r w:rsidRPr="00662906">
        <w:rPr>
          <w:i/>
          <w:iCs/>
          <w:color w:val="B4A269" w:themeColor="text2"/>
          <w:sz w:val="18"/>
          <w:szCs w:val="18"/>
        </w:rPr>
        <w:fldChar w:fldCharType="end"/>
      </w:r>
      <w:bookmarkEnd w:id="314"/>
      <w:r w:rsidRPr="00662906">
        <w:rPr>
          <w:i/>
          <w:iCs/>
          <w:color w:val="B4A269" w:themeColor="text2"/>
          <w:sz w:val="18"/>
          <w:szCs w:val="18"/>
        </w:rPr>
        <w:t>: Noted ET strategies across the Continent by AU region and the timeframe of the ET strategies</w:t>
      </w:r>
      <w:bookmarkEnd w:id="315"/>
    </w:p>
    <w:tbl>
      <w:tblPr>
        <w:tblStyle w:val="TableGrid"/>
        <w:tblW w:w="9016" w:type="dxa"/>
        <w:tblLayout w:type="fixed"/>
        <w:tblLook w:val="06A0" w:firstRow="1" w:lastRow="0" w:firstColumn="1" w:lastColumn="0" w:noHBand="1" w:noVBand="1"/>
      </w:tblPr>
      <w:tblGrid>
        <w:gridCol w:w="1696"/>
        <w:gridCol w:w="988"/>
        <w:gridCol w:w="1169"/>
        <w:gridCol w:w="1285"/>
        <w:gridCol w:w="1283"/>
        <w:gridCol w:w="1317"/>
        <w:gridCol w:w="1278"/>
      </w:tblGrid>
      <w:tr w:rsidR="00C87E79" w:rsidRPr="00662906" w14:paraId="420E8A7E" w14:textId="77777777" w:rsidTr="00504943">
        <w:trPr>
          <w:trHeight w:val="300"/>
        </w:trPr>
        <w:tc>
          <w:tcPr>
            <w:tcW w:w="1696"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216A1954" w14:textId="77777777" w:rsidR="00C87E79" w:rsidRPr="00662906" w:rsidRDefault="00C87E79" w:rsidP="00A74DEA">
            <w:pPr>
              <w:spacing w:before="0" w:after="0"/>
              <w:jc w:val="center"/>
              <w:rPr>
                <w:b/>
                <w:bCs/>
                <w:color w:val="FFFFFF" w:themeColor="background2"/>
                <w:sz w:val="18"/>
                <w:szCs w:val="18"/>
                <w:lang w:eastAsia="fr-FR"/>
              </w:rPr>
            </w:pPr>
          </w:p>
        </w:tc>
        <w:tc>
          <w:tcPr>
            <w:tcW w:w="98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7E5A783D"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Central</w:t>
            </w:r>
          </w:p>
        </w:tc>
        <w:tc>
          <w:tcPr>
            <w:tcW w:w="1169"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6FC3BC5C"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Eastern</w:t>
            </w:r>
          </w:p>
        </w:tc>
        <w:tc>
          <w:tcPr>
            <w:tcW w:w="1285"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431E0D88"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Northern</w:t>
            </w:r>
          </w:p>
        </w:tc>
        <w:tc>
          <w:tcPr>
            <w:tcW w:w="1283"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72F9FAD6"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Southern</w:t>
            </w:r>
          </w:p>
        </w:tc>
        <w:tc>
          <w:tcPr>
            <w:tcW w:w="1317"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7B18DB2D"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Western</w:t>
            </w:r>
          </w:p>
        </w:tc>
        <w:tc>
          <w:tcPr>
            <w:tcW w:w="127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039D3BDF"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Island States</w:t>
            </w:r>
          </w:p>
        </w:tc>
      </w:tr>
      <w:tr w:rsidR="00C87E79" w:rsidRPr="00662906" w14:paraId="48D0A054" w14:textId="77777777" w:rsidTr="00504943">
        <w:trPr>
          <w:trHeight w:val="300"/>
        </w:trPr>
        <w:tc>
          <w:tcPr>
            <w:tcW w:w="1696"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2E3CB41" w14:textId="22CFBF13" w:rsidR="00C87E79" w:rsidRPr="00662906" w:rsidRDefault="00C87E79" w:rsidP="00A74DEA">
            <w:pPr>
              <w:spacing w:before="0" w:after="0"/>
              <w:jc w:val="center"/>
              <w:rPr>
                <w:sz w:val="18"/>
                <w:szCs w:val="18"/>
                <w:lang w:eastAsia="fr-FR"/>
              </w:rPr>
            </w:pPr>
            <w:r w:rsidRPr="00662906">
              <w:rPr>
                <w:sz w:val="18"/>
                <w:szCs w:val="18"/>
                <w:lang w:eastAsia="fr-FR"/>
              </w:rPr>
              <w:t>National ET Strategies</w:t>
            </w:r>
            <w:r w:rsidR="00095A13" w:rsidRPr="00662906">
              <w:rPr>
                <w:sz w:val="18"/>
                <w:szCs w:val="18"/>
                <w:lang w:eastAsia="fr-FR"/>
              </w:rPr>
              <w:t>/Frameworks</w:t>
            </w:r>
            <w:r w:rsidRPr="00662906">
              <w:rPr>
                <w:sz w:val="18"/>
                <w:szCs w:val="18"/>
                <w:lang w:eastAsia="fr-FR"/>
              </w:rPr>
              <w:t>-Total</w:t>
            </w:r>
          </w:p>
        </w:tc>
        <w:tc>
          <w:tcPr>
            <w:tcW w:w="98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7F96165" w14:textId="77777777" w:rsidR="00C87E79" w:rsidRPr="00662906" w:rsidRDefault="00C87E79" w:rsidP="00A74DEA">
            <w:pPr>
              <w:spacing w:before="0" w:after="0"/>
              <w:jc w:val="center"/>
              <w:rPr>
                <w:sz w:val="18"/>
                <w:szCs w:val="18"/>
                <w:lang w:eastAsia="fr-FR"/>
              </w:rPr>
            </w:pPr>
            <w:r w:rsidRPr="00662906">
              <w:rPr>
                <w:sz w:val="18"/>
                <w:szCs w:val="18"/>
                <w:lang w:eastAsia="fr-FR"/>
              </w:rPr>
              <w:t>3</w:t>
            </w:r>
          </w:p>
        </w:tc>
        <w:tc>
          <w:tcPr>
            <w:tcW w:w="1169"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751A1EEE" w14:textId="77777777" w:rsidR="00C87E79" w:rsidRPr="00662906" w:rsidRDefault="00C87E79" w:rsidP="00A74DEA">
            <w:pPr>
              <w:spacing w:before="0" w:after="0"/>
              <w:jc w:val="center"/>
              <w:rPr>
                <w:sz w:val="18"/>
                <w:szCs w:val="18"/>
                <w:lang w:eastAsia="fr-FR"/>
              </w:rPr>
            </w:pPr>
            <w:r w:rsidRPr="00662906">
              <w:rPr>
                <w:sz w:val="18"/>
                <w:szCs w:val="18"/>
                <w:lang w:eastAsia="fr-FR"/>
              </w:rPr>
              <w:t>11</w:t>
            </w:r>
          </w:p>
        </w:tc>
        <w:tc>
          <w:tcPr>
            <w:tcW w:w="1285"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62175FE" w14:textId="77777777" w:rsidR="00C87E79" w:rsidRPr="00662906" w:rsidRDefault="00C87E79" w:rsidP="00A74DEA">
            <w:pPr>
              <w:spacing w:before="0" w:after="0"/>
              <w:jc w:val="center"/>
              <w:rPr>
                <w:sz w:val="18"/>
                <w:szCs w:val="18"/>
                <w:lang w:eastAsia="fr-FR"/>
              </w:rPr>
            </w:pPr>
            <w:r w:rsidRPr="00662906">
              <w:rPr>
                <w:sz w:val="18"/>
                <w:szCs w:val="18"/>
                <w:lang w:eastAsia="fr-FR"/>
              </w:rPr>
              <w:t>6</w:t>
            </w:r>
          </w:p>
        </w:tc>
        <w:tc>
          <w:tcPr>
            <w:tcW w:w="1283"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CB8498B" w14:textId="77777777" w:rsidR="00C87E79" w:rsidRPr="00662906" w:rsidRDefault="00C87E79" w:rsidP="00A74DEA">
            <w:pPr>
              <w:spacing w:before="0" w:after="0"/>
              <w:jc w:val="center"/>
              <w:rPr>
                <w:sz w:val="18"/>
                <w:szCs w:val="18"/>
                <w:lang w:eastAsia="fr-FR"/>
              </w:rPr>
            </w:pPr>
            <w:r w:rsidRPr="00662906">
              <w:rPr>
                <w:sz w:val="18"/>
                <w:szCs w:val="18"/>
                <w:lang w:eastAsia="fr-FR"/>
              </w:rPr>
              <w:t>8</w:t>
            </w:r>
          </w:p>
        </w:tc>
        <w:tc>
          <w:tcPr>
            <w:tcW w:w="1317"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54EA4325" w14:textId="77777777" w:rsidR="00C87E79" w:rsidRPr="00662906" w:rsidRDefault="00C87E79" w:rsidP="00A74DEA">
            <w:pPr>
              <w:spacing w:before="0" w:after="0"/>
              <w:jc w:val="center"/>
              <w:rPr>
                <w:sz w:val="18"/>
                <w:szCs w:val="18"/>
                <w:lang w:eastAsia="fr-FR"/>
              </w:rPr>
            </w:pPr>
            <w:r w:rsidRPr="00662906">
              <w:rPr>
                <w:sz w:val="18"/>
                <w:szCs w:val="18"/>
                <w:lang w:eastAsia="fr-FR"/>
              </w:rPr>
              <w:t>14</w:t>
            </w:r>
          </w:p>
        </w:tc>
        <w:tc>
          <w:tcPr>
            <w:tcW w:w="127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A1EC0A1" w14:textId="77777777" w:rsidR="00C87E79" w:rsidRPr="00662906" w:rsidRDefault="00C87E79" w:rsidP="00A74DEA">
            <w:pPr>
              <w:spacing w:before="0" w:after="0"/>
              <w:jc w:val="center"/>
              <w:rPr>
                <w:sz w:val="18"/>
                <w:szCs w:val="18"/>
                <w:lang w:eastAsia="fr-FR"/>
              </w:rPr>
            </w:pPr>
            <w:r w:rsidRPr="00662906">
              <w:rPr>
                <w:sz w:val="18"/>
                <w:szCs w:val="18"/>
                <w:lang w:eastAsia="fr-FR"/>
              </w:rPr>
              <w:t>4</w:t>
            </w:r>
          </w:p>
        </w:tc>
      </w:tr>
      <w:tr w:rsidR="00C87E79" w:rsidRPr="00662906" w14:paraId="43CF5768" w14:textId="77777777" w:rsidTr="00504943">
        <w:trPr>
          <w:trHeight w:val="300"/>
        </w:trPr>
        <w:tc>
          <w:tcPr>
            <w:tcW w:w="1696"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6A38711" w14:textId="77777777" w:rsidR="00C87E79" w:rsidRPr="00662906" w:rsidRDefault="00C87E79" w:rsidP="00A74DEA">
            <w:pPr>
              <w:spacing w:before="0" w:after="0"/>
              <w:jc w:val="center"/>
              <w:rPr>
                <w:sz w:val="18"/>
                <w:szCs w:val="18"/>
                <w:lang w:eastAsia="fr-FR"/>
              </w:rPr>
            </w:pPr>
            <w:r w:rsidRPr="00662906">
              <w:rPr>
                <w:sz w:val="18"/>
                <w:szCs w:val="18"/>
                <w:lang w:eastAsia="fr-FR"/>
              </w:rPr>
              <w:t>2030/2035</w:t>
            </w:r>
          </w:p>
        </w:tc>
        <w:tc>
          <w:tcPr>
            <w:tcW w:w="98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A8154C4" w14:textId="77777777" w:rsidR="00C87E79" w:rsidRPr="00662906" w:rsidRDefault="00C87E79" w:rsidP="00A74DEA">
            <w:pPr>
              <w:spacing w:before="0" w:after="0"/>
              <w:jc w:val="center"/>
              <w:rPr>
                <w:sz w:val="18"/>
                <w:szCs w:val="18"/>
                <w:lang w:eastAsia="fr-FR"/>
              </w:rPr>
            </w:pPr>
            <w:r w:rsidRPr="00662906">
              <w:rPr>
                <w:sz w:val="18"/>
                <w:szCs w:val="18"/>
                <w:lang w:eastAsia="fr-FR"/>
              </w:rPr>
              <w:t>2</w:t>
            </w:r>
          </w:p>
        </w:tc>
        <w:tc>
          <w:tcPr>
            <w:tcW w:w="1169"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5E9DC8E1" w14:textId="77777777" w:rsidR="00C87E79" w:rsidRPr="00662906" w:rsidRDefault="00C87E79" w:rsidP="00A74DEA">
            <w:pPr>
              <w:spacing w:before="0" w:after="0"/>
              <w:jc w:val="center"/>
              <w:rPr>
                <w:sz w:val="18"/>
                <w:szCs w:val="18"/>
                <w:lang w:eastAsia="fr-FR"/>
              </w:rPr>
            </w:pPr>
            <w:r w:rsidRPr="00662906">
              <w:rPr>
                <w:sz w:val="18"/>
                <w:szCs w:val="18"/>
                <w:lang w:eastAsia="fr-FR"/>
              </w:rPr>
              <w:t>3</w:t>
            </w:r>
          </w:p>
        </w:tc>
        <w:tc>
          <w:tcPr>
            <w:tcW w:w="1285"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6304C3C" w14:textId="77777777" w:rsidR="00C87E79" w:rsidRPr="00662906" w:rsidRDefault="00C87E79" w:rsidP="00A74DEA">
            <w:pPr>
              <w:spacing w:before="0" w:after="0"/>
              <w:jc w:val="center"/>
              <w:rPr>
                <w:sz w:val="18"/>
                <w:szCs w:val="18"/>
                <w:lang w:eastAsia="fr-FR"/>
              </w:rPr>
            </w:pPr>
          </w:p>
        </w:tc>
        <w:tc>
          <w:tcPr>
            <w:tcW w:w="1283"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5E9743C" w14:textId="77777777" w:rsidR="00C87E79" w:rsidRPr="00662906" w:rsidRDefault="00C87E79" w:rsidP="00A74DEA">
            <w:pPr>
              <w:spacing w:before="0" w:after="0"/>
              <w:jc w:val="center"/>
              <w:rPr>
                <w:sz w:val="18"/>
                <w:szCs w:val="18"/>
                <w:lang w:eastAsia="fr-FR"/>
              </w:rPr>
            </w:pPr>
            <w:r w:rsidRPr="00662906">
              <w:rPr>
                <w:sz w:val="18"/>
                <w:szCs w:val="18"/>
                <w:lang w:eastAsia="fr-FR"/>
              </w:rPr>
              <w:t>2</w:t>
            </w:r>
          </w:p>
        </w:tc>
        <w:tc>
          <w:tcPr>
            <w:tcW w:w="1317"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81D04DA" w14:textId="77777777" w:rsidR="00C87E79" w:rsidRPr="00662906" w:rsidRDefault="00C87E79" w:rsidP="00A74DEA">
            <w:pPr>
              <w:spacing w:before="0" w:after="0"/>
              <w:jc w:val="center"/>
              <w:rPr>
                <w:sz w:val="18"/>
                <w:szCs w:val="18"/>
                <w:lang w:eastAsia="fr-FR"/>
              </w:rPr>
            </w:pPr>
            <w:r w:rsidRPr="00662906">
              <w:rPr>
                <w:sz w:val="18"/>
                <w:szCs w:val="18"/>
                <w:lang w:eastAsia="fr-FR"/>
              </w:rPr>
              <w:t>4</w:t>
            </w:r>
          </w:p>
        </w:tc>
        <w:tc>
          <w:tcPr>
            <w:tcW w:w="127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1C4FFDFB" w14:textId="77777777" w:rsidR="00C87E79" w:rsidRPr="00662906" w:rsidRDefault="00C87E79" w:rsidP="00A74DEA">
            <w:pPr>
              <w:spacing w:before="0" w:after="0"/>
              <w:jc w:val="center"/>
              <w:rPr>
                <w:sz w:val="18"/>
                <w:szCs w:val="18"/>
                <w:lang w:eastAsia="fr-FR"/>
              </w:rPr>
            </w:pPr>
            <w:r w:rsidRPr="00662906">
              <w:rPr>
                <w:sz w:val="18"/>
                <w:szCs w:val="18"/>
                <w:lang w:eastAsia="fr-FR"/>
              </w:rPr>
              <w:t>2</w:t>
            </w:r>
          </w:p>
        </w:tc>
      </w:tr>
      <w:tr w:rsidR="00C87E79" w:rsidRPr="00662906" w14:paraId="36D5FD73" w14:textId="77777777" w:rsidTr="00504943">
        <w:trPr>
          <w:trHeight w:val="300"/>
        </w:trPr>
        <w:tc>
          <w:tcPr>
            <w:tcW w:w="1696"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45906BA" w14:textId="77777777" w:rsidR="00C87E79" w:rsidRPr="00662906" w:rsidRDefault="00C87E79" w:rsidP="00A74DEA">
            <w:pPr>
              <w:spacing w:before="0" w:after="0"/>
              <w:jc w:val="center"/>
              <w:rPr>
                <w:sz w:val="18"/>
                <w:szCs w:val="18"/>
                <w:lang w:eastAsia="fr-FR"/>
              </w:rPr>
            </w:pPr>
            <w:r w:rsidRPr="00662906">
              <w:rPr>
                <w:sz w:val="18"/>
                <w:szCs w:val="18"/>
                <w:lang w:eastAsia="fr-FR"/>
              </w:rPr>
              <w:t>2040</w:t>
            </w:r>
          </w:p>
        </w:tc>
        <w:tc>
          <w:tcPr>
            <w:tcW w:w="98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663CE28" w14:textId="77777777" w:rsidR="00C87E79" w:rsidRPr="00662906" w:rsidRDefault="00C87E79" w:rsidP="00A74DEA">
            <w:pPr>
              <w:spacing w:before="0" w:after="0"/>
              <w:jc w:val="center"/>
              <w:rPr>
                <w:sz w:val="18"/>
                <w:szCs w:val="18"/>
                <w:lang w:eastAsia="fr-FR"/>
              </w:rPr>
            </w:pPr>
            <w:r w:rsidRPr="00662906">
              <w:rPr>
                <w:sz w:val="18"/>
                <w:szCs w:val="18"/>
                <w:lang w:eastAsia="fr-FR"/>
              </w:rPr>
              <w:t>1</w:t>
            </w:r>
          </w:p>
        </w:tc>
        <w:tc>
          <w:tcPr>
            <w:tcW w:w="1169"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1DE8C467" w14:textId="77777777" w:rsidR="00C87E79" w:rsidRPr="00662906" w:rsidRDefault="00C87E79" w:rsidP="00A74DEA">
            <w:pPr>
              <w:spacing w:before="0" w:after="0"/>
              <w:jc w:val="center"/>
              <w:rPr>
                <w:sz w:val="18"/>
                <w:szCs w:val="18"/>
                <w:lang w:eastAsia="fr-FR"/>
              </w:rPr>
            </w:pPr>
            <w:r w:rsidRPr="00662906">
              <w:rPr>
                <w:sz w:val="18"/>
                <w:szCs w:val="18"/>
                <w:lang w:eastAsia="fr-FR"/>
              </w:rPr>
              <w:t>7</w:t>
            </w:r>
          </w:p>
        </w:tc>
        <w:tc>
          <w:tcPr>
            <w:tcW w:w="1285"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5C35E2A" w14:textId="77777777" w:rsidR="00C87E79" w:rsidRPr="00662906" w:rsidRDefault="00C87E79" w:rsidP="00A74DEA">
            <w:pPr>
              <w:spacing w:before="0" w:after="0"/>
              <w:jc w:val="center"/>
              <w:rPr>
                <w:sz w:val="18"/>
                <w:szCs w:val="18"/>
                <w:lang w:eastAsia="fr-FR"/>
              </w:rPr>
            </w:pPr>
            <w:r w:rsidRPr="00662906">
              <w:rPr>
                <w:sz w:val="18"/>
                <w:szCs w:val="18"/>
                <w:lang w:eastAsia="fr-FR"/>
              </w:rPr>
              <w:t>2</w:t>
            </w:r>
          </w:p>
        </w:tc>
        <w:tc>
          <w:tcPr>
            <w:tcW w:w="1283"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3003452" w14:textId="77777777" w:rsidR="00C87E79" w:rsidRPr="00662906" w:rsidRDefault="00C87E79" w:rsidP="00A74DEA">
            <w:pPr>
              <w:spacing w:before="0" w:after="0"/>
              <w:jc w:val="center"/>
              <w:rPr>
                <w:sz w:val="18"/>
                <w:szCs w:val="18"/>
                <w:lang w:eastAsia="fr-FR"/>
              </w:rPr>
            </w:pPr>
            <w:r w:rsidRPr="00662906">
              <w:rPr>
                <w:sz w:val="18"/>
                <w:szCs w:val="18"/>
                <w:lang w:eastAsia="fr-FR"/>
              </w:rPr>
              <w:t>5</w:t>
            </w:r>
          </w:p>
        </w:tc>
        <w:tc>
          <w:tcPr>
            <w:tcW w:w="1317"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29E3F712" w14:textId="77777777" w:rsidR="00C87E79" w:rsidRPr="00662906" w:rsidRDefault="00C87E79" w:rsidP="00A74DEA">
            <w:pPr>
              <w:spacing w:before="0" w:after="0"/>
              <w:jc w:val="center"/>
              <w:rPr>
                <w:sz w:val="18"/>
                <w:szCs w:val="18"/>
                <w:lang w:eastAsia="fr-FR"/>
              </w:rPr>
            </w:pPr>
            <w:r w:rsidRPr="00662906">
              <w:rPr>
                <w:sz w:val="18"/>
                <w:szCs w:val="18"/>
                <w:lang w:eastAsia="fr-FR"/>
              </w:rPr>
              <w:t>9</w:t>
            </w:r>
          </w:p>
        </w:tc>
        <w:tc>
          <w:tcPr>
            <w:tcW w:w="127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298A39BE" w14:textId="77777777" w:rsidR="00C87E79" w:rsidRPr="00662906" w:rsidRDefault="00C87E79" w:rsidP="00A74DEA">
            <w:pPr>
              <w:spacing w:before="0" w:after="0"/>
              <w:jc w:val="center"/>
              <w:rPr>
                <w:sz w:val="18"/>
                <w:szCs w:val="18"/>
                <w:lang w:eastAsia="fr-FR"/>
              </w:rPr>
            </w:pPr>
            <w:r w:rsidRPr="00662906">
              <w:rPr>
                <w:sz w:val="18"/>
                <w:szCs w:val="18"/>
                <w:lang w:eastAsia="fr-FR"/>
              </w:rPr>
              <w:t>2</w:t>
            </w:r>
          </w:p>
        </w:tc>
      </w:tr>
      <w:tr w:rsidR="00C87E79" w:rsidRPr="00662906" w14:paraId="45B22841" w14:textId="77777777" w:rsidTr="00504943">
        <w:trPr>
          <w:trHeight w:val="300"/>
        </w:trPr>
        <w:tc>
          <w:tcPr>
            <w:tcW w:w="1696"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A68ECEF" w14:textId="77777777" w:rsidR="00C87E79" w:rsidRPr="00662906" w:rsidRDefault="00C87E79" w:rsidP="00A74DEA">
            <w:pPr>
              <w:spacing w:before="0" w:after="0"/>
              <w:jc w:val="center"/>
              <w:rPr>
                <w:sz w:val="18"/>
                <w:szCs w:val="18"/>
                <w:lang w:eastAsia="fr-FR"/>
              </w:rPr>
            </w:pPr>
            <w:r w:rsidRPr="00662906">
              <w:rPr>
                <w:sz w:val="18"/>
                <w:szCs w:val="18"/>
                <w:lang w:eastAsia="fr-FR"/>
              </w:rPr>
              <w:t>2050</w:t>
            </w:r>
          </w:p>
        </w:tc>
        <w:tc>
          <w:tcPr>
            <w:tcW w:w="98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6566398" w14:textId="77777777" w:rsidR="00C87E79" w:rsidRPr="00662906" w:rsidRDefault="00C87E79" w:rsidP="00A74DEA">
            <w:pPr>
              <w:spacing w:before="0" w:after="0"/>
              <w:jc w:val="center"/>
              <w:rPr>
                <w:sz w:val="18"/>
                <w:szCs w:val="18"/>
                <w:lang w:eastAsia="fr-FR"/>
              </w:rPr>
            </w:pPr>
          </w:p>
        </w:tc>
        <w:tc>
          <w:tcPr>
            <w:tcW w:w="1169"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2B377EBC" w14:textId="77777777" w:rsidR="00C87E79" w:rsidRPr="00662906" w:rsidRDefault="00C87E79" w:rsidP="00A74DEA">
            <w:pPr>
              <w:spacing w:before="0" w:after="0"/>
              <w:jc w:val="center"/>
              <w:rPr>
                <w:sz w:val="18"/>
                <w:szCs w:val="18"/>
                <w:lang w:eastAsia="fr-FR"/>
              </w:rPr>
            </w:pPr>
            <w:r w:rsidRPr="00662906">
              <w:rPr>
                <w:sz w:val="18"/>
                <w:szCs w:val="18"/>
                <w:lang w:eastAsia="fr-FR"/>
              </w:rPr>
              <w:t>1</w:t>
            </w:r>
          </w:p>
        </w:tc>
        <w:tc>
          <w:tcPr>
            <w:tcW w:w="1285"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B05B4D6" w14:textId="77777777" w:rsidR="00C87E79" w:rsidRPr="00662906" w:rsidRDefault="00C87E79" w:rsidP="00A74DEA">
            <w:pPr>
              <w:spacing w:before="0" w:after="0"/>
              <w:jc w:val="center"/>
              <w:rPr>
                <w:sz w:val="18"/>
                <w:szCs w:val="18"/>
                <w:lang w:eastAsia="fr-FR"/>
              </w:rPr>
            </w:pPr>
            <w:r w:rsidRPr="00662906">
              <w:rPr>
                <w:sz w:val="18"/>
                <w:szCs w:val="18"/>
                <w:lang w:eastAsia="fr-FR"/>
              </w:rPr>
              <w:t>4</w:t>
            </w:r>
          </w:p>
        </w:tc>
        <w:tc>
          <w:tcPr>
            <w:tcW w:w="1283"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74F7349B" w14:textId="77777777" w:rsidR="00C87E79" w:rsidRPr="00662906" w:rsidRDefault="00C87E79" w:rsidP="00A74DEA">
            <w:pPr>
              <w:spacing w:before="0" w:after="0"/>
              <w:jc w:val="center"/>
              <w:rPr>
                <w:sz w:val="18"/>
                <w:szCs w:val="18"/>
                <w:lang w:eastAsia="fr-FR"/>
              </w:rPr>
            </w:pPr>
            <w:r w:rsidRPr="00662906">
              <w:rPr>
                <w:sz w:val="18"/>
                <w:szCs w:val="18"/>
                <w:lang w:eastAsia="fr-FR"/>
              </w:rPr>
              <w:t>1</w:t>
            </w:r>
          </w:p>
        </w:tc>
        <w:tc>
          <w:tcPr>
            <w:tcW w:w="1317"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AAA075C" w14:textId="77777777" w:rsidR="00C87E79" w:rsidRPr="00662906" w:rsidRDefault="00C87E79" w:rsidP="00A74DEA">
            <w:pPr>
              <w:spacing w:before="0" w:after="0"/>
              <w:jc w:val="center"/>
              <w:rPr>
                <w:sz w:val="18"/>
                <w:szCs w:val="18"/>
                <w:lang w:eastAsia="fr-FR"/>
              </w:rPr>
            </w:pPr>
            <w:r w:rsidRPr="00662906">
              <w:rPr>
                <w:sz w:val="18"/>
                <w:szCs w:val="18"/>
                <w:lang w:eastAsia="fr-FR"/>
              </w:rPr>
              <w:t>1</w:t>
            </w:r>
          </w:p>
        </w:tc>
        <w:tc>
          <w:tcPr>
            <w:tcW w:w="1278"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77E9215F" w14:textId="77777777" w:rsidR="00C87E79" w:rsidRPr="00662906" w:rsidRDefault="00C87E79" w:rsidP="00A74DEA">
            <w:pPr>
              <w:spacing w:before="0" w:after="0"/>
              <w:jc w:val="center"/>
              <w:rPr>
                <w:sz w:val="18"/>
                <w:szCs w:val="18"/>
                <w:lang w:eastAsia="fr-FR"/>
              </w:rPr>
            </w:pPr>
          </w:p>
        </w:tc>
      </w:tr>
    </w:tbl>
    <w:p w14:paraId="4C7E3792"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5EBF316F" w14:textId="1A24F95E" w:rsidR="00C87E79" w:rsidRPr="00662906" w:rsidRDefault="00C87E79" w:rsidP="00C87E79">
      <w:pPr>
        <w:rPr>
          <w:lang w:eastAsia="fr-FR"/>
        </w:rPr>
      </w:pPr>
      <w:r w:rsidRPr="00662906">
        <w:rPr>
          <w:lang w:eastAsia="fr-FR"/>
        </w:rPr>
        <w:lastRenderedPageBreak/>
        <w:t xml:space="preserve">The analysis of the energy transition strategies of AU member states, led to the identification of several actions in the targeted sectors which were then used to inform the development of the ETSAP actions. </w:t>
      </w:r>
      <w:r w:rsidRPr="00662906">
        <w:rPr>
          <w:lang w:eastAsia="fr-FR"/>
        </w:rPr>
        <w:fldChar w:fldCharType="begin"/>
      </w:r>
      <w:r w:rsidRPr="00662906">
        <w:rPr>
          <w:lang w:eastAsia="fr-FR"/>
        </w:rPr>
        <w:instrText xml:space="preserve"> REF _Ref185440958 \h </w:instrText>
      </w:r>
      <w:r w:rsidR="00817557" w:rsidRPr="00662906">
        <w:rPr>
          <w:lang w:eastAsia="fr-FR"/>
        </w:rPr>
        <w:instrText xml:space="preserve"> \* MERGEFORMAT </w:instrText>
      </w:r>
      <w:r w:rsidRPr="00662906">
        <w:rPr>
          <w:lang w:eastAsia="fr-FR"/>
        </w:rPr>
      </w:r>
      <w:r w:rsidRPr="00662906">
        <w:rPr>
          <w:lang w:eastAsia="fr-FR"/>
        </w:rPr>
        <w:fldChar w:fldCharType="separate"/>
      </w:r>
      <w:r w:rsidR="00610F61" w:rsidRPr="00662906">
        <w:rPr>
          <w:lang w:eastAsia="fr-FR"/>
        </w:rPr>
        <w:t xml:space="preserve">Table </w:t>
      </w:r>
      <w:r w:rsidR="00610F61">
        <w:rPr>
          <w:lang w:eastAsia="fr-FR"/>
        </w:rPr>
        <w:t>9</w:t>
      </w:r>
      <w:r w:rsidR="00610F61" w:rsidRPr="00662906">
        <w:t>:</w:t>
      </w:r>
      <w:r w:rsidRPr="00662906">
        <w:rPr>
          <w:lang w:eastAsia="fr-FR"/>
        </w:rPr>
        <w:fldChar w:fldCharType="end"/>
      </w:r>
      <w:r w:rsidRPr="00662906">
        <w:rPr>
          <w:lang w:eastAsia="fr-FR"/>
        </w:rPr>
        <w:t xml:space="preserve"> presents these key initiatives.</w:t>
      </w:r>
    </w:p>
    <w:p w14:paraId="67D857C6" w14:textId="4BE0119E" w:rsidR="00C87E79" w:rsidRPr="00662906" w:rsidRDefault="00817557" w:rsidP="00817557">
      <w:pPr>
        <w:pStyle w:val="Caption"/>
        <w:rPr>
          <w:i w:val="0"/>
          <w:iCs w:val="0"/>
        </w:rPr>
      </w:pPr>
      <w:bookmarkStart w:id="316" w:name="_Ref185440958"/>
      <w:bookmarkStart w:id="317" w:name="_Toc197433897"/>
      <w:r w:rsidRPr="00662906">
        <w:t xml:space="preserve">Table </w:t>
      </w:r>
      <w:fldSimple w:instr=" SEQ Table \* ARABIC ">
        <w:r w:rsidR="00610F61">
          <w:rPr>
            <w:noProof/>
          </w:rPr>
          <w:t>9</w:t>
        </w:r>
      </w:fldSimple>
      <w:r w:rsidRPr="00662906">
        <w:t>:</w:t>
      </w:r>
      <w:bookmarkEnd w:id="316"/>
      <w:r w:rsidR="00C87E79" w:rsidRPr="00662906">
        <w:t xml:space="preserve"> Initiatives identified in country ET strategies</w:t>
      </w:r>
      <w:bookmarkEnd w:id="317"/>
    </w:p>
    <w:tbl>
      <w:tblPr>
        <w:tblStyle w:val="TableGrid"/>
        <w:tblW w:w="9124" w:type="dxa"/>
        <w:tblLayout w:type="fixed"/>
        <w:tblLook w:val="06A0" w:firstRow="1" w:lastRow="0" w:firstColumn="1" w:lastColumn="0" w:noHBand="1" w:noVBand="1"/>
      </w:tblPr>
      <w:tblGrid>
        <w:gridCol w:w="3534"/>
        <w:gridCol w:w="5590"/>
      </w:tblGrid>
      <w:tr w:rsidR="00C87E79" w:rsidRPr="00662906" w14:paraId="1F4E90F6"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71AC28B5" w14:textId="7BE55B6E"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Sector</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shd w:val="clear" w:color="auto" w:fill="B4A269" w:themeFill="text2"/>
            <w:tcMar>
              <w:left w:w="108" w:type="dxa"/>
              <w:right w:w="108" w:type="dxa"/>
            </w:tcMar>
            <w:vAlign w:val="center"/>
          </w:tcPr>
          <w:p w14:paraId="74A2A987" w14:textId="77777777" w:rsidR="00C87E79" w:rsidRPr="00662906" w:rsidRDefault="00C87E79" w:rsidP="00A74DEA">
            <w:pPr>
              <w:spacing w:before="0" w:after="0"/>
              <w:jc w:val="center"/>
              <w:rPr>
                <w:b/>
                <w:bCs/>
                <w:color w:val="FFFFFF" w:themeColor="background2"/>
                <w:sz w:val="18"/>
                <w:szCs w:val="18"/>
                <w:lang w:eastAsia="fr-FR"/>
              </w:rPr>
            </w:pPr>
            <w:r w:rsidRPr="00662906">
              <w:rPr>
                <w:b/>
                <w:bCs/>
                <w:color w:val="FFFFFF" w:themeColor="background2"/>
                <w:sz w:val="18"/>
                <w:szCs w:val="18"/>
                <w:lang w:eastAsia="fr-FR"/>
              </w:rPr>
              <w:t>Initiative providing input to ETSAP</w:t>
            </w:r>
          </w:p>
        </w:tc>
      </w:tr>
      <w:tr w:rsidR="00C87E79" w:rsidRPr="00662906" w14:paraId="354B155C"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241BFD05" w14:textId="77777777" w:rsidR="00C87E79" w:rsidRPr="00662906" w:rsidRDefault="00C87E79" w:rsidP="00A74DEA">
            <w:pPr>
              <w:spacing w:before="0" w:after="0"/>
              <w:rPr>
                <w:sz w:val="18"/>
                <w:szCs w:val="18"/>
                <w:lang w:eastAsia="fr-FR"/>
              </w:rPr>
            </w:pPr>
            <w:r w:rsidRPr="00662906">
              <w:rPr>
                <w:sz w:val="18"/>
                <w:szCs w:val="18"/>
                <w:lang w:eastAsia="fr-FR"/>
              </w:rPr>
              <w:t>Electricity/demand sectors</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0C65F83" w14:textId="77777777" w:rsidR="00C87E79" w:rsidRPr="00662906" w:rsidRDefault="00C87E79" w:rsidP="00A74DEA">
            <w:pPr>
              <w:spacing w:before="0" w:after="0"/>
              <w:rPr>
                <w:sz w:val="18"/>
                <w:szCs w:val="18"/>
                <w:lang w:eastAsia="fr-FR"/>
              </w:rPr>
            </w:pPr>
            <w:r w:rsidRPr="00662906">
              <w:rPr>
                <w:sz w:val="18"/>
                <w:szCs w:val="18"/>
                <w:lang w:eastAsia="fr-FR"/>
              </w:rPr>
              <w:t>Financing small and medium enterprises (SME) ET initiatives</w:t>
            </w:r>
          </w:p>
        </w:tc>
      </w:tr>
      <w:tr w:rsidR="00C87E79" w:rsidRPr="00662906" w14:paraId="0FEDB76B" w14:textId="77777777" w:rsidTr="2D9E25B5">
        <w:trPr>
          <w:trHeight w:val="300"/>
        </w:trPr>
        <w:tc>
          <w:tcPr>
            <w:tcW w:w="3534" w:type="dxa"/>
            <w:vMerge w:val="restart"/>
            <w:tcBorders>
              <w:top w:val="single" w:sz="8" w:space="0" w:color="9F2241" w:themeColor="background1"/>
              <w:left w:val="single" w:sz="8" w:space="0" w:color="9F2241" w:themeColor="background1"/>
              <w:right w:val="single" w:sz="8" w:space="0" w:color="9F2241" w:themeColor="background1"/>
            </w:tcBorders>
            <w:tcMar>
              <w:left w:w="108" w:type="dxa"/>
              <w:right w:w="108" w:type="dxa"/>
            </w:tcMar>
            <w:vAlign w:val="center"/>
          </w:tcPr>
          <w:p w14:paraId="1C7F2C10" w14:textId="77777777" w:rsidR="00C87E79" w:rsidRPr="00662906" w:rsidRDefault="00C87E79" w:rsidP="00A74DEA">
            <w:pPr>
              <w:spacing w:before="0" w:after="0"/>
              <w:rPr>
                <w:sz w:val="18"/>
                <w:szCs w:val="18"/>
                <w:lang w:eastAsia="fr-FR"/>
              </w:rPr>
            </w:pPr>
            <w:r w:rsidRPr="00662906">
              <w:rPr>
                <w:sz w:val="18"/>
                <w:szCs w:val="18"/>
                <w:lang w:eastAsia="fr-FR"/>
              </w:rPr>
              <w:t>Electricity sector</w:t>
            </w:r>
          </w:p>
          <w:p w14:paraId="55CA19C8" w14:textId="77777777" w:rsidR="00C87E79" w:rsidRPr="00662906" w:rsidRDefault="00C87E79" w:rsidP="00A74DEA">
            <w:pPr>
              <w:spacing w:before="0" w:after="0"/>
              <w:rPr>
                <w:sz w:val="18"/>
                <w:szCs w:val="18"/>
                <w:lang w:eastAsia="fr-FR"/>
              </w:rPr>
            </w:pPr>
            <w:r w:rsidRPr="00662906">
              <w:rPr>
                <w:sz w:val="18"/>
                <w:szCs w:val="18"/>
                <w:lang w:eastAsia="fr-FR"/>
              </w:rPr>
              <w:t xml:space="preserve"> </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54C01CC" w14:textId="77777777" w:rsidR="00C87E79" w:rsidRPr="00662906" w:rsidRDefault="00C87E79" w:rsidP="00A74DEA">
            <w:pPr>
              <w:spacing w:before="0" w:after="0"/>
              <w:rPr>
                <w:sz w:val="18"/>
                <w:szCs w:val="18"/>
                <w:lang w:eastAsia="fr-FR"/>
              </w:rPr>
            </w:pPr>
            <w:r w:rsidRPr="00662906">
              <w:rPr>
                <w:sz w:val="18"/>
                <w:szCs w:val="18"/>
                <w:lang w:eastAsia="fr-FR"/>
              </w:rPr>
              <w:t>Repurposing and repowering of fossil fuel power plants</w:t>
            </w:r>
          </w:p>
        </w:tc>
      </w:tr>
      <w:tr w:rsidR="00C87E79" w:rsidRPr="00662906" w14:paraId="6B57B0E6" w14:textId="77777777" w:rsidTr="2D9E25B5">
        <w:trPr>
          <w:trHeight w:val="300"/>
        </w:trPr>
        <w:tc>
          <w:tcPr>
            <w:tcW w:w="3534" w:type="dxa"/>
            <w:vMerge/>
            <w:tcMar>
              <w:left w:w="108" w:type="dxa"/>
              <w:right w:w="108" w:type="dxa"/>
            </w:tcMar>
            <w:vAlign w:val="center"/>
          </w:tcPr>
          <w:p w14:paraId="2DA24236"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4D2F040" w14:textId="77777777" w:rsidR="00C87E79" w:rsidRPr="00662906" w:rsidRDefault="00C87E79" w:rsidP="00A74DEA">
            <w:pPr>
              <w:spacing w:before="0" w:after="0"/>
              <w:rPr>
                <w:sz w:val="18"/>
                <w:szCs w:val="18"/>
                <w:lang w:eastAsia="fr-FR"/>
              </w:rPr>
            </w:pPr>
            <w:r w:rsidRPr="00662906">
              <w:rPr>
                <w:sz w:val="18"/>
                <w:szCs w:val="18"/>
                <w:lang w:eastAsia="fr-FR"/>
              </w:rPr>
              <w:t>RE expansion plans</w:t>
            </w:r>
          </w:p>
        </w:tc>
      </w:tr>
      <w:tr w:rsidR="00C87E79" w:rsidRPr="00662906" w14:paraId="769B53B3" w14:textId="77777777" w:rsidTr="2D9E25B5">
        <w:trPr>
          <w:trHeight w:val="300"/>
        </w:trPr>
        <w:tc>
          <w:tcPr>
            <w:tcW w:w="3534" w:type="dxa"/>
            <w:vMerge/>
            <w:tcMar>
              <w:left w:w="108" w:type="dxa"/>
              <w:right w:w="108" w:type="dxa"/>
            </w:tcMar>
            <w:vAlign w:val="center"/>
          </w:tcPr>
          <w:p w14:paraId="1E2A45BE"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56C249F0" w14:textId="77777777" w:rsidR="00C87E79" w:rsidRPr="00662906" w:rsidRDefault="00C87E79" w:rsidP="00A74DEA">
            <w:pPr>
              <w:spacing w:before="0" w:after="0"/>
              <w:rPr>
                <w:sz w:val="18"/>
                <w:szCs w:val="18"/>
                <w:lang w:eastAsia="fr-FR"/>
              </w:rPr>
            </w:pPr>
            <w:r w:rsidRPr="00662906">
              <w:rPr>
                <w:sz w:val="18"/>
                <w:szCs w:val="18"/>
                <w:lang w:eastAsia="fr-FR"/>
              </w:rPr>
              <w:t>Hydro power expansion and grid capacity enhancement</w:t>
            </w:r>
          </w:p>
        </w:tc>
      </w:tr>
      <w:tr w:rsidR="00C87E79" w:rsidRPr="00662906" w14:paraId="57F58B52" w14:textId="77777777" w:rsidTr="2D9E25B5">
        <w:trPr>
          <w:trHeight w:val="300"/>
        </w:trPr>
        <w:tc>
          <w:tcPr>
            <w:tcW w:w="3534" w:type="dxa"/>
            <w:vMerge/>
            <w:tcMar>
              <w:left w:w="108" w:type="dxa"/>
              <w:right w:w="108" w:type="dxa"/>
            </w:tcMar>
            <w:vAlign w:val="center"/>
          </w:tcPr>
          <w:p w14:paraId="3FE70039"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1C0070D6" w14:textId="77777777" w:rsidR="00C87E79" w:rsidRPr="00662906" w:rsidRDefault="00C87E79" w:rsidP="00A74DEA">
            <w:pPr>
              <w:spacing w:before="0" w:after="0"/>
              <w:rPr>
                <w:sz w:val="18"/>
                <w:szCs w:val="18"/>
                <w:lang w:eastAsia="fr-FR"/>
              </w:rPr>
            </w:pPr>
            <w:r w:rsidRPr="00662906">
              <w:rPr>
                <w:sz w:val="18"/>
                <w:szCs w:val="18"/>
                <w:lang w:eastAsia="fr-FR"/>
              </w:rPr>
              <w:t>Small scale electricity supply and distribution systems</w:t>
            </w:r>
          </w:p>
        </w:tc>
      </w:tr>
      <w:tr w:rsidR="00C87E79" w:rsidRPr="00662906" w14:paraId="5BA4B183" w14:textId="77777777" w:rsidTr="2D9E25B5">
        <w:trPr>
          <w:trHeight w:val="300"/>
        </w:trPr>
        <w:tc>
          <w:tcPr>
            <w:tcW w:w="3534" w:type="dxa"/>
            <w:vMerge/>
            <w:tcMar>
              <w:left w:w="108" w:type="dxa"/>
              <w:right w:w="108" w:type="dxa"/>
            </w:tcMar>
            <w:vAlign w:val="center"/>
          </w:tcPr>
          <w:p w14:paraId="01EEB0DE"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D03F397" w14:textId="77777777" w:rsidR="00C87E79" w:rsidRPr="00662906" w:rsidRDefault="00C87E79" w:rsidP="00A74DEA">
            <w:pPr>
              <w:spacing w:before="0" w:after="0"/>
              <w:rPr>
                <w:sz w:val="18"/>
                <w:szCs w:val="18"/>
                <w:lang w:eastAsia="fr-FR"/>
              </w:rPr>
            </w:pPr>
            <w:r w:rsidRPr="00662906">
              <w:rPr>
                <w:sz w:val="18"/>
                <w:szCs w:val="18"/>
                <w:lang w:eastAsia="fr-FR"/>
              </w:rPr>
              <w:t>RE enhancement-supply and network expansion</w:t>
            </w:r>
          </w:p>
        </w:tc>
      </w:tr>
      <w:tr w:rsidR="00C87E79" w:rsidRPr="00662906" w14:paraId="4B7B64B6" w14:textId="77777777" w:rsidTr="2D9E25B5">
        <w:trPr>
          <w:trHeight w:val="300"/>
        </w:trPr>
        <w:tc>
          <w:tcPr>
            <w:tcW w:w="3534" w:type="dxa"/>
            <w:vMerge/>
            <w:tcMar>
              <w:left w:w="108" w:type="dxa"/>
              <w:right w:w="108" w:type="dxa"/>
            </w:tcMar>
            <w:vAlign w:val="center"/>
          </w:tcPr>
          <w:p w14:paraId="583ACE46"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3082B8B" w14:textId="77777777" w:rsidR="00C87E79" w:rsidRPr="00662906" w:rsidRDefault="00C87E79" w:rsidP="00A74DEA">
            <w:pPr>
              <w:spacing w:before="0" w:after="0"/>
              <w:rPr>
                <w:sz w:val="18"/>
                <w:szCs w:val="18"/>
                <w:lang w:eastAsia="fr-FR"/>
              </w:rPr>
            </w:pPr>
            <w:r w:rsidRPr="00662906">
              <w:rPr>
                <w:sz w:val="18"/>
                <w:szCs w:val="18"/>
                <w:lang w:eastAsia="fr-FR"/>
              </w:rPr>
              <w:t>RE projects and attracting private sector financing</w:t>
            </w:r>
          </w:p>
        </w:tc>
      </w:tr>
      <w:tr w:rsidR="00C87E79" w:rsidRPr="00662906" w14:paraId="6EE4AD8A" w14:textId="77777777" w:rsidTr="2D9E25B5">
        <w:trPr>
          <w:trHeight w:val="50"/>
        </w:trPr>
        <w:tc>
          <w:tcPr>
            <w:tcW w:w="3534" w:type="dxa"/>
            <w:vMerge/>
            <w:tcMar>
              <w:left w:w="108" w:type="dxa"/>
              <w:right w:w="108" w:type="dxa"/>
            </w:tcMar>
            <w:vAlign w:val="center"/>
          </w:tcPr>
          <w:p w14:paraId="57D38590"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8B7D148" w14:textId="77777777" w:rsidR="00C87E79" w:rsidRPr="00662906" w:rsidRDefault="00C87E79" w:rsidP="00A74DEA">
            <w:pPr>
              <w:spacing w:before="0" w:after="0"/>
              <w:rPr>
                <w:sz w:val="18"/>
                <w:szCs w:val="18"/>
                <w:lang w:eastAsia="fr-FR"/>
              </w:rPr>
            </w:pPr>
            <w:r w:rsidRPr="00662906">
              <w:rPr>
                <w:sz w:val="18"/>
                <w:szCs w:val="18"/>
                <w:lang w:eastAsia="fr-FR"/>
              </w:rPr>
              <w:t>RE expansion plan and programmes</w:t>
            </w:r>
          </w:p>
        </w:tc>
      </w:tr>
      <w:tr w:rsidR="00C87E79" w:rsidRPr="00662906" w14:paraId="70AE85B4" w14:textId="77777777" w:rsidTr="2D9E25B5">
        <w:trPr>
          <w:trHeight w:val="300"/>
        </w:trPr>
        <w:tc>
          <w:tcPr>
            <w:tcW w:w="3534" w:type="dxa"/>
            <w:vMerge/>
            <w:tcMar>
              <w:left w:w="108" w:type="dxa"/>
              <w:right w:w="108" w:type="dxa"/>
            </w:tcMar>
            <w:vAlign w:val="center"/>
          </w:tcPr>
          <w:p w14:paraId="55E28709"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E634081" w14:textId="15BA22CB" w:rsidR="00C87E79" w:rsidRPr="00662906" w:rsidRDefault="00C87E79" w:rsidP="00A74DEA">
            <w:pPr>
              <w:spacing w:before="0" w:after="0"/>
              <w:rPr>
                <w:sz w:val="18"/>
                <w:szCs w:val="18"/>
                <w:lang w:eastAsia="fr-FR"/>
              </w:rPr>
            </w:pPr>
            <w:r w:rsidRPr="00662906">
              <w:rPr>
                <w:sz w:val="18"/>
                <w:szCs w:val="18"/>
                <w:lang w:eastAsia="fr-FR"/>
              </w:rPr>
              <w:t>RE</w:t>
            </w:r>
            <w:r w:rsidR="005B4269" w:rsidRPr="00662906">
              <w:rPr>
                <w:sz w:val="18"/>
                <w:szCs w:val="18"/>
                <w:lang w:eastAsia="fr-FR"/>
              </w:rPr>
              <w:t xml:space="preserve"> and EE</w:t>
            </w:r>
            <w:r w:rsidRPr="00662906">
              <w:rPr>
                <w:sz w:val="18"/>
                <w:szCs w:val="18"/>
                <w:lang w:eastAsia="fr-FR"/>
              </w:rPr>
              <w:t xml:space="preserve"> projects and attracting private sector financing</w:t>
            </w:r>
          </w:p>
        </w:tc>
      </w:tr>
      <w:tr w:rsidR="00C87E79" w:rsidRPr="00662906" w14:paraId="0BF626A1" w14:textId="77777777" w:rsidTr="2D9E25B5">
        <w:trPr>
          <w:trHeight w:val="821"/>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724C3982" w14:textId="77777777" w:rsidR="00C87E79" w:rsidRPr="00662906" w:rsidRDefault="00C87E79" w:rsidP="00A74DEA">
            <w:pPr>
              <w:spacing w:before="0" w:after="0"/>
              <w:rPr>
                <w:sz w:val="18"/>
                <w:szCs w:val="18"/>
                <w:lang w:eastAsia="fr-FR"/>
              </w:rPr>
            </w:pPr>
            <w:r w:rsidRPr="00662906">
              <w:rPr>
                <w:sz w:val="18"/>
                <w:szCs w:val="18"/>
                <w:lang w:eastAsia="fr-FR"/>
              </w:rPr>
              <w:t>Electricity sector,</w:t>
            </w:r>
          </w:p>
          <w:p w14:paraId="71471873" w14:textId="77777777" w:rsidR="00C87E79" w:rsidRPr="00662906" w:rsidRDefault="00C87E79" w:rsidP="00A74DEA">
            <w:pPr>
              <w:spacing w:before="0" w:after="0"/>
              <w:rPr>
                <w:sz w:val="18"/>
                <w:szCs w:val="18"/>
                <w:lang w:eastAsia="fr-FR"/>
              </w:rPr>
            </w:pPr>
            <w:r w:rsidRPr="00662906">
              <w:rPr>
                <w:sz w:val="18"/>
                <w:szCs w:val="18"/>
                <w:lang w:eastAsia="fr-FR"/>
              </w:rPr>
              <w:t>Hydrogen</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4F81E717" w14:textId="6866D32B" w:rsidR="00C87E79" w:rsidRPr="00662906" w:rsidRDefault="17AC3E0E" w:rsidP="00A74DEA">
            <w:pPr>
              <w:spacing w:before="0" w:after="0"/>
              <w:rPr>
                <w:sz w:val="18"/>
                <w:szCs w:val="18"/>
                <w:lang w:eastAsia="fr-FR"/>
              </w:rPr>
            </w:pPr>
            <w:r w:rsidRPr="00662906">
              <w:rPr>
                <w:sz w:val="18"/>
                <w:szCs w:val="18"/>
                <w:lang w:eastAsia="fr-FR"/>
              </w:rPr>
              <w:t xml:space="preserve">RE </w:t>
            </w:r>
            <w:r w:rsidR="00EC4AB3" w:rsidRPr="00662906">
              <w:rPr>
                <w:sz w:val="18"/>
                <w:szCs w:val="18"/>
                <w:lang w:eastAsia="fr-FR"/>
              </w:rPr>
              <w:t>expansion for</w:t>
            </w:r>
            <w:r w:rsidR="2F60FC30" w:rsidRPr="00662906">
              <w:rPr>
                <w:sz w:val="18"/>
                <w:szCs w:val="18"/>
                <w:lang w:eastAsia="fr-FR"/>
              </w:rPr>
              <w:t xml:space="preserve"> </w:t>
            </w:r>
            <w:r w:rsidR="00527FBF" w:rsidRPr="00662906">
              <w:rPr>
                <w:sz w:val="18"/>
                <w:szCs w:val="18"/>
                <w:lang w:eastAsia="fr-FR"/>
              </w:rPr>
              <w:t>green</w:t>
            </w:r>
            <w:r w:rsidR="2F60FC30" w:rsidRPr="00662906">
              <w:rPr>
                <w:sz w:val="18"/>
                <w:szCs w:val="18"/>
                <w:lang w:eastAsia="fr-FR"/>
              </w:rPr>
              <w:t xml:space="preserve"> hydrogen production</w:t>
            </w:r>
          </w:p>
          <w:p w14:paraId="458B4C2D" w14:textId="24B70434" w:rsidR="00C87E79" w:rsidRPr="00662906" w:rsidRDefault="001A2319" w:rsidP="00A74DEA">
            <w:pPr>
              <w:spacing w:before="0" w:after="0"/>
              <w:rPr>
                <w:sz w:val="18"/>
                <w:szCs w:val="18"/>
                <w:lang w:eastAsia="fr-FR"/>
              </w:rPr>
            </w:pPr>
            <w:r w:rsidRPr="00662906">
              <w:rPr>
                <w:sz w:val="18"/>
                <w:szCs w:val="18"/>
                <w:lang w:eastAsia="fr-FR"/>
              </w:rPr>
              <w:t>H</w:t>
            </w:r>
            <w:r w:rsidR="00C87E79" w:rsidRPr="00662906">
              <w:rPr>
                <w:sz w:val="18"/>
                <w:szCs w:val="18"/>
                <w:lang w:eastAsia="fr-FR"/>
              </w:rPr>
              <w:t>ydrogen strategy</w:t>
            </w:r>
            <w:r w:rsidRPr="00662906">
              <w:rPr>
                <w:sz w:val="18"/>
                <w:szCs w:val="18"/>
                <w:lang w:eastAsia="fr-FR"/>
              </w:rPr>
              <w:t>/roadmaps</w:t>
            </w:r>
            <w:r w:rsidR="00C87E79" w:rsidRPr="00662906">
              <w:rPr>
                <w:sz w:val="18"/>
                <w:szCs w:val="18"/>
                <w:lang w:eastAsia="fr-FR"/>
              </w:rPr>
              <w:t xml:space="preserve"> at national level</w:t>
            </w:r>
          </w:p>
        </w:tc>
      </w:tr>
      <w:tr w:rsidR="00C87E79" w:rsidRPr="00662906" w14:paraId="595D0BD6"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7D349E84" w14:textId="77777777" w:rsidR="00C87E79" w:rsidRPr="00662906" w:rsidRDefault="00C87E79" w:rsidP="00A74DEA">
            <w:pPr>
              <w:spacing w:before="0" w:after="0"/>
              <w:rPr>
                <w:sz w:val="18"/>
                <w:szCs w:val="18"/>
                <w:lang w:eastAsia="fr-FR"/>
              </w:rPr>
            </w:pPr>
            <w:r w:rsidRPr="00662906">
              <w:rPr>
                <w:sz w:val="18"/>
                <w:szCs w:val="18"/>
                <w:lang w:eastAsia="fr-FR"/>
              </w:rPr>
              <w:t>Hydrogen</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6B21859" w14:textId="77777777" w:rsidR="00C87E79" w:rsidRPr="00662906" w:rsidRDefault="00C87E79" w:rsidP="00A74DEA">
            <w:pPr>
              <w:spacing w:before="0" w:after="0"/>
              <w:rPr>
                <w:sz w:val="18"/>
                <w:szCs w:val="18"/>
                <w:lang w:eastAsia="fr-FR"/>
              </w:rPr>
            </w:pPr>
            <w:r w:rsidRPr="00662906">
              <w:rPr>
                <w:sz w:val="18"/>
                <w:szCs w:val="18"/>
                <w:lang w:eastAsia="fr-FR"/>
              </w:rPr>
              <w:t>Financing, investments of hydrogen projects</w:t>
            </w:r>
          </w:p>
        </w:tc>
      </w:tr>
      <w:tr w:rsidR="00C87E79" w:rsidRPr="00662906" w14:paraId="388944FA"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19BF418" w14:textId="77777777" w:rsidR="00C87E79" w:rsidRPr="00662906" w:rsidRDefault="00C87E79" w:rsidP="00A74DEA">
            <w:pPr>
              <w:spacing w:before="0" w:after="0"/>
              <w:rPr>
                <w:sz w:val="18"/>
                <w:szCs w:val="18"/>
                <w:lang w:eastAsia="fr-FR"/>
              </w:rPr>
            </w:pPr>
            <w:r w:rsidRPr="00662906">
              <w:rPr>
                <w:sz w:val="18"/>
                <w:szCs w:val="18"/>
                <w:lang w:eastAsia="fr-FR"/>
              </w:rPr>
              <w:t>Electricity, transport, and Hydrogen</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36F03761" w14:textId="77777777" w:rsidR="00C87E79" w:rsidRPr="00662906" w:rsidRDefault="00C87E79" w:rsidP="00A74DEA">
            <w:pPr>
              <w:spacing w:before="0" w:after="0"/>
              <w:rPr>
                <w:sz w:val="18"/>
                <w:szCs w:val="18"/>
                <w:lang w:eastAsia="fr-FR"/>
              </w:rPr>
            </w:pPr>
            <w:r w:rsidRPr="00662906">
              <w:rPr>
                <w:sz w:val="18"/>
                <w:szCs w:val="18"/>
                <w:lang w:eastAsia="fr-FR"/>
              </w:rPr>
              <w:t>Defining ET investments opportunities and migration from one paradigm to new one for the sectors</w:t>
            </w:r>
          </w:p>
        </w:tc>
      </w:tr>
      <w:tr w:rsidR="00C87E79" w:rsidRPr="00662906" w14:paraId="6BFABE10"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5280244" w14:textId="77777777" w:rsidR="00C87E79" w:rsidRPr="00662906" w:rsidRDefault="00C87E79" w:rsidP="00A74DEA">
            <w:pPr>
              <w:spacing w:before="0" w:after="0"/>
              <w:rPr>
                <w:sz w:val="18"/>
                <w:szCs w:val="18"/>
                <w:lang w:eastAsia="fr-FR"/>
              </w:rPr>
            </w:pPr>
            <w:r w:rsidRPr="00662906">
              <w:rPr>
                <w:sz w:val="18"/>
                <w:szCs w:val="18"/>
                <w:lang w:eastAsia="fr-FR"/>
              </w:rPr>
              <w:t>Electricity/power industry, transport, agriculture, buildings</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6AEB9D34" w14:textId="77777777" w:rsidR="00C87E79" w:rsidRPr="00662906" w:rsidRDefault="00C87E79" w:rsidP="00A74DEA">
            <w:pPr>
              <w:spacing w:before="0" w:after="0"/>
              <w:rPr>
                <w:sz w:val="18"/>
                <w:szCs w:val="18"/>
                <w:lang w:eastAsia="fr-FR"/>
              </w:rPr>
            </w:pPr>
            <w:r w:rsidRPr="00662906">
              <w:rPr>
                <w:sz w:val="18"/>
                <w:szCs w:val="18"/>
                <w:lang w:eastAsia="fr-FR"/>
              </w:rPr>
              <w:t>Collective sector approach to ET strategy and implementation</w:t>
            </w:r>
          </w:p>
        </w:tc>
      </w:tr>
      <w:tr w:rsidR="00C87E79" w:rsidRPr="00662906" w14:paraId="7C334E37" w14:textId="77777777" w:rsidTr="2D9E25B5">
        <w:trPr>
          <w:trHeight w:val="300"/>
        </w:trPr>
        <w:tc>
          <w:tcPr>
            <w:tcW w:w="3534"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0D5A547E" w14:textId="77777777" w:rsidR="00C87E79" w:rsidRPr="00662906" w:rsidRDefault="00C87E79" w:rsidP="00A74DEA">
            <w:pPr>
              <w:spacing w:before="0" w:after="0"/>
              <w:rPr>
                <w:sz w:val="18"/>
                <w:szCs w:val="18"/>
                <w:lang w:eastAsia="fr-FR"/>
              </w:rPr>
            </w:pPr>
            <w:r w:rsidRPr="00662906">
              <w:rPr>
                <w:sz w:val="18"/>
                <w:szCs w:val="18"/>
                <w:lang w:eastAsia="fr-FR"/>
              </w:rPr>
              <w:t>All ET sectors</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5D680FCF" w14:textId="77777777" w:rsidR="00C87E79" w:rsidRPr="00662906" w:rsidRDefault="00C87E79" w:rsidP="00A74DEA">
            <w:pPr>
              <w:spacing w:before="0" w:after="0"/>
              <w:rPr>
                <w:sz w:val="18"/>
                <w:szCs w:val="18"/>
                <w:lang w:eastAsia="fr-FR"/>
              </w:rPr>
            </w:pPr>
            <w:r w:rsidRPr="00662906">
              <w:rPr>
                <w:sz w:val="18"/>
                <w:szCs w:val="18"/>
                <w:lang w:eastAsia="fr-FR"/>
              </w:rPr>
              <w:t>Development of national ET plans</w:t>
            </w:r>
          </w:p>
        </w:tc>
      </w:tr>
      <w:tr w:rsidR="00C87E79" w:rsidRPr="00662906" w14:paraId="7EB7D0EE" w14:textId="77777777" w:rsidTr="2D9E25B5">
        <w:trPr>
          <w:trHeight w:val="300"/>
        </w:trPr>
        <w:tc>
          <w:tcPr>
            <w:tcW w:w="3534" w:type="dxa"/>
            <w:vMerge w:val="restart"/>
            <w:tcBorders>
              <w:top w:val="single" w:sz="8" w:space="0" w:color="9F2241" w:themeColor="background1"/>
              <w:left w:val="single" w:sz="8" w:space="0" w:color="9F2241" w:themeColor="background1"/>
              <w:right w:val="single" w:sz="8" w:space="0" w:color="9F2241" w:themeColor="background1"/>
            </w:tcBorders>
            <w:tcMar>
              <w:left w:w="108" w:type="dxa"/>
              <w:right w:w="108" w:type="dxa"/>
            </w:tcMar>
            <w:vAlign w:val="center"/>
          </w:tcPr>
          <w:p w14:paraId="574C81E6" w14:textId="77777777" w:rsidR="00C87E79" w:rsidRPr="00662906" w:rsidRDefault="00C87E79" w:rsidP="00A74DEA">
            <w:pPr>
              <w:spacing w:before="0" w:after="0"/>
              <w:rPr>
                <w:sz w:val="18"/>
                <w:szCs w:val="18"/>
                <w:lang w:eastAsia="fr-FR"/>
              </w:rPr>
            </w:pPr>
            <w:r w:rsidRPr="00662906">
              <w:rPr>
                <w:sz w:val="18"/>
                <w:szCs w:val="18"/>
                <w:lang w:eastAsia="fr-FR"/>
              </w:rPr>
              <w:t>Clean cooking</w:t>
            </w: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2D204061" w14:textId="1C2908EC" w:rsidR="00C87E79" w:rsidRPr="00662906" w:rsidRDefault="00C87E79" w:rsidP="00A74DEA">
            <w:pPr>
              <w:spacing w:before="0" w:after="0"/>
              <w:rPr>
                <w:sz w:val="18"/>
                <w:szCs w:val="18"/>
                <w:lang w:eastAsia="fr-FR"/>
              </w:rPr>
            </w:pPr>
            <w:r w:rsidRPr="00662906">
              <w:rPr>
                <w:sz w:val="18"/>
                <w:szCs w:val="18"/>
                <w:lang w:eastAsia="fr-FR"/>
              </w:rPr>
              <w:t>Standards formulation for clean cookstoves and supply chain</w:t>
            </w:r>
          </w:p>
          <w:p w14:paraId="49528B53" w14:textId="77777777" w:rsidR="00C87E79" w:rsidRPr="00662906" w:rsidRDefault="00C87E79" w:rsidP="00A74DEA">
            <w:pPr>
              <w:spacing w:before="0" w:after="0"/>
              <w:rPr>
                <w:sz w:val="18"/>
                <w:szCs w:val="18"/>
                <w:lang w:eastAsia="fr-FR"/>
              </w:rPr>
            </w:pPr>
            <w:r w:rsidRPr="00662906">
              <w:rPr>
                <w:sz w:val="18"/>
                <w:szCs w:val="18"/>
                <w:lang w:eastAsia="fr-FR"/>
              </w:rPr>
              <w:t>and alternative fuel infrastructure development</w:t>
            </w:r>
          </w:p>
        </w:tc>
      </w:tr>
      <w:tr w:rsidR="00C87E79" w:rsidRPr="00662906" w14:paraId="53BDCE21" w14:textId="77777777" w:rsidTr="2D9E25B5">
        <w:trPr>
          <w:trHeight w:val="300"/>
        </w:trPr>
        <w:tc>
          <w:tcPr>
            <w:tcW w:w="3534" w:type="dxa"/>
            <w:vMerge/>
            <w:tcMar>
              <w:left w:w="108" w:type="dxa"/>
              <w:right w:w="108" w:type="dxa"/>
            </w:tcMar>
            <w:vAlign w:val="center"/>
          </w:tcPr>
          <w:p w14:paraId="6CD73C3C" w14:textId="77777777" w:rsidR="00C87E79" w:rsidRPr="00662906" w:rsidRDefault="00C87E79" w:rsidP="00A74DEA">
            <w:pPr>
              <w:spacing w:before="0" w:after="0"/>
              <w:rPr>
                <w:sz w:val="18"/>
                <w:szCs w:val="18"/>
                <w:lang w:eastAsia="fr-FR"/>
              </w:rPr>
            </w:pPr>
          </w:p>
        </w:tc>
        <w:tc>
          <w:tcPr>
            <w:tcW w:w="5590" w:type="dxa"/>
            <w:tcBorders>
              <w:top w:val="single" w:sz="8" w:space="0" w:color="9F2241" w:themeColor="background1"/>
              <w:left w:val="single" w:sz="8" w:space="0" w:color="9F2241" w:themeColor="background1"/>
              <w:bottom w:val="single" w:sz="8" w:space="0" w:color="9F2241" w:themeColor="background1"/>
              <w:right w:val="single" w:sz="8" w:space="0" w:color="9F2241" w:themeColor="background1"/>
            </w:tcBorders>
            <w:tcMar>
              <w:left w:w="108" w:type="dxa"/>
              <w:right w:w="108" w:type="dxa"/>
            </w:tcMar>
            <w:vAlign w:val="center"/>
          </w:tcPr>
          <w:p w14:paraId="182EBAB7" w14:textId="35C727D7" w:rsidR="00C87E79" w:rsidRPr="00662906" w:rsidRDefault="17AC3E0E" w:rsidP="00A74DEA">
            <w:pPr>
              <w:spacing w:before="0" w:after="0"/>
              <w:rPr>
                <w:sz w:val="18"/>
                <w:szCs w:val="18"/>
                <w:lang w:eastAsia="fr-FR"/>
              </w:rPr>
            </w:pPr>
            <w:r w:rsidRPr="00662906">
              <w:rPr>
                <w:sz w:val="18"/>
                <w:szCs w:val="18"/>
                <w:lang w:eastAsia="fr-FR"/>
              </w:rPr>
              <w:t>ET roadmap development</w:t>
            </w:r>
          </w:p>
        </w:tc>
      </w:tr>
    </w:tbl>
    <w:p w14:paraId="0AA71E03" w14:textId="77777777" w:rsidR="00A146E5" w:rsidRPr="00662906" w:rsidRDefault="00A146E5" w:rsidP="00A146E5">
      <w:pPr>
        <w:rPr>
          <w:rFonts w:eastAsia="Arial" w:cs="Arial"/>
          <w:i/>
          <w:iCs/>
          <w:color w:val="B4A169"/>
          <w:sz w:val="16"/>
          <w:szCs w:val="16"/>
        </w:rPr>
      </w:pPr>
      <w:bookmarkStart w:id="318" w:name="_Toc178936765"/>
      <w:bookmarkStart w:id="319" w:name="_Toc178937207"/>
      <w:bookmarkStart w:id="320" w:name="_Toc178937321"/>
      <w:bookmarkStart w:id="321" w:name="_Toc178937435"/>
      <w:bookmarkStart w:id="322" w:name="_Toc178937550"/>
      <w:bookmarkStart w:id="323" w:name="_Toc178937659"/>
      <w:bookmarkStart w:id="324" w:name="_Toc178937769"/>
      <w:bookmarkStart w:id="325" w:name="_Toc178937877"/>
      <w:bookmarkStart w:id="326" w:name="_Toc178937986"/>
      <w:bookmarkStart w:id="327" w:name="_Toc178937436"/>
      <w:bookmarkStart w:id="328" w:name="_Toc185519161"/>
      <w:bookmarkEnd w:id="318"/>
      <w:bookmarkEnd w:id="319"/>
      <w:bookmarkEnd w:id="320"/>
      <w:bookmarkEnd w:id="321"/>
      <w:bookmarkEnd w:id="322"/>
      <w:bookmarkEnd w:id="323"/>
      <w:bookmarkEnd w:id="324"/>
      <w:bookmarkEnd w:id="325"/>
      <w:bookmarkEnd w:id="326"/>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285DAE21" w14:textId="393F6AAE" w:rsidR="00C87E79" w:rsidRPr="00662906" w:rsidRDefault="00C87E79" w:rsidP="00335D1A">
      <w:pPr>
        <w:pStyle w:val="Heading2"/>
        <w:rPr>
          <w:lang w:eastAsia="fr-FR"/>
        </w:rPr>
      </w:pPr>
      <w:bookmarkStart w:id="329" w:name="_Toc197433822"/>
      <w:r w:rsidRPr="00662906">
        <w:rPr>
          <w:lang w:eastAsia="fr-FR"/>
        </w:rPr>
        <w:t>N</w:t>
      </w:r>
      <w:bookmarkEnd w:id="327"/>
      <w:r w:rsidRPr="00662906">
        <w:rPr>
          <w:lang w:eastAsia="fr-FR"/>
        </w:rPr>
        <w:t>ationally Determined Contributions</w:t>
      </w:r>
      <w:bookmarkEnd w:id="328"/>
      <w:bookmarkEnd w:id="329"/>
    </w:p>
    <w:p w14:paraId="2CEDE9A1" w14:textId="16DEA62D" w:rsidR="00C87E79" w:rsidRPr="00662906" w:rsidRDefault="17AC3E0E" w:rsidP="00C87E79">
      <w:pPr>
        <w:rPr>
          <w:lang w:eastAsia="fr-FR"/>
        </w:rPr>
      </w:pPr>
      <w:r w:rsidRPr="00662906">
        <w:rPr>
          <w:lang w:eastAsia="fr-FR"/>
        </w:rPr>
        <w:t xml:space="preserve">The analysis presented in the NDCs that were submitted by the AU </w:t>
      </w:r>
      <w:r w:rsidR="00DD25BF" w:rsidRPr="00662906">
        <w:rPr>
          <w:lang w:eastAsia="fr-FR"/>
        </w:rPr>
        <w:t>MS</w:t>
      </w:r>
      <w:r w:rsidRPr="00662906">
        <w:rPr>
          <w:lang w:eastAsia="fr-FR"/>
        </w:rPr>
        <w:t xml:space="preserve"> present projections for the period until 2030. According to the Synthesis report published by the</w:t>
      </w:r>
      <w:r w:rsidR="00CA4B3F" w:rsidRPr="00662906">
        <w:rPr>
          <w:lang w:eastAsia="fr-FR"/>
        </w:rPr>
        <w:t xml:space="preserve"> United National Framework Convention on Climate Change</w:t>
      </w:r>
      <w:r w:rsidRPr="00662906">
        <w:rPr>
          <w:lang w:eastAsia="fr-FR"/>
        </w:rPr>
        <w:t xml:space="preserve"> </w:t>
      </w:r>
      <w:r w:rsidR="00CA4B3F" w:rsidRPr="00662906">
        <w:rPr>
          <w:lang w:eastAsia="fr-FR"/>
        </w:rPr>
        <w:t>(</w:t>
      </w:r>
      <w:r w:rsidRPr="00662906">
        <w:rPr>
          <w:lang w:eastAsia="fr-FR"/>
        </w:rPr>
        <w:t>UNFCCC</w:t>
      </w:r>
      <w:r w:rsidR="00CA4B3F" w:rsidRPr="00662906">
        <w:rPr>
          <w:lang w:eastAsia="fr-FR"/>
        </w:rPr>
        <w:t>)</w:t>
      </w:r>
      <w:r w:rsidRPr="00662906">
        <w:rPr>
          <w:lang w:eastAsia="fr-FR"/>
        </w:rPr>
        <w:t xml:space="preserve"> secretariat</w:t>
      </w:r>
      <w:r w:rsidR="00C87E79" w:rsidRPr="00662906">
        <w:rPr>
          <w:vertAlign w:val="superscript"/>
          <w:lang w:eastAsia="fr-FR"/>
        </w:rPr>
        <w:footnoteReference w:id="23"/>
      </w:r>
      <w:r w:rsidRPr="00662906">
        <w:rPr>
          <w:lang w:eastAsia="fr-FR"/>
        </w:rPr>
        <w:t xml:space="preserve">, 92% of the countries globally that have submitted an NDC have a period of Implementation until 2030, while only 8% specified a period until 2040. </w:t>
      </w:r>
    </w:p>
    <w:p w14:paraId="3E287D76" w14:textId="0C499B7C" w:rsidR="00C87E79" w:rsidRPr="00662906" w:rsidRDefault="17AC3E0E" w:rsidP="00C87E79">
      <w:pPr>
        <w:rPr>
          <w:lang w:eastAsia="fr-FR"/>
        </w:rPr>
      </w:pPr>
      <w:r w:rsidRPr="00662906">
        <w:rPr>
          <w:lang w:eastAsia="fr-FR"/>
        </w:rPr>
        <w:t>According to an analysis performed by PBL Netherlands Environmental Assessment Agency</w:t>
      </w:r>
      <w:r w:rsidR="00C87E79" w:rsidRPr="00662906">
        <w:rPr>
          <w:vertAlign w:val="superscript"/>
          <w:lang w:eastAsia="fr-FR"/>
        </w:rPr>
        <w:footnoteReference w:id="24"/>
      </w:r>
      <w:r w:rsidRPr="00662906">
        <w:rPr>
          <w:lang w:eastAsia="fr-FR"/>
        </w:rPr>
        <w:t xml:space="preserve"> on the updated NDCs, ten count</w:t>
      </w:r>
      <w:r w:rsidR="00D5528F" w:rsidRPr="00662906">
        <w:rPr>
          <w:lang w:eastAsia="fr-FR"/>
        </w:rPr>
        <w:t>r</w:t>
      </w:r>
      <w:r w:rsidRPr="00662906">
        <w:rPr>
          <w:lang w:eastAsia="fr-FR"/>
        </w:rPr>
        <w:t xml:space="preserve">ies have submitted actions within their NDCs without qualifying the actual level of emissions reduction, while the majority of the countries (23) have submitted a target of reducing emissions compared to a </w:t>
      </w:r>
      <w:r w:rsidR="00DD25BF" w:rsidRPr="00662906">
        <w:rPr>
          <w:lang w:eastAsia="fr-FR"/>
        </w:rPr>
        <w:t>b</w:t>
      </w:r>
      <w:r w:rsidRPr="00662906">
        <w:rPr>
          <w:lang w:eastAsia="fr-FR"/>
        </w:rPr>
        <w:t>aseline projection of emissions to 2030. Several gaps exist in</w:t>
      </w:r>
      <w:r w:rsidR="00D5528F" w:rsidRPr="00662906">
        <w:rPr>
          <w:lang w:eastAsia="fr-FR"/>
        </w:rPr>
        <w:t xml:space="preserve"> as</w:t>
      </w:r>
      <w:r w:rsidRPr="00662906">
        <w:rPr>
          <w:lang w:eastAsia="fr-FR"/>
        </w:rPr>
        <w:t xml:space="preserve"> it was not possible to quantify the overall emissions reduction as 51 countries have reported a conditional target, 38 countries presented only an unconditional target, and 23 presented both unconditional and conditional targets. It is therefore difficult to get an overall estimate of the expected level of emissions reduction at a continental level that could be achieved if all NDC actions are fully implemented. However, 13 countries are projecting emission reduction in 2030 compared to 2020 even in their unconditional pledges, while 25 countries pledge reductions in the conditional case. A more detailed table presented in Annex </w:t>
      </w:r>
      <w:r w:rsidR="00120907" w:rsidRPr="00662906">
        <w:rPr>
          <w:lang w:eastAsia="fr-FR"/>
        </w:rPr>
        <w:fldChar w:fldCharType="begin"/>
      </w:r>
      <w:r w:rsidR="00120907" w:rsidRPr="00662906">
        <w:rPr>
          <w:lang w:eastAsia="fr-FR"/>
        </w:rPr>
        <w:instrText xml:space="preserve"> REF _Ref185538399 \r \h </w:instrText>
      </w:r>
      <w:r w:rsidR="00120907" w:rsidRPr="00662906">
        <w:rPr>
          <w:lang w:eastAsia="fr-FR"/>
        </w:rPr>
      </w:r>
      <w:r w:rsidR="00120907" w:rsidRPr="00662906">
        <w:rPr>
          <w:lang w:eastAsia="fr-FR"/>
        </w:rPr>
        <w:fldChar w:fldCharType="separate"/>
      </w:r>
      <w:r w:rsidR="00610F61">
        <w:rPr>
          <w:lang w:eastAsia="fr-FR"/>
        </w:rPr>
        <w:t>6.1</w:t>
      </w:r>
      <w:r w:rsidR="00120907" w:rsidRPr="00662906">
        <w:rPr>
          <w:lang w:eastAsia="fr-FR"/>
        </w:rPr>
        <w:fldChar w:fldCharType="end"/>
      </w:r>
      <w:r w:rsidRPr="00662906">
        <w:rPr>
          <w:lang w:eastAsia="fr-FR"/>
        </w:rPr>
        <w:t xml:space="preserve"> indicates the projected level of emissions in 2030 for the countries for which it was possible to quantify emission levels for the unconditional and the conditional scenarios. </w:t>
      </w:r>
    </w:p>
    <w:p w14:paraId="3261E5A5" w14:textId="5CA34293" w:rsidR="00C87E79" w:rsidRPr="00662906" w:rsidRDefault="17AC3E0E" w:rsidP="00C87E79">
      <w:pPr>
        <w:rPr>
          <w:lang w:eastAsia="fr-FR"/>
        </w:rPr>
      </w:pPr>
      <w:r w:rsidRPr="00662906">
        <w:rPr>
          <w:lang w:eastAsia="fr-FR"/>
        </w:rPr>
        <w:lastRenderedPageBreak/>
        <w:t>According to the</w:t>
      </w:r>
      <w:r w:rsidR="00661686" w:rsidRPr="00662906">
        <w:rPr>
          <w:lang w:eastAsia="fr-FR"/>
        </w:rPr>
        <w:t xml:space="preserve"> African Development Bank</w:t>
      </w:r>
      <w:r w:rsidRPr="00662906">
        <w:rPr>
          <w:lang w:eastAsia="fr-FR"/>
        </w:rPr>
        <w:t xml:space="preserve"> </w:t>
      </w:r>
      <w:r w:rsidR="00661686" w:rsidRPr="00662906">
        <w:rPr>
          <w:lang w:eastAsia="fr-FR"/>
        </w:rPr>
        <w:t>(</w:t>
      </w:r>
      <w:r w:rsidRPr="00662906">
        <w:rPr>
          <w:lang w:eastAsia="fr-FR"/>
        </w:rPr>
        <w:t>AfDB</w:t>
      </w:r>
      <w:r w:rsidR="00661686" w:rsidRPr="00662906">
        <w:rPr>
          <w:lang w:eastAsia="fr-FR"/>
        </w:rPr>
        <w:t>)</w:t>
      </w:r>
      <w:r w:rsidRPr="00662906">
        <w:rPr>
          <w:lang w:eastAsia="fr-FR"/>
        </w:rPr>
        <w:t xml:space="preserve"> Gap Analysis Report</w:t>
      </w:r>
      <w:r w:rsidR="00C87E79" w:rsidRPr="00662906">
        <w:rPr>
          <w:vertAlign w:val="superscript"/>
          <w:lang w:eastAsia="fr-FR"/>
        </w:rPr>
        <w:footnoteReference w:id="25"/>
      </w:r>
      <w:r w:rsidRPr="00662906">
        <w:rPr>
          <w:lang w:eastAsia="fr-FR"/>
        </w:rPr>
        <w:t xml:space="preserve">, the reviewed NDCs did not thoroughly address several important thematic issues, such as: aligning </w:t>
      </w:r>
      <w:r w:rsidR="35A9A17B" w:rsidRPr="00662906">
        <w:rPr>
          <w:b/>
          <w:bCs/>
          <w:lang w:eastAsia="fr-FR"/>
        </w:rPr>
        <w:t xml:space="preserve">NDC </w:t>
      </w:r>
      <w:r w:rsidRPr="00662906">
        <w:rPr>
          <w:b/>
          <w:bCs/>
          <w:lang w:eastAsia="fr-FR"/>
        </w:rPr>
        <w:t>strategies with national development plans and broader sustainable development goals, identifying opportunities to maximize co-benefits through well-coordinated, economy-wide activities, and detailing the processes for monitoring, reviewing, and reporting climate action</w:t>
      </w:r>
      <w:r w:rsidRPr="00662906">
        <w:rPr>
          <w:lang w:eastAsia="fr-FR"/>
        </w:rPr>
        <w:t xml:space="preserve">. African Union Member States are making progress in accessing climate finance, though the funds obtained still fall short of their needs. </w:t>
      </w:r>
    </w:p>
    <w:p w14:paraId="70B3B33F" w14:textId="095D29BB" w:rsidR="00C87E79" w:rsidRPr="00662906" w:rsidRDefault="17AC3E0E" w:rsidP="00C87E79">
      <w:pPr>
        <w:rPr>
          <w:lang w:eastAsia="fr-FR"/>
        </w:rPr>
      </w:pPr>
      <w:r w:rsidRPr="00662906">
        <w:rPr>
          <w:lang w:eastAsia="fr-FR"/>
        </w:rPr>
        <w:t xml:space="preserve">After a review of the submitted NDCs, decarbonization measures related to the ET subsectors of interest (electricity, transport, buildings, industry, oil and gas supply, agriculture and clean cooking) have been identified and analysed. A summary of the common approaches for Carbon Reducing Measures proposed by African Union Member States in their NDC’s for each targeted ET subsector is provided </w:t>
      </w:r>
      <w:r w:rsidR="00DA3E24" w:rsidRPr="00662906">
        <w:rPr>
          <w:lang w:eastAsia="fr-FR"/>
        </w:rPr>
        <w:t xml:space="preserve">in </w:t>
      </w:r>
      <w:r w:rsidR="00C87E79" w:rsidRPr="00662906">
        <w:rPr>
          <w:lang w:eastAsia="fr-FR"/>
        </w:rPr>
        <w:fldChar w:fldCharType="begin"/>
      </w:r>
      <w:r w:rsidR="00C87E79" w:rsidRPr="00662906">
        <w:rPr>
          <w:lang w:eastAsia="fr-FR"/>
        </w:rPr>
        <w:instrText xml:space="preserve"> REF _Ref185489453 \h </w:instrText>
      </w:r>
      <w:r w:rsidR="00C87E79" w:rsidRPr="00662906">
        <w:rPr>
          <w:lang w:eastAsia="fr-FR"/>
        </w:rPr>
      </w:r>
      <w:r w:rsidR="00C87E79" w:rsidRPr="00662906">
        <w:rPr>
          <w:lang w:eastAsia="fr-FR"/>
        </w:rPr>
        <w:fldChar w:fldCharType="separate"/>
      </w:r>
      <w:r w:rsidR="00610F61" w:rsidRPr="00662906">
        <w:rPr>
          <w:i/>
          <w:iCs/>
          <w:color w:val="B4A269" w:themeColor="text2"/>
          <w:sz w:val="18"/>
          <w:szCs w:val="18"/>
        </w:rPr>
        <w:t xml:space="preserve">Table </w:t>
      </w:r>
      <w:r w:rsidR="00610F61">
        <w:rPr>
          <w:i/>
          <w:iCs/>
          <w:noProof/>
          <w:color w:val="B4A269" w:themeColor="text2"/>
          <w:sz w:val="18"/>
          <w:szCs w:val="18"/>
        </w:rPr>
        <w:t>10</w:t>
      </w:r>
      <w:r w:rsidR="00C87E79" w:rsidRPr="00662906">
        <w:rPr>
          <w:lang w:eastAsia="fr-FR"/>
        </w:rPr>
        <w:fldChar w:fldCharType="end"/>
      </w:r>
      <w:r w:rsidRPr="00662906">
        <w:rPr>
          <w:lang w:eastAsia="fr-FR"/>
        </w:rPr>
        <w:t>)</w:t>
      </w:r>
      <w:r w:rsidR="00C87E79" w:rsidRPr="00662906">
        <w:rPr>
          <w:vertAlign w:val="superscript"/>
          <w:lang w:eastAsia="fr-FR"/>
        </w:rPr>
        <w:footnoteReference w:id="26"/>
      </w:r>
      <w:r w:rsidRPr="00662906">
        <w:rPr>
          <w:lang w:eastAsia="fr-FR"/>
        </w:rPr>
        <w:t xml:space="preserve">. </w:t>
      </w:r>
    </w:p>
    <w:p w14:paraId="38F05C97" w14:textId="08AC33D7" w:rsidR="00C87E79" w:rsidRPr="00662906" w:rsidRDefault="00C87E79" w:rsidP="00C87E79">
      <w:pPr>
        <w:rPr>
          <w:i/>
          <w:iCs/>
          <w:color w:val="B4A269" w:themeColor="text2"/>
          <w:sz w:val="18"/>
          <w:szCs w:val="18"/>
        </w:rPr>
      </w:pPr>
      <w:bookmarkStart w:id="330" w:name="_Ref185489453"/>
      <w:bookmarkStart w:id="331" w:name="_Toc197433898"/>
      <w:r w:rsidRPr="00662906">
        <w:rPr>
          <w:i/>
          <w:iCs/>
          <w:color w:val="B4A269" w:themeColor="text2"/>
          <w:sz w:val="18"/>
          <w:szCs w:val="18"/>
        </w:rPr>
        <w:t xml:space="preserve">Table </w:t>
      </w:r>
      <w:r w:rsidRPr="00662906">
        <w:rPr>
          <w:i/>
          <w:iCs/>
          <w:color w:val="B4A269" w:themeColor="text2"/>
          <w:sz w:val="18"/>
          <w:szCs w:val="18"/>
        </w:rPr>
        <w:fldChar w:fldCharType="begin"/>
      </w:r>
      <w:r w:rsidRPr="00662906">
        <w:rPr>
          <w:i/>
          <w:iCs/>
          <w:color w:val="B4A269" w:themeColor="text2"/>
          <w:sz w:val="18"/>
          <w:szCs w:val="18"/>
        </w:rPr>
        <w:instrText xml:space="preserve"> SEQ Table \* ARABIC </w:instrText>
      </w:r>
      <w:r w:rsidRPr="00662906">
        <w:rPr>
          <w:i/>
          <w:iCs/>
          <w:color w:val="B4A269" w:themeColor="text2"/>
          <w:sz w:val="18"/>
          <w:szCs w:val="18"/>
        </w:rPr>
        <w:fldChar w:fldCharType="separate"/>
      </w:r>
      <w:r w:rsidR="00610F61">
        <w:rPr>
          <w:i/>
          <w:iCs/>
          <w:noProof/>
          <w:color w:val="B4A269" w:themeColor="text2"/>
          <w:sz w:val="18"/>
          <w:szCs w:val="18"/>
        </w:rPr>
        <w:t>10</w:t>
      </w:r>
      <w:r w:rsidRPr="00662906">
        <w:rPr>
          <w:i/>
          <w:iCs/>
          <w:color w:val="B4A269" w:themeColor="text2"/>
          <w:sz w:val="18"/>
          <w:szCs w:val="18"/>
        </w:rPr>
        <w:fldChar w:fldCharType="end"/>
      </w:r>
      <w:bookmarkEnd w:id="330"/>
      <w:r w:rsidRPr="00662906">
        <w:rPr>
          <w:i/>
          <w:iCs/>
          <w:color w:val="B4A269" w:themeColor="text2"/>
          <w:sz w:val="18"/>
          <w:szCs w:val="18"/>
        </w:rPr>
        <w:t>: Summary of the common approaches for Carbon Reducing Measures</w:t>
      </w:r>
      <w:bookmarkEnd w:id="331"/>
    </w:p>
    <w:tbl>
      <w:tblPr>
        <w:tblStyle w:val="ListTable2-Accent3"/>
        <w:tblW w:w="9015" w:type="dxa"/>
        <w:tblBorders>
          <w:top w:val="single" w:sz="6" w:space="0" w:color="9F2241" w:themeColor="background1"/>
          <w:left w:val="single" w:sz="6" w:space="0" w:color="9F2241" w:themeColor="background1"/>
          <w:bottom w:val="single" w:sz="6" w:space="0" w:color="9F2241" w:themeColor="background1"/>
          <w:right w:val="single" w:sz="6" w:space="0" w:color="9F2241" w:themeColor="background1"/>
          <w:insideH w:val="single" w:sz="6" w:space="0" w:color="9F2241" w:themeColor="background1"/>
          <w:insideV w:val="single" w:sz="6" w:space="0" w:color="9F2241" w:themeColor="background1"/>
        </w:tblBorders>
        <w:tblLayout w:type="fixed"/>
        <w:tblLook w:val="06A0" w:firstRow="1" w:lastRow="0" w:firstColumn="1" w:lastColumn="0" w:noHBand="1" w:noVBand="1"/>
      </w:tblPr>
      <w:tblGrid>
        <w:gridCol w:w="1698"/>
        <w:gridCol w:w="7317"/>
      </w:tblGrid>
      <w:tr w:rsidR="00C87E79" w:rsidRPr="00662906" w14:paraId="12C899CC" w14:textId="77777777" w:rsidTr="00B200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08830410" w14:textId="07948785"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Electricity</w:t>
            </w:r>
          </w:p>
        </w:tc>
        <w:tc>
          <w:tcPr>
            <w:tcW w:w="7317" w:type="dxa"/>
            <w:tcMar>
              <w:left w:w="105" w:type="dxa"/>
              <w:right w:w="105" w:type="dxa"/>
            </w:tcMar>
            <w:vAlign w:val="center"/>
          </w:tcPr>
          <w:p w14:paraId="253F91C9" w14:textId="5D423861" w:rsidR="00C87E79" w:rsidRPr="00662906" w:rsidRDefault="00C87E79" w:rsidP="00A74DEA">
            <w:pPr>
              <w:spacing w:before="0" w:after="0"/>
              <w:cnfStyle w:val="100000000000" w:firstRow="1" w:lastRow="0" w:firstColumn="0" w:lastColumn="0" w:oddVBand="0" w:evenVBand="0" w:oddHBand="0" w:evenHBand="0" w:firstRowFirstColumn="0" w:firstRowLastColumn="0" w:lastRowFirstColumn="0" w:lastRowLastColumn="0"/>
              <w:rPr>
                <w:b w:val="0"/>
                <w:bCs w:val="0"/>
                <w:sz w:val="18"/>
                <w:szCs w:val="18"/>
                <w:lang w:eastAsia="fr-FR"/>
              </w:rPr>
            </w:pPr>
            <w:r w:rsidRPr="00662906">
              <w:rPr>
                <w:b w:val="0"/>
                <w:bCs w:val="0"/>
                <w:sz w:val="18"/>
                <w:szCs w:val="18"/>
                <w:lang w:eastAsia="fr-FR"/>
              </w:rPr>
              <w:t xml:space="preserve">In the electricity subsector, the most proposed measures for reducing carbon from African Union Member States are the expansion of wind energy (21 AU </w:t>
            </w:r>
            <w:r w:rsidR="00DA3E24" w:rsidRPr="00662906">
              <w:rPr>
                <w:b w:val="0"/>
                <w:bCs w:val="0"/>
                <w:sz w:val="18"/>
                <w:szCs w:val="18"/>
                <w:lang w:eastAsia="fr-FR"/>
              </w:rPr>
              <w:t>MS</w:t>
            </w:r>
            <w:r w:rsidRPr="00662906">
              <w:rPr>
                <w:b w:val="0"/>
                <w:bCs w:val="0"/>
                <w:sz w:val="18"/>
                <w:szCs w:val="18"/>
                <w:lang w:eastAsia="fr-FR"/>
              </w:rPr>
              <w:t xml:space="preserve">) and solar energy (17 AU Member States). Hydropower also finds mention in 14 AU Member States. In general, there is a trend toward renewable energy sources (in 12 AU </w:t>
            </w:r>
            <w:r w:rsidR="00DA3E24" w:rsidRPr="00662906">
              <w:rPr>
                <w:b w:val="0"/>
                <w:bCs w:val="0"/>
                <w:sz w:val="18"/>
                <w:szCs w:val="18"/>
                <w:lang w:eastAsia="fr-FR"/>
              </w:rPr>
              <w:t>MS</w:t>
            </w:r>
            <w:r w:rsidRPr="00662906">
              <w:rPr>
                <w:b w:val="0"/>
                <w:bCs w:val="0"/>
                <w:sz w:val="18"/>
                <w:szCs w:val="18"/>
                <w:lang w:eastAsia="fr-FR"/>
              </w:rPr>
              <w:t xml:space="preserve">), with improvements in the grid and energy storage capacity also included. </w:t>
            </w:r>
            <w:r w:rsidR="00F63AA7" w:rsidRPr="00662906">
              <w:rPr>
                <w:b w:val="0"/>
                <w:bCs w:val="0"/>
                <w:sz w:val="18"/>
                <w:szCs w:val="18"/>
                <w:lang w:eastAsia="fr-FR"/>
              </w:rPr>
              <w:t xml:space="preserve">MS that </w:t>
            </w:r>
            <w:r w:rsidRPr="00662906">
              <w:rPr>
                <w:b w:val="0"/>
                <w:bCs w:val="0"/>
                <w:sz w:val="18"/>
                <w:szCs w:val="18"/>
                <w:lang w:eastAsia="fr-FR"/>
              </w:rPr>
              <w:t>include</w:t>
            </w:r>
            <w:r w:rsidR="00F63AA7" w:rsidRPr="00662906">
              <w:rPr>
                <w:b w:val="0"/>
                <w:bCs w:val="0"/>
                <w:sz w:val="18"/>
                <w:szCs w:val="18"/>
                <w:lang w:eastAsia="fr-FR"/>
              </w:rPr>
              <w:t>s</w:t>
            </w:r>
            <w:r w:rsidRPr="00662906">
              <w:rPr>
                <w:b w:val="0"/>
                <w:bCs w:val="0"/>
                <w:sz w:val="18"/>
                <w:szCs w:val="18"/>
                <w:lang w:eastAsia="fr-FR"/>
              </w:rPr>
              <w:t xml:space="preserve"> increasing renewable energy integration and biomass utilization</w:t>
            </w:r>
            <w:r w:rsidR="00F63AA7" w:rsidRPr="00662906">
              <w:rPr>
                <w:b w:val="0"/>
                <w:bCs w:val="0"/>
                <w:sz w:val="18"/>
                <w:szCs w:val="18"/>
                <w:lang w:eastAsia="fr-FR"/>
              </w:rPr>
              <w:t xml:space="preserve"> as their NDC measures were few</w:t>
            </w:r>
            <w:r w:rsidRPr="00662906">
              <w:rPr>
                <w:b w:val="0"/>
                <w:bCs w:val="0"/>
                <w:sz w:val="18"/>
                <w:szCs w:val="18"/>
                <w:lang w:eastAsia="fr-FR"/>
              </w:rPr>
              <w:t>.</w:t>
            </w:r>
          </w:p>
        </w:tc>
      </w:tr>
      <w:tr w:rsidR="00C87E79" w:rsidRPr="00662906" w14:paraId="6701E840"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34C0EF6B"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Industry</w:t>
            </w:r>
          </w:p>
        </w:tc>
        <w:tc>
          <w:tcPr>
            <w:tcW w:w="7317" w:type="dxa"/>
            <w:tcMar>
              <w:left w:w="105" w:type="dxa"/>
              <w:right w:w="105" w:type="dxa"/>
            </w:tcMar>
            <w:vAlign w:val="center"/>
          </w:tcPr>
          <w:p w14:paraId="68AD9A36" w14:textId="77777777"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For the industrial sector, a significant focus is placed on improving industrial energy efficiency, which is proposed by 14 AU Member States. Additionally, 12 AU Member States aim to enhance industrial processes. Implementing energy-efficient technologies and cleaner industrial technologies are both suggested by 6 AU Member States. The measure of emission standards is suggested less, though still significant at 4 AU Member States, indicative of an overall broad effort to reduce industrial emissions through measures of technology and process improvement.</w:t>
            </w:r>
          </w:p>
        </w:tc>
      </w:tr>
      <w:tr w:rsidR="00C87E79" w:rsidRPr="00662906" w14:paraId="1B6D21DD"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4F37C8E6"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Transport</w:t>
            </w:r>
          </w:p>
        </w:tc>
        <w:tc>
          <w:tcPr>
            <w:tcW w:w="7317" w:type="dxa"/>
            <w:tcMar>
              <w:left w:w="105" w:type="dxa"/>
              <w:right w:w="105" w:type="dxa"/>
            </w:tcMar>
            <w:vAlign w:val="center"/>
          </w:tcPr>
          <w:p w14:paraId="2A22FDBE" w14:textId="77777777"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In the transport sector, the popular measures include those for improvement of systems of public transport that are suggested by 14 AU Member States and those for promotion of EVs, suggested by 11 AU Member States. The measure of improving public transport and that of sustainable urban transport are measures suggested by 10 AU Member States each. These measures indicate a strong preference for the direction of making urban transportation more efficient and environmentally friendly, with less emphasis on measures at the individual level, such as fuel efficiency standards and infrastructure for non-motorized transport.</w:t>
            </w:r>
          </w:p>
        </w:tc>
      </w:tr>
      <w:tr w:rsidR="00C87E79" w:rsidRPr="00662906" w14:paraId="70CA588E"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44B8EBD5"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Oil and Gas</w:t>
            </w:r>
          </w:p>
        </w:tc>
        <w:tc>
          <w:tcPr>
            <w:tcW w:w="7317" w:type="dxa"/>
            <w:tcMar>
              <w:left w:w="105" w:type="dxa"/>
              <w:right w:w="105" w:type="dxa"/>
            </w:tcMar>
            <w:vAlign w:val="center"/>
          </w:tcPr>
          <w:p w14:paraId="053C2E56" w14:textId="133024FC"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The oil and gas sector gives more emphasis to measures to reduce gas flaring, a measure proposed by 17 AU Member States. Capturing methane is the second most critical measure, proposed by 12 AU Member States. The need for</w:t>
            </w:r>
            <w:r w:rsidR="0070004C" w:rsidRPr="00662906">
              <w:rPr>
                <w:sz w:val="18"/>
                <w:szCs w:val="18"/>
                <w:lang w:eastAsia="fr-FR"/>
              </w:rPr>
              <w:t xml:space="preserve"> Carbon Capture</w:t>
            </w:r>
            <w:r w:rsidR="00DB195E" w:rsidRPr="00662906">
              <w:rPr>
                <w:sz w:val="18"/>
                <w:szCs w:val="18"/>
                <w:lang w:eastAsia="fr-FR"/>
              </w:rPr>
              <w:t>, Utilization and Storage</w:t>
            </w:r>
            <w:r w:rsidRPr="00662906">
              <w:rPr>
                <w:sz w:val="18"/>
                <w:szCs w:val="18"/>
                <w:lang w:eastAsia="fr-FR"/>
              </w:rPr>
              <w:t xml:space="preserve"> </w:t>
            </w:r>
            <w:r w:rsidR="00DB195E" w:rsidRPr="00662906">
              <w:rPr>
                <w:sz w:val="18"/>
                <w:szCs w:val="18"/>
                <w:lang w:eastAsia="fr-FR"/>
              </w:rPr>
              <w:t>(</w:t>
            </w:r>
            <w:r w:rsidRPr="00662906">
              <w:rPr>
                <w:sz w:val="18"/>
                <w:szCs w:val="18"/>
                <w:lang w:eastAsia="fr-FR"/>
              </w:rPr>
              <w:t>CC</w:t>
            </w:r>
            <w:r w:rsidR="009E25F9" w:rsidRPr="00662906">
              <w:rPr>
                <w:sz w:val="18"/>
                <w:szCs w:val="18"/>
                <w:lang w:eastAsia="fr-FR"/>
              </w:rPr>
              <w:t>U</w:t>
            </w:r>
            <w:r w:rsidRPr="00662906">
              <w:rPr>
                <w:sz w:val="18"/>
                <w:szCs w:val="18"/>
                <w:lang w:eastAsia="fr-FR"/>
              </w:rPr>
              <w:t>S</w:t>
            </w:r>
            <w:r w:rsidR="00DB195E" w:rsidRPr="00662906">
              <w:rPr>
                <w:sz w:val="18"/>
                <w:szCs w:val="18"/>
                <w:lang w:eastAsia="fr-FR"/>
              </w:rPr>
              <w:t>)</w:t>
            </w:r>
            <w:r w:rsidRPr="00662906">
              <w:rPr>
                <w:sz w:val="18"/>
                <w:szCs w:val="18"/>
                <w:lang w:eastAsia="fr-FR"/>
              </w:rPr>
              <w:t xml:space="preserve"> is key in the case of 6 AU Member States, while reduction of methane emissions is important for 6 other AU Member States. There is more prominence of improving extraction efficiency than promoting alternative fuels. </w:t>
            </w:r>
          </w:p>
        </w:tc>
      </w:tr>
      <w:tr w:rsidR="00C87E79" w:rsidRPr="00662906" w14:paraId="7AD1FB3A"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1DB42C16"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Buildings</w:t>
            </w:r>
            <w:r w:rsidRPr="00662906">
              <w:rPr>
                <w:color w:val="FFFFFF" w:themeColor="background2"/>
                <w:sz w:val="18"/>
                <w:szCs w:val="18"/>
                <w:lang w:eastAsia="fr-FR"/>
              </w:rPr>
              <w:br/>
            </w:r>
            <w:r w:rsidRPr="00662906">
              <w:rPr>
                <w:color w:val="FFFFFF" w:themeColor="background2"/>
                <w:sz w:val="18"/>
                <w:szCs w:val="18"/>
                <w:lang w:eastAsia="fr-FR"/>
              </w:rPr>
              <w:br/>
            </w:r>
          </w:p>
        </w:tc>
        <w:tc>
          <w:tcPr>
            <w:tcW w:w="7317" w:type="dxa"/>
            <w:tcMar>
              <w:left w:w="105" w:type="dxa"/>
              <w:right w:w="105" w:type="dxa"/>
            </w:tcMar>
            <w:vAlign w:val="center"/>
          </w:tcPr>
          <w:p w14:paraId="240BFC12" w14:textId="77777777"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The most proposed measure for African Union Member States is energy-efficient building codes, being listed by 12 AU Member States. The suggestions from 9 AU Member States are to follow green building standards, 8 AU Member States say retrofitting buildings and 7 AU Member States propose energy-efficient appliances. Green roofs and smart building technology are proposed by fewer countries.</w:t>
            </w:r>
          </w:p>
        </w:tc>
      </w:tr>
      <w:tr w:rsidR="00C87E79" w:rsidRPr="00662906" w14:paraId="00537E7E"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649FE537"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Agriculture</w:t>
            </w:r>
          </w:p>
        </w:tc>
        <w:tc>
          <w:tcPr>
            <w:tcW w:w="7317" w:type="dxa"/>
            <w:tcMar>
              <w:left w:w="105" w:type="dxa"/>
              <w:right w:w="105" w:type="dxa"/>
            </w:tcMar>
            <w:vAlign w:val="center"/>
          </w:tcPr>
          <w:p w14:paraId="652966A4" w14:textId="77777777"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Agricultural measures prominently include agroforestry and sustainable agriculture, each proposed by 13 AU Member States. Other key measures are sustainable land management (7 AU Member States) and soil and water conservation (6 AU Member States).</w:t>
            </w:r>
          </w:p>
        </w:tc>
      </w:tr>
      <w:tr w:rsidR="00C87E79" w:rsidRPr="00662906" w14:paraId="54A42364" w14:textId="77777777" w:rsidTr="00B20027">
        <w:trPr>
          <w:trHeight w:val="300"/>
        </w:trPr>
        <w:tc>
          <w:tcPr>
            <w:cnfStyle w:val="001000000000" w:firstRow="0" w:lastRow="0" w:firstColumn="1" w:lastColumn="0" w:oddVBand="0" w:evenVBand="0" w:oddHBand="0" w:evenHBand="0" w:firstRowFirstColumn="0" w:firstRowLastColumn="0" w:lastRowFirstColumn="0" w:lastRowLastColumn="0"/>
            <w:tcW w:w="1698" w:type="dxa"/>
            <w:shd w:val="clear" w:color="auto" w:fill="B4A269" w:themeFill="text2"/>
            <w:tcMar>
              <w:left w:w="105" w:type="dxa"/>
              <w:right w:w="105" w:type="dxa"/>
            </w:tcMar>
            <w:vAlign w:val="center"/>
          </w:tcPr>
          <w:p w14:paraId="1E28643E" w14:textId="77777777" w:rsidR="00C87E79" w:rsidRPr="00662906" w:rsidRDefault="00C87E79" w:rsidP="00B20027">
            <w:pPr>
              <w:spacing w:before="0" w:after="0"/>
              <w:jc w:val="center"/>
              <w:rPr>
                <w:color w:val="FFFFFF" w:themeColor="background2"/>
                <w:sz w:val="18"/>
                <w:szCs w:val="18"/>
                <w:lang w:eastAsia="fr-FR"/>
              </w:rPr>
            </w:pPr>
            <w:r w:rsidRPr="00662906">
              <w:rPr>
                <w:color w:val="FFFFFF" w:themeColor="background2"/>
                <w:sz w:val="18"/>
                <w:szCs w:val="18"/>
                <w:lang w:eastAsia="fr-FR"/>
              </w:rPr>
              <w:t>Clean Cooking</w:t>
            </w:r>
          </w:p>
        </w:tc>
        <w:tc>
          <w:tcPr>
            <w:tcW w:w="7317" w:type="dxa"/>
            <w:tcMar>
              <w:left w:w="105" w:type="dxa"/>
              <w:right w:w="105" w:type="dxa"/>
            </w:tcMar>
            <w:vAlign w:val="center"/>
          </w:tcPr>
          <w:p w14:paraId="0E9A6868" w14:textId="48434D0D" w:rsidR="00C87E79" w:rsidRPr="00662906" w:rsidRDefault="00C87E79" w:rsidP="00A74DEA">
            <w:pPr>
              <w:spacing w:before="0" w:after="0"/>
              <w:cnfStyle w:val="000000000000" w:firstRow="0" w:lastRow="0" w:firstColumn="0" w:lastColumn="0" w:oddVBand="0" w:evenVBand="0" w:oddHBand="0" w:evenHBand="0" w:firstRowFirstColumn="0" w:firstRowLastColumn="0" w:lastRowFirstColumn="0" w:lastRowLastColumn="0"/>
              <w:rPr>
                <w:sz w:val="18"/>
                <w:szCs w:val="18"/>
                <w:lang w:eastAsia="fr-FR"/>
              </w:rPr>
            </w:pPr>
            <w:r w:rsidRPr="00662906">
              <w:rPr>
                <w:sz w:val="18"/>
                <w:szCs w:val="18"/>
                <w:lang w:eastAsia="fr-FR"/>
              </w:rPr>
              <w:t>In the clean cooking sector, distribution of improved cookstoves is the most widely proposed measure, mentioned by 20 AU Member States. Clean cookstoves have close to 18 AU Member States recommending them, and 5 AU Member States recommend biogas. In essence,</w:t>
            </w:r>
            <w:r w:rsidR="00661686" w:rsidRPr="00662906">
              <w:rPr>
                <w:sz w:val="18"/>
                <w:szCs w:val="18"/>
                <w:lang w:eastAsia="fr-FR"/>
              </w:rPr>
              <w:t xml:space="preserve"> Liquefied Petroleum Gas</w:t>
            </w:r>
            <w:r w:rsidRPr="00662906">
              <w:rPr>
                <w:sz w:val="18"/>
                <w:szCs w:val="18"/>
                <w:lang w:eastAsia="fr-FR"/>
              </w:rPr>
              <w:t xml:space="preserve"> </w:t>
            </w:r>
            <w:r w:rsidR="00661686" w:rsidRPr="00662906">
              <w:rPr>
                <w:sz w:val="18"/>
                <w:szCs w:val="18"/>
                <w:lang w:eastAsia="fr-FR"/>
              </w:rPr>
              <w:t>(</w:t>
            </w:r>
            <w:r w:rsidRPr="00662906">
              <w:rPr>
                <w:sz w:val="18"/>
                <w:szCs w:val="18"/>
                <w:lang w:eastAsia="fr-FR"/>
              </w:rPr>
              <w:t>LPG</w:t>
            </w:r>
            <w:r w:rsidR="00661686" w:rsidRPr="00662906">
              <w:rPr>
                <w:sz w:val="18"/>
                <w:szCs w:val="18"/>
                <w:lang w:eastAsia="fr-FR"/>
              </w:rPr>
              <w:t>)</w:t>
            </w:r>
            <w:r w:rsidRPr="00662906">
              <w:rPr>
                <w:sz w:val="18"/>
                <w:szCs w:val="18"/>
                <w:lang w:eastAsia="fr-FR"/>
              </w:rPr>
              <w:t xml:space="preserve"> gets recommended less frequently, with only 2 AU Member States. This, therefore, shows that there is a primary focus on accessible and immediate solutions, such as cookstoves, while the alternative fuels are coming on board but are less dominant in number.</w:t>
            </w:r>
          </w:p>
        </w:tc>
      </w:tr>
    </w:tbl>
    <w:p w14:paraId="15557CCB" w14:textId="77777777" w:rsidR="00A146E5" w:rsidRPr="00662906" w:rsidRDefault="00A146E5" w:rsidP="00A146E5">
      <w:pPr>
        <w:rPr>
          <w:rFonts w:eastAsia="Arial" w:cs="Arial"/>
          <w:i/>
          <w:iCs/>
          <w:color w:val="B4A169"/>
          <w:sz w:val="16"/>
          <w:szCs w:val="16"/>
        </w:rPr>
      </w:pPr>
      <w:bookmarkStart w:id="332" w:name="_Toc185519162"/>
      <w:bookmarkStart w:id="333" w:name="_Toc176190935"/>
      <w:bookmarkStart w:id="334" w:name="_Toc176191107"/>
      <w:bookmarkStart w:id="335" w:name="_Toc176341828"/>
      <w:bookmarkStart w:id="336" w:name="_Toc176430222"/>
      <w:bookmarkStart w:id="337" w:name="_Toc176430279"/>
      <w:bookmarkStart w:id="338" w:name="_Toc176441412"/>
      <w:bookmarkStart w:id="339" w:name="_Toc176442067"/>
      <w:bookmarkStart w:id="340" w:name="_Toc178937429"/>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7A838AE0" w14:textId="4A5CB80C" w:rsidR="00C87E79" w:rsidRPr="00662906" w:rsidRDefault="00911F61" w:rsidP="00C87E79">
      <w:pPr>
        <w:pStyle w:val="Heading2"/>
        <w:rPr>
          <w:lang w:eastAsia="fr-FR"/>
        </w:rPr>
      </w:pPr>
      <w:bookmarkStart w:id="341" w:name="_Toc197433823"/>
      <w:r w:rsidRPr="00662906">
        <w:rPr>
          <w:lang w:eastAsia="fr-FR"/>
        </w:rPr>
        <w:lastRenderedPageBreak/>
        <w:t xml:space="preserve">ET </w:t>
      </w:r>
      <w:r w:rsidR="00C87E79" w:rsidRPr="00662906">
        <w:rPr>
          <w:lang w:eastAsia="fr-FR"/>
        </w:rPr>
        <w:t>Relevant AU Initiatives</w:t>
      </w:r>
      <w:bookmarkEnd w:id="332"/>
      <w:bookmarkEnd w:id="341"/>
      <w:r w:rsidR="00C87E79" w:rsidRPr="00662906">
        <w:rPr>
          <w:lang w:eastAsia="fr-FR"/>
        </w:rPr>
        <w:t xml:space="preserve"> </w:t>
      </w:r>
      <w:bookmarkEnd w:id="333"/>
      <w:bookmarkEnd w:id="334"/>
      <w:bookmarkEnd w:id="335"/>
      <w:bookmarkEnd w:id="336"/>
      <w:bookmarkEnd w:id="337"/>
      <w:bookmarkEnd w:id="338"/>
      <w:bookmarkEnd w:id="339"/>
      <w:bookmarkEnd w:id="340"/>
    </w:p>
    <w:p w14:paraId="26C5FD12" w14:textId="4C9CEF3A" w:rsidR="00C87E79" w:rsidRPr="00662906" w:rsidRDefault="00C87E79" w:rsidP="00C87E79">
      <w:pPr>
        <w:rPr>
          <w:lang w:eastAsia="fr-FR"/>
        </w:rPr>
      </w:pPr>
      <w:r w:rsidRPr="00662906">
        <w:rPr>
          <w:lang w:eastAsia="fr-FR"/>
        </w:rPr>
        <w:t xml:space="preserve">The key AU initiatives that have provided insights on the future of energy transition are the AfSEM, the CMP and the AfEES. The African </w:t>
      </w:r>
      <w:bookmarkStart w:id="342" w:name="_Toc178936760"/>
      <w:bookmarkStart w:id="343" w:name="_Toc178937202"/>
      <w:bookmarkStart w:id="344" w:name="_Toc178937316"/>
      <w:bookmarkStart w:id="345" w:name="_Toc178937430"/>
      <w:bookmarkStart w:id="346" w:name="_Toc178937545"/>
      <w:bookmarkStart w:id="347" w:name="_Toc178937654"/>
      <w:bookmarkStart w:id="348" w:name="_Toc178937764"/>
      <w:bookmarkStart w:id="349" w:name="_Toc178937872"/>
      <w:bookmarkStart w:id="350" w:name="_Toc178937981"/>
      <w:bookmarkEnd w:id="342"/>
      <w:bookmarkEnd w:id="343"/>
      <w:bookmarkEnd w:id="344"/>
      <w:bookmarkEnd w:id="345"/>
      <w:bookmarkEnd w:id="346"/>
      <w:bookmarkEnd w:id="347"/>
      <w:bookmarkEnd w:id="348"/>
      <w:bookmarkEnd w:id="349"/>
      <w:bookmarkEnd w:id="350"/>
      <w:r w:rsidRPr="00662906">
        <w:rPr>
          <w:lang w:eastAsia="fr-FR"/>
        </w:rPr>
        <w:t xml:space="preserve">Union Climate Change and Resilient Development Strategy and Action Plan (2022 – 2032) provides an outline for harmonized and coordinated actions to tackle climate change issues and provided insights on supporting planning for the continent’s low-emission future which </w:t>
      </w:r>
      <w:r w:rsidR="00DA7092" w:rsidRPr="00662906">
        <w:rPr>
          <w:lang w:eastAsia="fr-FR"/>
        </w:rPr>
        <w:t xml:space="preserve">are </w:t>
      </w:r>
      <w:r w:rsidRPr="00662906">
        <w:rPr>
          <w:lang w:eastAsia="fr-FR"/>
        </w:rPr>
        <w:t xml:space="preserve">useful </w:t>
      </w:r>
      <w:r w:rsidR="00DA7092" w:rsidRPr="00662906">
        <w:rPr>
          <w:lang w:eastAsia="fr-FR"/>
        </w:rPr>
        <w:t>for the ETSAP</w:t>
      </w:r>
      <w:r w:rsidRPr="00662906">
        <w:rPr>
          <w:lang w:eastAsia="fr-FR"/>
        </w:rPr>
        <w:t>.</w:t>
      </w:r>
    </w:p>
    <w:p w14:paraId="148A6D37" w14:textId="77777777" w:rsidR="00C87E79" w:rsidRPr="00662906" w:rsidRDefault="00C87E79" w:rsidP="009A0D6A">
      <w:pPr>
        <w:pStyle w:val="Heading3"/>
        <w:ind w:left="567"/>
        <w:rPr>
          <w:lang w:eastAsia="fr-FR"/>
        </w:rPr>
      </w:pPr>
      <w:bookmarkStart w:id="351" w:name="_Toc185519163"/>
      <w:bookmarkStart w:id="352" w:name="_Toc197433824"/>
      <w:r w:rsidRPr="00662906">
        <w:rPr>
          <w:lang w:eastAsia="fr-FR"/>
        </w:rPr>
        <w:t>African Union Climate Change and Resilient Development Strategy and Action Plan</w:t>
      </w:r>
      <w:bookmarkEnd w:id="351"/>
      <w:bookmarkEnd w:id="352"/>
    </w:p>
    <w:p w14:paraId="1D8C8A02" w14:textId="77777777" w:rsidR="00C87E79" w:rsidRPr="00662906" w:rsidRDefault="00C87E79" w:rsidP="00C87E79">
      <w:pPr>
        <w:rPr>
          <w:lang w:eastAsia="fr-FR"/>
        </w:rPr>
      </w:pPr>
      <w:r w:rsidRPr="00662906">
        <w:rPr>
          <w:lang w:eastAsia="fr-FR"/>
        </w:rPr>
        <w:t xml:space="preserve">The African Union’s Agenda 2063 envisions a climate-resilient, integrated, prosperous, and peaceful Africa, shaped by its citizens and positioned as a global force. The </w:t>
      </w:r>
      <w:r w:rsidRPr="00662906">
        <w:rPr>
          <w:b/>
          <w:bCs/>
          <w:lang w:eastAsia="fr-FR"/>
        </w:rPr>
        <w:t>African Union Climate Change and Resilient Development Strategy and Action Plan (2022-2032)</w:t>
      </w:r>
      <w:r w:rsidRPr="00662906">
        <w:rPr>
          <w:lang w:eastAsia="fr-FR"/>
        </w:rPr>
        <w:t xml:space="preserve"> is a framework designed to support this vision by advancing climate cooperation and promoting long-term climate-resilient development.</w:t>
      </w:r>
    </w:p>
    <w:p w14:paraId="33973CF4" w14:textId="77777777" w:rsidR="00C87E79" w:rsidRPr="00662906" w:rsidRDefault="00C87E79" w:rsidP="00C87E79">
      <w:pPr>
        <w:rPr>
          <w:lang w:eastAsia="fr-FR"/>
        </w:rPr>
      </w:pPr>
      <w:r w:rsidRPr="00662906">
        <w:rPr>
          <w:lang w:eastAsia="fr-FR"/>
        </w:rPr>
        <w:t>The Strategy provides a roadmap for harmonized actions to address climate change impacts while fostering low-emission futures across the continent. It emphasizes building adaptive capacities, leveraging Africa’s mitigation potential, and ensuring climate resilience as an integral part of sustainable development. Guided by Agenda 2063 and the United Nations’ Agenda 2030, the Strategy aims to integrate climate risk management into national and regional planning.</w:t>
      </w:r>
    </w:p>
    <w:p w14:paraId="4C0A2865" w14:textId="77777777" w:rsidR="00C87E79" w:rsidRPr="00662906" w:rsidRDefault="00C87E79" w:rsidP="00C87E79">
      <w:pPr>
        <w:rPr>
          <w:lang w:eastAsia="fr-FR"/>
        </w:rPr>
      </w:pPr>
      <w:r w:rsidRPr="00662906">
        <w:rPr>
          <w:lang w:eastAsia="fr-FR"/>
        </w:rPr>
        <w:t>Key priorities include:</w:t>
      </w:r>
    </w:p>
    <w:p w14:paraId="3CBC76AB" w14:textId="77777777" w:rsidR="00C87E79" w:rsidRPr="00662906" w:rsidRDefault="00C87E79" w:rsidP="005C5546">
      <w:pPr>
        <w:numPr>
          <w:ilvl w:val="0"/>
          <w:numId w:val="49"/>
        </w:numPr>
        <w:rPr>
          <w:lang w:eastAsia="fr-FR"/>
        </w:rPr>
      </w:pPr>
      <w:r w:rsidRPr="00662906">
        <w:rPr>
          <w:lang w:eastAsia="fr-FR"/>
        </w:rPr>
        <w:t>Governance and Institutional Collaboration: Engaging state and non-state actors for coordinated climate actions.</w:t>
      </w:r>
    </w:p>
    <w:p w14:paraId="25215F01" w14:textId="77777777" w:rsidR="00C87E79" w:rsidRPr="00662906" w:rsidRDefault="00C87E79" w:rsidP="005C5546">
      <w:pPr>
        <w:numPr>
          <w:ilvl w:val="0"/>
          <w:numId w:val="49"/>
        </w:numPr>
        <w:rPr>
          <w:lang w:eastAsia="fr-FR"/>
        </w:rPr>
      </w:pPr>
      <w:r w:rsidRPr="00662906">
        <w:rPr>
          <w:lang w:eastAsia="fr-FR"/>
        </w:rPr>
        <w:t>Policy Coherence: Aligning strategies with national and international climate commitments.</w:t>
      </w:r>
    </w:p>
    <w:p w14:paraId="0C467DE3" w14:textId="77777777" w:rsidR="00C87E79" w:rsidRPr="00662906" w:rsidRDefault="00C87E79" w:rsidP="005C5546">
      <w:pPr>
        <w:numPr>
          <w:ilvl w:val="0"/>
          <w:numId w:val="49"/>
        </w:numPr>
        <w:rPr>
          <w:lang w:eastAsia="fr-FR"/>
        </w:rPr>
      </w:pPr>
      <w:r w:rsidRPr="00662906">
        <w:rPr>
          <w:lang w:eastAsia="fr-FR"/>
        </w:rPr>
        <w:t>Knowledge Systems and Planning: Enhancing climate knowledge and anticipatory planning for effective responses.</w:t>
      </w:r>
    </w:p>
    <w:p w14:paraId="07581CC0" w14:textId="77777777" w:rsidR="00C87E79" w:rsidRPr="00662906" w:rsidRDefault="00C87E79" w:rsidP="005C5546">
      <w:pPr>
        <w:numPr>
          <w:ilvl w:val="0"/>
          <w:numId w:val="49"/>
        </w:numPr>
        <w:rPr>
          <w:lang w:eastAsia="fr-FR"/>
        </w:rPr>
      </w:pPr>
      <w:r w:rsidRPr="00662906">
        <w:rPr>
          <w:lang w:eastAsia="fr-FR"/>
        </w:rPr>
        <w:t>Resource Mobilization: Securing financial and technological resources for climate adaptation and mitigation.</w:t>
      </w:r>
    </w:p>
    <w:p w14:paraId="53C02D38" w14:textId="6E8E71DC" w:rsidR="00C87E79" w:rsidRPr="00662906" w:rsidRDefault="00C87E79" w:rsidP="00C87E79">
      <w:pPr>
        <w:rPr>
          <w:lang w:eastAsia="fr-FR"/>
        </w:rPr>
      </w:pPr>
      <w:r w:rsidRPr="00662906">
        <w:rPr>
          <w:lang w:eastAsia="fr-FR"/>
        </w:rPr>
        <w:t>The Strategy underscores Africa’s commitment to the UNFCCC and the Paris Agreement, emphasizing equitable sustainable development, poverty eradication, and tailored national climate responses. By integrating green and circular economy principles, it aims to catalyse socio-economic transformation toward a resource-efficient, climate-resilient, and equitable society. Inclusion is a cornerstone, with a focus on supporting vulnerable communities, especially women and youth, as agents of change. The Strategy fosters partnerships with civil society, private sectors, and international organizations to drive climate action collaboratively.</w:t>
      </w:r>
    </w:p>
    <w:p w14:paraId="0E939CF5" w14:textId="77777777" w:rsidR="00C87E79" w:rsidRPr="00662906" w:rsidRDefault="00C87E79" w:rsidP="009A0D6A">
      <w:pPr>
        <w:pStyle w:val="Heading3"/>
        <w:ind w:left="567"/>
        <w:rPr>
          <w:lang w:eastAsia="fr-FR"/>
        </w:rPr>
      </w:pPr>
      <w:bookmarkStart w:id="353" w:name="_Toc185519164"/>
      <w:bookmarkStart w:id="354" w:name="_Toc197433825"/>
      <w:r w:rsidRPr="00662906">
        <w:rPr>
          <w:lang w:eastAsia="fr-FR"/>
        </w:rPr>
        <w:t>AfSEM</w:t>
      </w:r>
      <w:bookmarkEnd w:id="353"/>
      <w:bookmarkEnd w:id="354"/>
    </w:p>
    <w:p w14:paraId="4FF90DCA" w14:textId="77777777" w:rsidR="00C87E79" w:rsidRPr="00662906" w:rsidRDefault="00C87E79" w:rsidP="00C87E79">
      <w:pPr>
        <w:rPr>
          <w:lang w:eastAsia="fr-FR"/>
        </w:rPr>
      </w:pPr>
      <w:r w:rsidRPr="00662906">
        <w:rPr>
          <w:lang w:eastAsia="fr-FR"/>
        </w:rPr>
        <w:t>The AfSEM stands as a visionary endeavour by the African Union, aiming to create a unified, continental electricity market. This ambitious project seeks to ensure energy security, enhance electricity access, and foster economic development across Africa. By integrating national and regional electricity markets into a single, harmonized market, AfSEM intends to stimulate investment in the energy sector, reduce energy costs, and increase the reliability and sustainability of energy supply.</w:t>
      </w:r>
    </w:p>
    <w:p w14:paraId="2092CD5C" w14:textId="77777777" w:rsidR="00C87E79" w:rsidRPr="00662906" w:rsidRDefault="00C87E79" w:rsidP="00C87E79">
      <w:pPr>
        <w:rPr>
          <w:lang w:eastAsia="fr-FR"/>
        </w:rPr>
      </w:pPr>
      <w:r w:rsidRPr="00662906">
        <w:rPr>
          <w:lang w:eastAsia="fr-FR"/>
        </w:rPr>
        <w:t>The relevance of AfSEM to Africa's energy transition is that it provides a strategic framework for incorporating renewable energy sources into the continent's energy mix at a larger scale. The initiative facilitates cross-border energy trade, which is crucial for optimizing the utilization of renewable energy resources, given their variability and geographical distribution. Moreover, AfSEM promotes regulatory harmonization, which is essential for attracting investment in renewable energy projects, thereby accelerating the shift towards a greener energy landscape.</w:t>
      </w:r>
    </w:p>
    <w:p w14:paraId="3ADD0722" w14:textId="4F90D88C" w:rsidR="00C87E79" w:rsidRPr="00662906" w:rsidRDefault="00C87E79" w:rsidP="00C87E79">
      <w:pPr>
        <w:rPr>
          <w:lang w:eastAsia="fr-FR"/>
        </w:rPr>
      </w:pPr>
      <w:r w:rsidRPr="00662906">
        <w:rPr>
          <w:lang w:eastAsia="fr-FR"/>
        </w:rPr>
        <w:t xml:space="preserve">Progress made to date is the development of the CMP which will guide investments in both generation and network systems needed towards adequate supply and trading of power to the continent. The </w:t>
      </w:r>
      <w:r w:rsidRPr="00662906">
        <w:rPr>
          <w:lang w:eastAsia="fr-FR"/>
        </w:rPr>
        <w:lastRenderedPageBreak/>
        <w:t>AfEES was also developed to augment achievement of the AfSEM with regard to capturing the energy efficiency opportunities in the various sectors of the economy.</w:t>
      </w:r>
    </w:p>
    <w:p w14:paraId="4C676C7B" w14:textId="77777777" w:rsidR="00C87E79" w:rsidRPr="00662906" w:rsidRDefault="00C87E79" w:rsidP="009A0D6A">
      <w:pPr>
        <w:pStyle w:val="Heading3"/>
        <w:ind w:left="567"/>
        <w:rPr>
          <w:lang w:eastAsia="fr-FR"/>
        </w:rPr>
      </w:pPr>
      <w:bookmarkStart w:id="355" w:name="_Toc176190936"/>
      <w:bookmarkStart w:id="356" w:name="_Toc176191108"/>
      <w:bookmarkStart w:id="357" w:name="_Toc176341829"/>
      <w:bookmarkStart w:id="358" w:name="_Toc176430223"/>
      <w:bookmarkStart w:id="359" w:name="_Toc176430280"/>
      <w:bookmarkStart w:id="360" w:name="_Toc176441413"/>
      <w:bookmarkStart w:id="361" w:name="_Toc176442068"/>
      <w:bookmarkStart w:id="362" w:name="_Toc178937432"/>
      <w:bookmarkStart w:id="363" w:name="_Toc185519165"/>
      <w:bookmarkStart w:id="364" w:name="_Toc197433826"/>
      <w:r w:rsidRPr="00662906">
        <w:rPr>
          <w:lang w:eastAsia="fr-FR"/>
        </w:rPr>
        <w:t>CMP Scenario analysis</w:t>
      </w:r>
      <w:bookmarkEnd w:id="355"/>
      <w:bookmarkEnd w:id="356"/>
      <w:bookmarkEnd w:id="357"/>
      <w:bookmarkEnd w:id="358"/>
      <w:bookmarkEnd w:id="359"/>
      <w:bookmarkEnd w:id="360"/>
      <w:bookmarkEnd w:id="361"/>
      <w:bookmarkEnd w:id="362"/>
      <w:bookmarkEnd w:id="363"/>
      <w:bookmarkEnd w:id="364"/>
    </w:p>
    <w:p w14:paraId="36B98F50" w14:textId="0817F8E5" w:rsidR="00C87E79" w:rsidRPr="00662906" w:rsidRDefault="00C87E79" w:rsidP="00C87E79">
      <w:pPr>
        <w:rPr>
          <w:lang w:eastAsia="fr-FR"/>
        </w:rPr>
      </w:pPr>
      <w:r w:rsidRPr="00662906">
        <w:rPr>
          <w:lang w:eastAsia="fr-FR"/>
        </w:rPr>
        <w:t xml:space="preserve">The CMP serves as a </w:t>
      </w:r>
      <w:r w:rsidRPr="00662906">
        <w:rPr>
          <w:b/>
          <w:bCs/>
          <w:lang w:eastAsia="fr-FR"/>
        </w:rPr>
        <w:t>strategic blueprint for enhancing interconnectivity across Africa through comprehensive infrastructure</w:t>
      </w:r>
      <w:r w:rsidRPr="00662906">
        <w:rPr>
          <w:lang w:eastAsia="fr-FR"/>
        </w:rPr>
        <w:t xml:space="preserve"> development for generation and interconnection projects. The CMP is considered as the first step in the direction of developing the AfSEM, since it identified the key priority centralized generation and transmission projects which are crucial for the attainment of the AfSEM.</w:t>
      </w:r>
    </w:p>
    <w:p w14:paraId="07BBC7BB" w14:textId="418AB80B" w:rsidR="00C87E79" w:rsidRPr="00662906" w:rsidRDefault="17AC3E0E" w:rsidP="00C87E79">
      <w:pPr>
        <w:rPr>
          <w:lang w:eastAsia="fr-FR"/>
        </w:rPr>
      </w:pPr>
      <w:r w:rsidRPr="00662906">
        <w:rPr>
          <w:lang w:eastAsia="fr-FR"/>
        </w:rPr>
        <w:t>The CMP is specific to the electricity sector and provides scenario projections for the development of the generation capacities and interconnection capacities between countries and regions up to 2040. The expected growth in total installed capacity projected by technology type for Africa’s interconnected power system for three scenarios (Baseline, Regional and Continental)</w:t>
      </w:r>
      <w:r w:rsidR="00C87E79" w:rsidRPr="00662906">
        <w:rPr>
          <w:vertAlign w:val="superscript"/>
          <w:lang w:eastAsia="fr-FR"/>
        </w:rPr>
        <w:footnoteReference w:id="27"/>
      </w:r>
      <w:r w:rsidRPr="00662906">
        <w:rPr>
          <w:lang w:eastAsia="fr-FR"/>
        </w:rPr>
        <w:t xml:space="preserve"> can be seen in </w:t>
      </w:r>
      <w:r w:rsidR="00C87E79" w:rsidRPr="00662906">
        <w:rPr>
          <w:lang w:eastAsia="fr-FR"/>
        </w:rPr>
        <w:fldChar w:fldCharType="begin"/>
      </w:r>
      <w:r w:rsidR="00C87E79" w:rsidRPr="00662906">
        <w:rPr>
          <w:lang w:eastAsia="fr-FR"/>
        </w:rPr>
        <w:instrText xml:space="preserve"> REF _Ref185443205 \h </w:instrText>
      </w:r>
      <w:r w:rsidR="00C87E79" w:rsidRPr="00662906">
        <w:rPr>
          <w:lang w:eastAsia="fr-FR"/>
        </w:rPr>
      </w:r>
      <w:r w:rsidR="00C87E79" w:rsidRPr="00662906">
        <w:rPr>
          <w:lang w:eastAsia="fr-FR"/>
        </w:rPr>
        <w:fldChar w:fldCharType="separate"/>
      </w:r>
      <w:r w:rsidR="00610F61" w:rsidRPr="00662906">
        <w:rPr>
          <w:i/>
          <w:iCs/>
          <w:color w:val="B4A269" w:themeColor="text2"/>
          <w:sz w:val="18"/>
          <w:szCs w:val="18"/>
        </w:rPr>
        <w:t xml:space="preserve">Figure </w:t>
      </w:r>
      <w:r w:rsidR="00610F61">
        <w:rPr>
          <w:i/>
          <w:iCs/>
          <w:noProof/>
          <w:color w:val="B4A269" w:themeColor="text2"/>
          <w:sz w:val="18"/>
          <w:szCs w:val="18"/>
        </w:rPr>
        <w:t>2</w:t>
      </w:r>
      <w:r w:rsidR="00C87E79" w:rsidRPr="00662906">
        <w:rPr>
          <w:lang w:eastAsia="fr-FR"/>
        </w:rPr>
        <w:fldChar w:fldCharType="end"/>
      </w:r>
      <w:r w:rsidRPr="00662906">
        <w:rPr>
          <w:lang w:eastAsia="fr-FR"/>
        </w:rPr>
        <w:t xml:space="preserve">. The key power generation technologies that account for most of the capacity to be developed in the continent in the next fifteen years include natural gas, wind, hydropower and solar PV, for all scenarios. </w:t>
      </w:r>
    </w:p>
    <w:p w14:paraId="49EA1857" w14:textId="4604C8F1" w:rsidR="00C87E79" w:rsidRPr="00662906" w:rsidRDefault="00C87E79" w:rsidP="00C87E79">
      <w:pPr>
        <w:rPr>
          <w:lang w:eastAsia="fr-FR"/>
        </w:rPr>
      </w:pPr>
      <w:r w:rsidRPr="00662906">
        <w:rPr>
          <w:lang w:eastAsia="fr-FR"/>
        </w:rPr>
        <w:t xml:space="preserve">Overall, Africa’s total installed capacity is projected to increase to 775 </w:t>
      </w:r>
      <w:r w:rsidR="00661686" w:rsidRPr="00662906">
        <w:rPr>
          <w:lang w:eastAsia="fr-FR"/>
        </w:rPr>
        <w:t>Gigawatt (</w:t>
      </w:r>
      <w:r w:rsidRPr="00662906">
        <w:rPr>
          <w:lang w:eastAsia="fr-FR"/>
        </w:rPr>
        <w:t>GW</w:t>
      </w:r>
      <w:r w:rsidR="00661686" w:rsidRPr="00662906">
        <w:rPr>
          <w:lang w:eastAsia="fr-FR"/>
        </w:rPr>
        <w:t>)</w:t>
      </w:r>
      <w:r w:rsidRPr="00662906">
        <w:rPr>
          <w:lang w:eastAsia="fr-FR"/>
        </w:rPr>
        <w:t xml:space="preserve">, </w:t>
      </w:r>
      <w:bookmarkStart w:id="365" w:name="OLE_LINK1"/>
      <w:r w:rsidRPr="00662906">
        <w:rPr>
          <w:lang w:eastAsia="fr-FR"/>
        </w:rPr>
        <w:t xml:space="preserve">1176 GW and 1218 GW </w:t>
      </w:r>
      <w:bookmarkEnd w:id="365"/>
      <w:r w:rsidRPr="00662906">
        <w:rPr>
          <w:lang w:eastAsia="fr-FR"/>
        </w:rPr>
        <w:t xml:space="preserve">in 2040 for the Baseline, Regional and Continental scenarios, respectively from 266 GW which existed in 2023. </w:t>
      </w:r>
    </w:p>
    <w:p w14:paraId="34B49F6B" w14:textId="77777777" w:rsidR="00C87E79" w:rsidRPr="00662906" w:rsidRDefault="00C87E79" w:rsidP="00C87E79">
      <w:pPr>
        <w:rPr>
          <w:lang w:eastAsia="fr-FR"/>
        </w:rPr>
      </w:pPr>
      <w:r w:rsidRPr="00662906">
        <w:rPr>
          <w:noProof/>
          <w:lang w:eastAsia="fr-FR"/>
        </w:rPr>
        <w:drawing>
          <wp:inline distT="0" distB="0" distL="0" distR="0" wp14:anchorId="4180FDE5" wp14:editId="2EDE905B">
            <wp:extent cx="5397358" cy="2599765"/>
            <wp:effectExtent l="0" t="0" r="635" b="3810"/>
            <wp:docPr id="543686381"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86381" name="Picture 1" descr="A graph of different colored lines&#10;&#10;Description automatically generated"/>
                    <pic:cNvPicPr/>
                  </pic:nvPicPr>
                  <pic:blipFill>
                    <a:blip r:embed="rId23"/>
                    <a:stretch>
                      <a:fillRect/>
                    </a:stretch>
                  </pic:blipFill>
                  <pic:spPr>
                    <a:xfrm>
                      <a:off x="0" y="0"/>
                      <a:ext cx="5429635" cy="2615312"/>
                    </a:xfrm>
                    <a:prstGeom prst="rect">
                      <a:avLst/>
                    </a:prstGeom>
                  </pic:spPr>
                </pic:pic>
              </a:graphicData>
            </a:graphic>
          </wp:inline>
        </w:drawing>
      </w:r>
    </w:p>
    <w:p w14:paraId="10548F3C" w14:textId="44768C51" w:rsidR="00C87E79" w:rsidRPr="00662906" w:rsidRDefault="00C87E79" w:rsidP="00C87E79">
      <w:pPr>
        <w:rPr>
          <w:i/>
          <w:iCs/>
          <w:color w:val="B4A269" w:themeColor="text2"/>
          <w:sz w:val="18"/>
          <w:szCs w:val="18"/>
        </w:rPr>
      </w:pPr>
      <w:bookmarkStart w:id="366" w:name="_Ref185443205"/>
      <w:bookmarkStart w:id="367" w:name="_Toc197438654"/>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2</w:t>
      </w:r>
      <w:r w:rsidRPr="00662906">
        <w:rPr>
          <w:i/>
          <w:iCs/>
          <w:color w:val="B4A269" w:themeColor="text2"/>
          <w:sz w:val="18"/>
          <w:szCs w:val="18"/>
        </w:rPr>
        <w:fldChar w:fldCharType="end"/>
      </w:r>
      <w:bookmarkEnd w:id="366"/>
      <w:r w:rsidRPr="00662906">
        <w:rPr>
          <w:i/>
          <w:iCs/>
          <w:color w:val="B4A269" w:themeColor="text2"/>
          <w:sz w:val="18"/>
          <w:szCs w:val="18"/>
        </w:rPr>
        <w:t>: Continental Total Installed Generation Capacity</w:t>
      </w:r>
      <w:bookmarkEnd w:id="367"/>
    </w:p>
    <w:p w14:paraId="1707AF97" w14:textId="5EE6416F" w:rsidR="00C87E79" w:rsidRPr="00662906" w:rsidRDefault="00C87E79" w:rsidP="00C87E79">
      <w:pPr>
        <w:rPr>
          <w:i/>
          <w:iCs/>
          <w:color w:val="B4A269" w:themeColor="text2"/>
          <w:sz w:val="18"/>
          <w:szCs w:val="18"/>
        </w:rPr>
      </w:pPr>
      <w:r w:rsidRPr="00662906">
        <w:rPr>
          <w:i/>
          <w:iCs/>
          <w:color w:val="B4A269" w:themeColor="text2"/>
          <w:sz w:val="18"/>
          <w:szCs w:val="18"/>
        </w:rPr>
        <w:t xml:space="preserve">Source: Continental Master Plan 2024 </w:t>
      </w:r>
    </w:p>
    <w:p w14:paraId="1CE7EF93" w14:textId="41AC796F" w:rsidR="00C87E79" w:rsidRPr="00662906" w:rsidRDefault="00C87E79" w:rsidP="00C87E79">
      <w:pPr>
        <w:rPr>
          <w:lang w:eastAsia="fr-FR"/>
        </w:rPr>
      </w:pPr>
      <w:r w:rsidRPr="00662906">
        <w:rPr>
          <w:lang w:eastAsia="fr-FR"/>
        </w:rPr>
        <w:t xml:space="preserve">The evolution of the installed capacity shares per technology in the continental power system from 2019 to 2030 and 2040 is illustrated in </w:t>
      </w:r>
      <w:r w:rsidRPr="00662906">
        <w:rPr>
          <w:lang w:eastAsia="fr-FR"/>
        </w:rPr>
        <w:fldChar w:fldCharType="begin"/>
      </w:r>
      <w:r w:rsidRPr="00662906">
        <w:rPr>
          <w:lang w:eastAsia="fr-FR"/>
        </w:rPr>
        <w:instrText xml:space="preserve"> REF _Ref185443276 \h </w:instrText>
      </w:r>
      <w:r w:rsidRPr="00662906">
        <w:rPr>
          <w:lang w:eastAsia="fr-FR"/>
        </w:rPr>
      </w:r>
      <w:r w:rsidRPr="00662906">
        <w:rPr>
          <w:lang w:eastAsia="fr-FR"/>
        </w:rPr>
        <w:fldChar w:fldCharType="separate"/>
      </w:r>
      <w:r w:rsidR="00610F61" w:rsidRPr="00662906">
        <w:rPr>
          <w:i/>
          <w:iCs/>
          <w:color w:val="B4A269" w:themeColor="text2"/>
          <w:sz w:val="18"/>
          <w:szCs w:val="18"/>
        </w:rPr>
        <w:t xml:space="preserve">Figure </w:t>
      </w:r>
      <w:r w:rsidR="00610F61">
        <w:rPr>
          <w:i/>
          <w:iCs/>
          <w:noProof/>
          <w:color w:val="B4A269" w:themeColor="text2"/>
          <w:sz w:val="18"/>
          <w:szCs w:val="18"/>
        </w:rPr>
        <w:t>3</w:t>
      </w:r>
      <w:r w:rsidRPr="00662906">
        <w:rPr>
          <w:lang w:eastAsia="fr-FR"/>
        </w:rPr>
        <w:fldChar w:fldCharType="end"/>
      </w:r>
      <w:r w:rsidRPr="00662906">
        <w:rPr>
          <w:lang w:eastAsia="fr-FR"/>
        </w:rPr>
        <w:t xml:space="preserve">. Renewable energy technology (i.e. hydro, geothermal, biomass, wind and solar) capacity comprises between 60% and 68% of the total installed capacity in 2040 under the three scenarios, significantly increased from 22% in 2019. About 30% of the remaining capacity is from natural gas in all scenarios. Of the renewable capacity, the Variable/intermittent </w:t>
      </w:r>
      <w:r w:rsidRPr="00662906">
        <w:rPr>
          <w:lang w:eastAsia="fr-FR"/>
        </w:rPr>
        <w:lastRenderedPageBreak/>
        <w:t>Renewable Energy (VRE) contribution to the continental generation capacity increases from 5% in 2019 to about 45% in 2040 under both integration scenarios and 40% in the baseline.</w:t>
      </w:r>
    </w:p>
    <w:p w14:paraId="08DEAB54" w14:textId="77777777" w:rsidR="00C87E79" w:rsidRPr="00662906" w:rsidRDefault="00C87E79" w:rsidP="00C87E79">
      <w:pPr>
        <w:rPr>
          <w:lang w:eastAsia="fr-FR"/>
        </w:rPr>
      </w:pPr>
      <w:r w:rsidRPr="00662906">
        <w:rPr>
          <w:noProof/>
          <w:lang w:eastAsia="fr-FR"/>
        </w:rPr>
        <w:drawing>
          <wp:inline distT="0" distB="0" distL="0" distR="0" wp14:anchorId="65B99E90" wp14:editId="1D04DDBF">
            <wp:extent cx="5400000" cy="3230667"/>
            <wp:effectExtent l="0" t="0" r="0" b="8255"/>
            <wp:docPr id="1396280257" name="Picture 1" descr="A graph of energy consump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80257" name="Picture 1" descr="A graph of energy consumption&#10;&#10;Description automatically generated with medium confidence"/>
                    <pic:cNvPicPr/>
                  </pic:nvPicPr>
                  <pic:blipFill>
                    <a:blip r:embed="rId24"/>
                    <a:stretch>
                      <a:fillRect/>
                    </a:stretch>
                  </pic:blipFill>
                  <pic:spPr>
                    <a:xfrm>
                      <a:off x="0" y="0"/>
                      <a:ext cx="5400000" cy="3230667"/>
                    </a:xfrm>
                    <a:prstGeom prst="rect">
                      <a:avLst/>
                    </a:prstGeom>
                  </pic:spPr>
                </pic:pic>
              </a:graphicData>
            </a:graphic>
          </wp:inline>
        </w:drawing>
      </w:r>
    </w:p>
    <w:p w14:paraId="615F6F95" w14:textId="60FAF0E6" w:rsidR="00C87E79" w:rsidRPr="00662906" w:rsidRDefault="00C87E79" w:rsidP="00C87E79">
      <w:pPr>
        <w:rPr>
          <w:i/>
          <w:iCs/>
          <w:color w:val="B4A269" w:themeColor="text2"/>
          <w:sz w:val="18"/>
          <w:szCs w:val="18"/>
        </w:rPr>
      </w:pPr>
      <w:bookmarkStart w:id="368" w:name="_Ref185443276"/>
      <w:bookmarkStart w:id="369" w:name="_Toc197438655"/>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3</w:t>
      </w:r>
      <w:r w:rsidRPr="00662906">
        <w:rPr>
          <w:i/>
          <w:iCs/>
          <w:color w:val="B4A269" w:themeColor="text2"/>
          <w:sz w:val="18"/>
          <w:szCs w:val="18"/>
        </w:rPr>
        <w:fldChar w:fldCharType="end"/>
      </w:r>
      <w:bookmarkEnd w:id="368"/>
      <w:r w:rsidRPr="00662906">
        <w:rPr>
          <w:i/>
          <w:iCs/>
          <w:color w:val="B4A269" w:themeColor="text2"/>
          <w:sz w:val="18"/>
          <w:szCs w:val="18"/>
        </w:rPr>
        <w:t>: Continental evolution of technology shares in the Installed Capacity mix</w:t>
      </w:r>
      <w:bookmarkEnd w:id="369"/>
    </w:p>
    <w:p w14:paraId="25489E91" w14:textId="42692AC6" w:rsidR="00C87E79" w:rsidRPr="00662906" w:rsidRDefault="00C87E79" w:rsidP="00C87E79">
      <w:pPr>
        <w:rPr>
          <w:i/>
          <w:iCs/>
          <w:color w:val="B4A269" w:themeColor="text2"/>
          <w:sz w:val="18"/>
          <w:szCs w:val="18"/>
        </w:rPr>
      </w:pPr>
      <w:r w:rsidRPr="00662906">
        <w:rPr>
          <w:i/>
          <w:iCs/>
          <w:color w:val="B4A269" w:themeColor="text2"/>
          <w:sz w:val="18"/>
          <w:szCs w:val="18"/>
        </w:rPr>
        <w:t>Source: Continental Master Plan 2024</w:t>
      </w:r>
    </w:p>
    <w:p w14:paraId="6DF7E8AE" w14:textId="457C1CA2" w:rsidR="00C87E79" w:rsidRPr="00662906" w:rsidRDefault="00C87E79" w:rsidP="00C87E79">
      <w:pPr>
        <w:rPr>
          <w:lang w:eastAsia="fr-FR"/>
        </w:rPr>
      </w:pPr>
      <w:r w:rsidRPr="00662906">
        <w:rPr>
          <w:lang w:eastAsia="fr-FR"/>
        </w:rPr>
        <w:t xml:space="preserve">Overall, the total electricity generation is projected to increase by about 230%, from 1,022 </w:t>
      </w:r>
      <w:r w:rsidR="00661686" w:rsidRPr="00662906">
        <w:rPr>
          <w:lang w:eastAsia="fr-FR"/>
        </w:rPr>
        <w:t>Terawatt-hour (</w:t>
      </w:r>
      <w:r w:rsidRPr="00662906">
        <w:rPr>
          <w:lang w:eastAsia="fr-FR"/>
        </w:rPr>
        <w:t>TWh</w:t>
      </w:r>
      <w:r w:rsidR="00661686" w:rsidRPr="00662906">
        <w:rPr>
          <w:lang w:eastAsia="fr-FR"/>
        </w:rPr>
        <w:t>)</w:t>
      </w:r>
      <w:r w:rsidRPr="00662906">
        <w:rPr>
          <w:lang w:eastAsia="fr-FR"/>
        </w:rPr>
        <w:t xml:space="preserve"> in 2023 to 2375 TWh under the Baseline scenario by 2040. In comparison, total generation is estimated to increase by about 330% by 2040 reaching 3,355 TWh in the Regional scenario and 3,352 TWh in the Continental scenarios, in line with the higher demand to meet universal electricity access under these scenarios (</w:t>
      </w:r>
      <w:r w:rsidRPr="00662906">
        <w:rPr>
          <w:lang w:eastAsia="fr-FR"/>
        </w:rPr>
        <w:fldChar w:fldCharType="begin"/>
      </w:r>
      <w:r w:rsidRPr="00662906">
        <w:rPr>
          <w:lang w:eastAsia="fr-FR"/>
        </w:rPr>
        <w:instrText xml:space="preserve"> REF _Ref185443432 \h </w:instrText>
      </w:r>
      <w:r w:rsidRPr="00662906">
        <w:rPr>
          <w:lang w:eastAsia="fr-FR"/>
        </w:rPr>
      </w:r>
      <w:r w:rsidRPr="00662906">
        <w:rPr>
          <w:lang w:eastAsia="fr-FR"/>
        </w:rPr>
        <w:fldChar w:fldCharType="separate"/>
      </w:r>
      <w:r w:rsidR="00610F61" w:rsidRPr="00662906">
        <w:rPr>
          <w:i/>
          <w:iCs/>
          <w:color w:val="B4A269" w:themeColor="text2"/>
          <w:sz w:val="18"/>
          <w:szCs w:val="18"/>
        </w:rPr>
        <w:t xml:space="preserve">Figure </w:t>
      </w:r>
      <w:r w:rsidR="00610F61">
        <w:rPr>
          <w:i/>
          <w:iCs/>
          <w:noProof/>
          <w:color w:val="B4A269" w:themeColor="text2"/>
          <w:sz w:val="18"/>
          <w:szCs w:val="18"/>
        </w:rPr>
        <w:t>4</w:t>
      </w:r>
      <w:r w:rsidRPr="00662906">
        <w:rPr>
          <w:lang w:eastAsia="fr-FR"/>
        </w:rPr>
        <w:fldChar w:fldCharType="end"/>
      </w:r>
      <w:r w:rsidRPr="00662906">
        <w:rPr>
          <w:lang w:eastAsia="fr-FR"/>
        </w:rPr>
        <w:t xml:space="preserve">). </w:t>
      </w:r>
    </w:p>
    <w:p w14:paraId="5AA64A67" w14:textId="77777777" w:rsidR="00C87E79" w:rsidRPr="00662906" w:rsidRDefault="00C87E79" w:rsidP="00C87E79">
      <w:pPr>
        <w:rPr>
          <w:lang w:eastAsia="fr-FR"/>
        </w:rPr>
      </w:pPr>
      <w:r w:rsidRPr="00662906">
        <w:rPr>
          <w:noProof/>
          <w:lang w:eastAsia="fr-FR"/>
        </w:rPr>
        <w:drawing>
          <wp:inline distT="0" distB="0" distL="0" distR="0" wp14:anchorId="5EBB9D49" wp14:editId="5E8DDC80">
            <wp:extent cx="5800725" cy="2447925"/>
            <wp:effectExtent l="0" t="0" r="3175" b="0"/>
            <wp:docPr id="561206702"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5800725" cy="2447925"/>
                    </a:xfrm>
                    <a:prstGeom prst="rect">
                      <a:avLst/>
                    </a:prstGeom>
                  </pic:spPr>
                </pic:pic>
              </a:graphicData>
            </a:graphic>
          </wp:inline>
        </w:drawing>
      </w:r>
    </w:p>
    <w:p w14:paraId="3881408A" w14:textId="6B7BE9F9" w:rsidR="00C87E79" w:rsidRPr="00662906" w:rsidRDefault="00C87E79" w:rsidP="00C87E79">
      <w:pPr>
        <w:rPr>
          <w:i/>
          <w:iCs/>
          <w:color w:val="B4A269" w:themeColor="text2"/>
          <w:sz w:val="18"/>
          <w:szCs w:val="18"/>
        </w:rPr>
      </w:pPr>
      <w:bookmarkStart w:id="370" w:name="_Ref185443432"/>
      <w:bookmarkStart w:id="371" w:name="_Toc197438656"/>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4</w:t>
      </w:r>
      <w:r w:rsidRPr="00662906">
        <w:rPr>
          <w:i/>
          <w:iCs/>
          <w:color w:val="B4A269" w:themeColor="text2"/>
          <w:sz w:val="18"/>
          <w:szCs w:val="18"/>
        </w:rPr>
        <w:fldChar w:fldCharType="end"/>
      </w:r>
      <w:bookmarkEnd w:id="370"/>
      <w:r w:rsidRPr="00662906">
        <w:rPr>
          <w:i/>
          <w:iCs/>
          <w:color w:val="B4A269" w:themeColor="text2"/>
          <w:sz w:val="18"/>
          <w:szCs w:val="18"/>
        </w:rPr>
        <w:t>: Continental Electricity Production for Baseline, Regional and Continental CMP Scenarios</w:t>
      </w:r>
      <w:bookmarkEnd w:id="371"/>
    </w:p>
    <w:p w14:paraId="5195AFEB" w14:textId="77777777" w:rsidR="00C87E79" w:rsidRPr="00662906" w:rsidRDefault="00C87E79" w:rsidP="00C87E79">
      <w:pPr>
        <w:rPr>
          <w:i/>
          <w:iCs/>
          <w:color w:val="B4A269" w:themeColor="text2"/>
          <w:sz w:val="18"/>
          <w:szCs w:val="18"/>
        </w:rPr>
      </w:pPr>
      <w:r w:rsidRPr="00662906">
        <w:rPr>
          <w:i/>
          <w:iCs/>
          <w:color w:val="B4A269" w:themeColor="text2"/>
          <w:sz w:val="18"/>
          <w:szCs w:val="18"/>
        </w:rPr>
        <w:t>Source: Continental Master Plan 2024</w:t>
      </w:r>
    </w:p>
    <w:p w14:paraId="768AB6A4" w14:textId="1BF90AEA" w:rsidR="00C87E79" w:rsidRPr="00662906" w:rsidRDefault="00C87E79" w:rsidP="00C87E79">
      <w:pPr>
        <w:rPr>
          <w:lang w:eastAsia="fr-FR"/>
        </w:rPr>
      </w:pPr>
      <w:r w:rsidRPr="00662906">
        <w:rPr>
          <w:lang w:eastAsia="fr-FR"/>
        </w:rPr>
        <w:t>Renewable energy contribution to electricity supplies in Africa is expected to increase from the current levels of about 31% electricity generation mix to about 75% under the integration scenarios, and 60% under the Baseline. This shows that the integration scenarios allow much higher penetration of renewables compared to the Baseline</w:t>
      </w:r>
      <w:r w:rsidR="006764B6" w:rsidRPr="00662906">
        <w:rPr>
          <w:lang w:eastAsia="fr-FR"/>
        </w:rPr>
        <w:t xml:space="preserve"> (Figure 5)</w:t>
      </w:r>
      <w:r w:rsidRPr="00662906">
        <w:rPr>
          <w:lang w:eastAsia="fr-FR"/>
        </w:rPr>
        <w:t xml:space="preserve">. </w:t>
      </w:r>
    </w:p>
    <w:p w14:paraId="428D9D7A" w14:textId="77777777" w:rsidR="00C87E79" w:rsidRPr="00662906" w:rsidRDefault="00C87E79" w:rsidP="00C87E79">
      <w:pPr>
        <w:rPr>
          <w:i/>
          <w:iCs/>
          <w:lang w:eastAsia="fr-FR"/>
        </w:rPr>
      </w:pPr>
      <w:bookmarkStart w:id="372" w:name="_Toc176341915"/>
    </w:p>
    <w:bookmarkEnd w:id="372"/>
    <w:p w14:paraId="4DDF1A60" w14:textId="77777777" w:rsidR="00C87E79" w:rsidRPr="00662906" w:rsidRDefault="00C87E79" w:rsidP="00C87E79">
      <w:pPr>
        <w:rPr>
          <w:lang w:eastAsia="fr-FR"/>
        </w:rPr>
      </w:pPr>
      <w:r w:rsidRPr="00662906">
        <w:rPr>
          <w:noProof/>
          <w:lang w:eastAsia="fr-FR"/>
        </w:rPr>
        <w:lastRenderedPageBreak/>
        <w:drawing>
          <wp:inline distT="0" distB="0" distL="0" distR="0" wp14:anchorId="0350F252" wp14:editId="536CE2C5">
            <wp:extent cx="5400000" cy="4271770"/>
            <wp:effectExtent l="0" t="0" r="0" b="0"/>
            <wp:docPr id="1446279164" name="Picture 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9164" name="Picture 1" descr="A graph of different colored squares&#10;&#10;Description automatically generated"/>
                    <pic:cNvPicPr/>
                  </pic:nvPicPr>
                  <pic:blipFill>
                    <a:blip r:embed="rId26"/>
                    <a:stretch>
                      <a:fillRect/>
                    </a:stretch>
                  </pic:blipFill>
                  <pic:spPr>
                    <a:xfrm>
                      <a:off x="0" y="0"/>
                      <a:ext cx="5400000" cy="4271770"/>
                    </a:xfrm>
                    <a:prstGeom prst="rect">
                      <a:avLst/>
                    </a:prstGeom>
                  </pic:spPr>
                </pic:pic>
              </a:graphicData>
            </a:graphic>
          </wp:inline>
        </w:drawing>
      </w:r>
    </w:p>
    <w:p w14:paraId="0303B28A" w14:textId="758C6523" w:rsidR="00C87E79" w:rsidRPr="00662906" w:rsidRDefault="00C87E79" w:rsidP="00C87E79">
      <w:pPr>
        <w:rPr>
          <w:i/>
          <w:iCs/>
          <w:color w:val="B4A269" w:themeColor="text2"/>
          <w:sz w:val="18"/>
          <w:szCs w:val="18"/>
        </w:rPr>
      </w:pPr>
      <w:bookmarkStart w:id="373" w:name="_Toc197438657"/>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5</w:t>
      </w:r>
      <w:r w:rsidRPr="00662906">
        <w:rPr>
          <w:i/>
          <w:iCs/>
          <w:color w:val="B4A269" w:themeColor="text2"/>
          <w:sz w:val="18"/>
          <w:szCs w:val="18"/>
        </w:rPr>
        <w:fldChar w:fldCharType="end"/>
      </w:r>
      <w:r w:rsidRPr="00662906">
        <w:rPr>
          <w:i/>
          <w:iCs/>
          <w:color w:val="B4A269" w:themeColor="text2"/>
          <w:sz w:val="18"/>
          <w:szCs w:val="18"/>
        </w:rPr>
        <w:t>: Continental Evolution of technology shares in electricity production mix</w:t>
      </w:r>
      <w:bookmarkEnd w:id="373"/>
    </w:p>
    <w:p w14:paraId="3FE50D8F" w14:textId="77777777" w:rsidR="00C87E79" w:rsidRPr="00662906" w:rsidRDefault="00C87E79" w:rsidP="00C87E79">
      <w:pPr>
        <w:rPr>
          <w:i/>
          <w:iCs/>
          <w:color w:val="B4A269" w:themeColor="text2"/>
          <w:sz w:val="18"/>
          <w:szCs w:val="18"/>
        </w:rPr>
      </w:pPr>
      <w:r w:rsidRPr="00662906">
        <w:rPr>
          <w:i/>
          <w:iCs/>
          <w:color w:val="B4A269" w:themeColor="text2"/>
          <w:sz w:val="18"/>
          <w:szCs w:val="18"/>
        </w:rPr>
        <w:t>Source: Continental Master Plan 2024</w:t>
      </w:r>
    </w:p>
    <w:p w14:paraId="5145EDFC" w14:textId="25823364" w:rsidR="00C87E79" w:rsidRPr="00662906" w:rsidRDefault="00C87E79" w:rsidP="00C87E79">
      <w:pPr>
        <w:rPr>
          <w:lang w:eastAsia="fr-FR"/>
        </w:rPr>
      </w:pPr>
      <w:r w:rsidRPr="00662906">
        <w:rPr>
          <w:lang w:eastAsia="fr-FR"/>
        </w:rPr>
        <w:t xml:space="preserve">Across the scenarios, </w:t>
      </w:r>
      <w:r w:rsidRPr="00662906">
        <w:rPr>
          <w:iCs/>
          <w:lang w:eastAsia="fr-FR"/>
        </w:rPr>
        <w:t>CO</w:t>
      </w:r>
      <w:r w:rsidRPr="00662906">
        <w:rPr>
          <w:iCs/>
          <w:vertAlign w:val="subscript"/>
          <w:lang w:eastAsia="fr-FR"/>
        </w:rPr>
        <w:t>2</w:t>
      </w:r>
      <w:r w:rsidRPr="00662906">
        <w:rPr>
          <w:lang w:eastAsia="fr-FR"/>
        </w:rPr>
        <w:t xml:space="preserve"> emissions generally decrease from 417 </w:t>
      </w:r>
      <w:r w:rsidR="00F504D0" w:rsidRPr="00662906">
        <w:rPr>
          <w:lang w:eastAsia="fr-FR"/>
        </w:rPr>
        <w:t>Metric ton (</w:t>
      </w:r>
      <w:r w:rsidRPr="00662906">
        <w:rPr>
          <w:lang w:eastAsia="fr-FR"/>
        </w:rPr>
        <w:t>Mton</w:t>
      </w:r>
      <w:r w:rsidR="00F504D0" w:rsidRPr="00662906">
        <w:rPr>
          <w:lang w:eastAsia="fr-FR"/>
        </w:rPr>
        <w:t>)</w:t>
      </w:r>
      <w:r w:rsidRPr="00662906">
        <w:rPr>
          <w:lang w:eastAsia="fr-FR"/>
        </w:rPr>
        <w:t xml:space="preserve"> </w:t>
      </w:r>
      <w:r w:rsidRPr="00662906">
        <w:rPr>
          <w:iCs/>
          <w:lang w:eastAsia="fr-FR"/>
        </w:rPr>
        <w:t>CO</w:t>
      </w:r>
      <w:r w:rsidRPr="00662906">
        <w:rPr>
          <w:iCs/>
          <w:vertAlign w:val="subscript"/>
          <w:lang w:eastAsia="fr-FR"/>
        </w:rPr>
        <w:t>2</w:t>
      </w:r>
      <w:r w:rsidRPr="00662906">
        <w:rPr>
          <w:lang w:eastAsia="fr-FR"/>
        </w:rPr>
        <w:t xml:space="preserve"> per year in 2019 to between 400 to 446 Mton </w:t>
      </w:r>
      <w:r w:rsidRPr="00662906">
        <w:rPr>
          <w:iCs/>
          <w:lang w:eastAsia="fr-FR"/>
        </w:rPr>
        <w:t>CO</w:t>
      </w:r>
      <w:r w:rsidRPr="00662906">
        <w:rPr>
          <w:iCs/>
          <w:vertAlign w:val="subscript"/>
          <w:lang w:eastAsia="fr-FR"/>
        </w:rPr>
        <w:t>2</w:t>
      </w:r>
      <w:r w:rsidRPr="00662906">
        <w:rPr>
          <w:lang w:eastAsia="fr-FR"/>
        </w:rPr>
        <w:t xml:space="preserve"> in 2030. The least reduction in emissions is projected for the baseline scenario at 446 Mton </w:t>
      </w:r>
      <w:r w:rsidRPr="00662906">
        <w:rPr>
          <w:iCs/>
          <w:lang w:eastAsia="fr-FR"/>
        </w:rPr>
        <w:t>CO</w:t>
      </w:r>
      <w:r w:rsidRPr="00662906">
        <w:rPr>
          <w:iCs/>
          <w:vertAlign w:val="subscript"/>
          <w:lang w:eastAsia="fr-FR"/>
        </w:rPr>
        <w:t>2</w:t>
      </w:r>
      <w:r w:rsidRPr="00662906">
        <w:rPr>
          <w:lang w:eastAsia="fr-FR"/>
        </w:rPr>
        <w:t xml:space="preserve">, while the largest reduction in emissions is under the Continental scenario at 400 Mton </w:t>
      </w:r>
      <w:r w:rsidRPr="00662906">
        <w:rPr>
          <w:iCs/>
          <w:lang w:eastAsia="fr-FR"/>
        </w:rPr>
        <w:t>CO</w:t>
      </w:r>
      <w:r w:rsidRPr="00662906">
        <w:rPr>
          <w:iCs/>
          <w:vertAlign w:val="subscript"/>
          <w:lang w:eastAsia="fr-FR"/>
        </w:rPr>
        <w:t>2</w:t>
      </w:r>
      <w:r w:rsidRPr="00662906">
        <w:rPr>
          <w:lang w:eastAsia="fr-FR"/>
        </w:rPr>
        <w:t xml:space="preserve"> in 2030. The decline in </w:t>
      </w:r>
      <w:r w:rsidRPr="00662906">
        <w:rPr>
          <w:iCs/>
          <w:lang w:eastAsia="fr-FR"/>
        </w:rPr>
        <w:t>CO</w:t>
      </w:r>
      <w:r w:rsidRPr="00662906">
        <w:rPr>
          <w:iCs/>
          <w:vertAlign w:val="subscript"/>
          <w:lang w:eastAsia="fr-FR"/>
        </w:rPr>
        <w:t>2</w:t>
      </w:r>
      <w:r w:rsidRPr="00662906">
        <w:rPr>
          <w:lang w:eastAsia="fr-FR"/>
        </w:rPr>
        <w:t xml:space="preserve"> emissions is mainly attributed to the planned shutdown of coal-fired plants in South Africa, reduction in natural gas generation and the enhanced introduction of renewable energy sources. </w:t>
      </w:r>
    </w:p>
    <w:p w14:paraId="02C7AE86" w14:textId="66D25637" w:rsidR="00C87E79" w:rsidRPr="00662906" w:rsidRDefault="00C87E79" w:rsidP="00C87E79">
      <w:pPr>
        <w:rPr>
          <w:lang w:eastAsia="fr-FR"/>
        </w:rPr>
      </w:pPr>
      <w:r w:rsidRPr="00662906">
        <w:rPr>
          <w:lang w:eastAsia="fr-FR"/>
        </w:rPr>
        <w:t>CO</w:t>
      </w:r>
      <w:r w:rsidRPr="00662906">
        <w:rPr>
          <w:vertAlign w:val="subscript"/>
          <w:lang w:eastAsia="fr-FR"/>
        </w:rPr>
        <w:t>2</w:t>
      </w:r>
      <w:r w:rsidRPr="00662906">
        <w:rPr>
          <w:lang w:eastAsia="fr-FR"/>
        </w:rPr>
        <w:t xml:space="preserve"> emissions however generally increase in value from 2030 to 2040 across all scenarios to between 424 MtonCO</w:t>
      </w:r>
      <w:r w:rsidRPr="00662906">
        <w:rPr>
          <w:vertAlign w:val="subscript"/>
          <w:lang w:eastAsia="fr-FR"/>
        </w:rPr>
        <w:t>2</w:t>
      </w:r>
      <w:r w:rsidRPr="00662906">
        <w:rPr>
          <w:lang w:eastAsia="fr-FR"/>
        </w:rPr>
        <w:t xml:space="preserve"> (Continental) and 479 Mton CO</w:t>
      </w:r>
      <w:r w:rsidRPr="00662906">
        <w:rPr>
          <w:vertAlign w:val="subscript"/>
          <w:lang w:eastAsia="fr-FR"/>
        </w:rPr>
        <w:t>2</w:t>
      </w:r>
      <w:r w:rsidRPr="00662906">
        <w:rPr>
          <w:lang w:eastAsia="fr-FR"/>
        </w:rPr>
        <w:t xml:space="preserve"> (Baseline). This is consistent with the commissioning of new fossil fuel plants as demand increases considerably in the continent after 2030. The integration scenarios result in lower emissions than Baseline, despite higher demand and corresponding generation in the former, due to the higher penetration of renewables</w:t>
      </w:r>
      <w:r w:rsidR="006764B6" w:rsidRPr="00662906">
        <w:rPr>
          <w:lang w:eastAsia="fr-FR"/>
        </w:rPr>
        <w:t xml:space="preserve"> (Figure 6)</w:t>
      </w:r>
      <w:r w:rsidRPr="00662906">
        <w:rPr>
          <w:lang w:eastAsia="fr-FR"/>
        </w:rPr>
        <w:t>.</w:t>
      </w:r>
    </w:p>
    <w:p w14:paraId="417EF337" w14:textId="6B0116FE" w:rsidR="00C87E79" w:rsidRPr="00662906" w:rsidRDefault="00C87E79" w:rsidP="00C87E79">
      <w:pPr>
        <w:rPr>
          <w:lang w:eastAsia="fr-FR"/>
        </w:rPr>
      </w:pPr>
      <w:r w:rsidRPr="00662906">
        <w:rPr>
          <w:lang w:eastAsia="fr-FR"/>
        </w:rPr>
        <w:t xml:space="preserve">All scenarios show a decline in </w:t>
      </w:r>
      <w:r w:rsidRPr="00662906">
        <w:rPr>
          <w:iCs/>
          <w:lang w:eastAsia="fr-FR"/>
        </w:rPr>
        <w:t>CO</w:t>
      </w:r>
      <w:r w:rsidRPr="00662906">
        <w:rPr>
          <w:iCs/>
          <w:vertAlign w:val="subscript"/>
          <w:lang w:eastAsia="fr-FR"/>
        </w:rPr>
        <w:t>2</w:t>
      </w:r>
      <w:r w:rsidRPr="00662906">
        <w:rPr>
          <w:lang w:eastAsia="fr-FR"/>
        </w:rPr>
        <w:t xml:space="preserve"> intensity of generation (</w:t>
      </w:r>
      <w:r w:rsidRPr="00662906">
        <w:rPr>
          <w:b/>
          <w:bCs/>
          <w:lang w:eastAsia="fr-FR"/>
        </w:rPr>
        <w:t>from 0.4 tons/</w:t>
      </w:r>
      <w:r w:rsidR="00F504D0" w:rsidRPr="00662906">
        <w:rPr>
          <w:b/>
          <w:bCs/>
          <w:lang w:eastAsia="fr-FR"/>
        </w:rPr>
        <w:t>Megawatt hour (</w:t>
      </w:r>
      <w:r w:rsidRPr="00662906">
        <w:rPr>
          <w:b/>
          <w:bCs/>
          <w:lang w:eastAsia="fr-FR"/>
        </w:rPr>
        <w:t>MWh</w:t>
      </w:r>
      <w:r w:rsidR="00F504D0" w:rsidRPr="00662906">
        <w:rPr>
          <w:b/>
          <w:bCs/>
          <w:lang w:eastAsia="fr-FR"/>
        </w:rPr>
        <w:t>)</w:t>
      </w:r>
      <w:r w:rsidRPr="00662906">
        <w:rPr>
          <w:b/>
          <w:bCs/>
          <w:lang w:eastAsia="fr-FR"/>
        </w:rPr>
        <w:t xml:space="preserve"> in 2019</w:t>
      </w:r>
      <w:r w:rsidRPr="00662906">
        <w:rPr>
          <w:lang w:eastAsia="fr-FR"/>
        </w:rPr>
        <w:t xml:space="preserve"> to between 0.13-0.19 tons/MWh by 2040) due to the decommissioning of older carbon intensive fossil power plants and the increasing penetration of renewable energy plants. </w:t>
      </w:r>
    </w:p>
    <w:p w14:paraId="03EE9C96" w14:textId="77777777" w:rsidR="00F63AA7" w:rsidRPr="00662906" w:rsidRDefault="00C87E79" w:rsidP="00C87E79">
      <w:pPr>
        <w:rPr>
          <w:lang w:eastAsia="fr-FR"/>
        </w:rPr>
      </w:pPr>
      <w:r w:rsidRPr="00662906">
        <w:rPr>
          <w:lang w:eastAsia="fr-FR"/>
        </w:rPr>
        <w:t>The reduction in CO</w:t>
      </w:r>
      <w:r w:rsidRPr="00662906">
        <w:rPr>
          <w:vertAlign w:val="subscript"/>
          <w:lang w:eastAsia="fr-FR"/>
        </w:rPr>
        <w:t>2</w:t>
      </w:r>
      <w:r w:rsidRPr="00662906">
        <w:rPr>
          <w:lang w:eastAsia="fr-FR"/>
        </w:rPr>
        <w:t xml:space="preserve"> emissions intensity is more pronounced in the Regional and Continental scenarios due to the higher renewable electricity share per unit of generated electricity. </w:t>
      </w:r>
    </w:p>
    <w:p w14:paraId="3E456916" w14:textId="23C6718C" w:rsidR="00C87E79" w:rsidRPr="00662906" w:rsidRDefault="00C87E79" w:rsidP="00C87E79">
      <w:pPr>
        <w:rPr>
          <w:lang w:eastAsia="fr-FR"/>
        </w:rPr>
      </w:pPr>
      <w:r w:rsidRPr="00662906">
        <w:rPr>
          <w:noProof/>
          <w:lang w:eastAsia="fr-FR"/>
        </w:rPr>
        <w:lastRenderedPageBreak/>
        <w:drawing>
          <wp:inline distT="0" distB="0" distL="0" distR="0" wp14:anchorId="13447524" wp14:editId="444E9AD4">
            <wp:extent cx="6057900" cy="2000250"/>
            <wp:effectExtent l="0" t="0" r="0" b="0"/>
            <wp:docPr id="366621952" name="Picture 1" descr="A graph of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6057900" cy="2000250"/>
                    </a:xfrm>
                    <a:prstGeom prst="rect">
                      <a:avLst/>
                    </a:prstGeom>
                  </pic:spPr>
                </pic:pic>
              </a:graphicData>
            </a:graphic>
          </wp:inline>
        </w:drawing>
      </w:r>
    </w:p>
    <w:p w14:paraId="07DD5540" w14:textId="29ECC2DD" w:rsidR="00C87E79" w:rsidRPr="00662906" w:rsidRDefault="00C87E79" w:rsidP="00C87E79">
      <w:pPr>
        <w:rPr>
          <w:i/>
          <w:iCs/>
          <w:color w:val="B4A269" w:themeColor="text2"/>
          <w:sz w:val="18"/>
          <w:szCs w:val="18"/>
        </w:rPr>
      </w:pPr>
      <w:bookmarkStart w:id="374" w:name="_Toc197438658"/>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6</w:t>
      </w:r>
      <w:r w:rsidRPr="00662906">
        <w:rPr>
          <w:i/>
          <w:iCs/>
          <w:color w:val="B4A269" w:themeColor="text2"/>
          <w:sz w:val="18"/>
          <w:szCs w:val="18"/>
        </w:rPr>
        <w:fldChar w:fldCharType="end"/>
      </w:r>
      <w:r w:rsidRPr="00662906">
        <w:rPr>
          <w:i/>
          <w:iCs/>
          <w:color w:val="B4A269" w:themeColor="text2"/>
          <w:sz w:val="18"/>
          <w:szCs w:val="18"/>
        </w:rPr>
        <w:t>: Continental CO2 Emissions by CMP Scenarios- Baseline, Regional and Continental Scenarios</w:t>
      </w:r>
      <w:r w:rsidRPr="00662906">
        <w:rPr>
          <w:i/>
          <w:iCs/>
          <w:color w:val="B4A269" w:themeColor="text2"/>
          <w:sz w:val="18"/>
          <w:szCs w:val="18"/>
        </w:rPr>
        <w:br/>
        <w:t>Source: Continental Master Plan 2024</w:t>
      </w:r>
      <w:bookmarkEnd w:id="374"/>
    </w:p>
    <w:p w14:paraId="53F4A5F2" w14:textId="42A9A547" w:rsidR="00C87E79" w:rsidRPr="00662906" w:rsidRDefault="00C87E79" w:rsidP="00C87E79">
      <w:pPr>
        <w:rPr>
          <w:lang w:eastAsia="fr-FR"/>
        </w:rPr>
      </w:pPr>
      <w:r w:rsidRPr="00662906">
        <w:rPr>
          <w:lang w:eastAsia="fr-FR"/>
        </w:rPr>
        <w:t xml:space="preserve">The interconnection expansion scenarios (Regional and Continental) show that cross border networks by 2030 will have connected Maghreb Electricity Committee (COMELEC), Eastern Africa Power Pool (EAPP), SAPP and Central Africa Power Pool (CAPP). WAPP will be connected to COMELEC, but CAPP will still not be connected to WAPP and within the period until 2030 the emphasis will be placed on </w:t>
      </w:r>
      <w:r w:rsidR="00527FBF" w:rsidRPr="00662906">
        <w:rPr>
          <w:lang w:eastAsia="fr-FR"/>
        </w:rPr>
        <w:t>in country</w:t>
      </w:r>
      <w:r w:rsidRPr="00662906">
        <w:rPr>
          <w:lang w:eastAsia="fr-FR"/>
        </w:rPr>
        <w:t xml:space="preserve"> and intra-regional transmission lines. By 2040, the projected scenarios target to connect all the five Power Pools to a common African grid and increase the capacity of the connections to Asia and Europe. This will create the infrastructure backbone on which the AfSEM will be based.</w:t>
      </w:r>
    </w:p>
    <w:p w14:paraId="6B8F09E1" w14:textId="77777777" w:rsidR="00C87E79" w:rsidRPr="00662906" w:rsidRDefault="00C87E79" w:rsidP="009A0D6A">
      <w:pPr>
        <w:pStyle w:val="Heading3"/>
        <w:ind w:left="567"/>
        <w:rPr>
          <w:lang w:eastAsia="fr-FR"/>
        </w:rPr>
      </w:pPr>
      <w:bookmarkStart w:id="375" w:name="_Toc176190937"/>
      <w:bookmarkStart w:id="376" w:name="_Toc176191109"/>
      <w:bookmarkStart w:id="377" w:name="_Toc176341830"/>
      <w:bookmarkStart w:id="378" w:name="_Toc176430224"/>
      <w:bookmarkStart w:id="379" w:name="_Toc176430281"/>
      <w:bookmarkStart w:id="380" w:name="_Toc176441414"/>
      <w:bookmarkStart w:id="381" w:name="_Toc176442069"/>
      <w:bookmarkStart w:id="382" w:name="_Toc178937433"/>
      <w:bookmarkStart w:id="383" w:name="_Toc185519166"/>
      <w:bookmarkStart w:id="384" w:name="_Toc197433827"/>
      <w:r w:rsidRPr="00662906">
        <w:rPr>
          <w:lang w:eastAsia="fr-FR"/>
        </w:rPr>
        <w:t>African Union Energy Efficiency Strategy and Action Plan Scenario Analysis</w:t>
      </w:r>
      <w:bookmarkEnd w:id="375"/>
      <w:bookmarkEnd w:id="376"/>
      <w:bookmarkEnd w:id="377"/>
      <w:bookmarkEnd w:id="378"/>
      <w:bookmarkEnd w:id="379"/>
      <w:bookmarkEnd w:id="380"/>
      <w:bookmarkEnd w:id="381"/>
      <w:bookmarkEnd w:id="382"/>
      <w:bookmarkEnd w:id="383"/>
      <w:bookmarkEnd w:id="384"/>
    </w:p>
    <w:p w14:paraId="697AFC30" w14:textId="53D8CE51" w:rsidR="00C87E79" w:rsidRPr="00662906" w:rsidRDefault="00C87E79" w:rsidP="00C87E79">
      <w:pPr>
        <w:rPr>
          <w:lang w:eastAsia="fr-FR"/>
        </w:rPr>
      </w:pPr>
      <w:r w:rsidRPr="00662906">
        <w:rPr>
          <w:lang w:eastAsia="fr-FR"/>
        </w:rPr>
        <w:t xml:space="preserve">AfEES is an integral component of AU’s energy strategic activities, including AfSEM and the CMP </w:t>
      </w:r>
      <w:r w:rsidR="00526D59" w:rsidRPr="00662906">
        <w:rPr>
          <w:lang w:eastAsia="fr-FR"/>
        </w:rPr>
        <w:t xml:space="preserve">whose objective is </w:t>
      </w:r>
      <w:r w:rsidRPr="00662906">
        <w:rPr>
          <w:lang w:eastAsia="fr-FR"/>
        </w:rPr>
        <w:t xml:space="preserve">to establish a sustainable, efficient and inclusive energy system that benefits both the environment and the economy while ensuring universal access to energy. AfEES will facilitate adoption of energy-efficient technologies and practices in the various economic sectors that comprise </w:t>
      </w:r>
      <w:r w:rsidR="00526D59" w:rsidRPr="00662906">
        <w:rPr>
          <w:lang w:eastAsia="fr-FR"/>
        </w:rPr>
        <w:t xml:space="preserve">industrial sector, electricity supply industry, appliances </w:t>
      </w:r>
      <w:r w:rsidRPr="00662906">
        <w:rPr>
          <w:lang w:eastAsia="fr-FR"/>
        </w:rPr>
        <w:t xml:space="preserve">and devices including clean cooking solutions, </w:t>
      </w:r>
      <w:r w:rsidR="00526D59" w:rsidRPr="00662906">
        <w:rPr>
          <w:lang w:eastAsia="fr-FR"/>
        </w:rPr>
        <w:t xml:space="preserve">buildings, transportation and agriculture </w:t>
      </w:r>
      <w:r w:rsidRPr="00662906">
        <w:rPr>
          <w:lang w:eastAsia="fr-FR"/>
        </w:rPr>
        <w:t>up to 2063</w:t>
      </w:r>
      <w:r w:rsidR="00787505" w:rsidRPr="00662906">
        <w:rPr>
          <w:lang w:eastAsia="fr-FR"/>
        </w:rPr>
        <w:t xml:space="preserve"> (Figure 7)</w:t>
      </w:r>
      <w:r w:rsidRPr="00662906">
        <w:rPr>
          <w:lang w:eastAsia="fr-FR"/>
        </w:rPr>
        <w:t>.</w:t>
      </w:r>
    </w:p>
    <w:p w14:paraId="2E29BC98" w14:textId="77777777" w:rsidR="00C87E79" w:rsidRPr="00662906" w:rsidRDefault="00C87E79" w:rsidP="00C87E79">
      <w:pPr>
        <w:rPr>
          <w:lang w:eastAsia="fr-FR"/>
        </w:rPr>
      </w:pPr>
      <w:r w:rsidRPr="00662906">
        <w:rPr>
          <w:lang w:eastAsia="fr-FR"/>
        </w:rPr>
        <w:t xml:space="preserve"> </w:t>
      </w:r>
      <w:r w:rsidRPr="00662906">
        <w:rPr>
          <w:noProof/>
          <w:lang w:eastAsia="fr-FR"/>
        </w:rPr>
        <w:drawing>
          <wp:inline distT="0" distB="0" distL="0" distR="0" wp14:anchorId="16968C10" wp14:editId="2887FB82">
            <wp:extent cx="5516799" cy="2472690"/>
            <wp:effectExtent l="0" t="0" r="8255" b="3810"/>
            <wp:docPr id="292430266" name="Image 5" descr="A graph of different colored lines&#10;&#10;Description automatically generated">
              <a:extLst xmlns:a="http://schemas.openxmlformats.org/drawingml/2006/main">
                <a:ext uri="{FF2B5EF4-FFF2-40B4-BE49-F238E27FC236}">
                  <a16:creationId xmlns:a16="http://schemas.microsoft.com/office/drawing/2014/main" id="{3B613CD5-0ED3-4C91-B2C5-56139463C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descr="A graph of different colored lines&#10;&#10;Description automatically generated">
                      <a:extLst>
                        <a:ext uri="{FF2B5EF4-FFF2-40B4-BE49-F238E27FC236}">
                          <a16:creationId xmlns:a16="http://schemas.microsoft.com/office/drawing/2014/main" id="{3B613CD5-0ED3-4C91-B2C5-56139463C20B}"/>
                        </a:ext>
                      </a:extLst>
                    </pic:cNvPr>
                    <pic:cNvPicPr>
                      <a:picLocks noChangeAspect="1"/>
                    </pic:cNvPicPr>
                  </pic:nvPicPr>
                  <pic:blipFill>
                    <a:blip r:embed="rId28"/>
                    <a:stretch>
                      <a:fillRect/>
                    </a:stretch>
                  </pic:blipFill>
                  <pic:spPr>
                    <a:xfrm>
                      <a:off x="0" y="0"/>
                      <a:ext cx="5556181" cy="2490341"/>
                    </a:xfrm>
                    <a:prstGeom prst="rect">
                      <a:avLst/>
                    </a:prstGeom>
                  </pic:spPr>
                </pic:pic>
              </a:graphicData>
            </a:graphic>
          </wp:inline>
        </w:drawing>
      </w:r>
    </w:p>
    <w:p w14:paraId="1234D010" w14:textId="27024038" w:rsidR="00C87E79" w:rsidRPr="00662906" w:rsidRDefault="00C87E79" w:rsidP="00C87E79">
      <w:pPr>
        <w:rPr>
          <w:i/>
          <w:iCs/>
          <w:color w:val="B4A269" w:themeColor="text2"/>
          <w:sz w:val="18"/>
          <w:szCs w:val="18"/>
        </w:rPr>
      </w:pPr>
      <w:bookmarkStart w:id="385" w:name="_Toc197438659"/>
      <w:r w:rsidRPr="00662906">
        <w:rPr>
          <w:i/>
          <w:iCs/>
          <w:color w:val="B4A269" w:themeColor="text2"/>
          <w:sz w:val="18"/>
          <w:szCs w:val="18"/>
        </w:rPr>
        <w:t xml:space="preserve">Figure </w:t>
      </w:r>
      <w:r w:rsidRPr="00662906">
        <w:rPr>
          <w:i/>
          <w:iCs/>
          <w:color w:val="B4A269" w:themeColor="text2"/>
          <w:sz w:val="18"/>
          <w:szCs w:val="18"/>
        </w:rPr>
        <w:fldChar w:fldCharType="begin"/>
      </w:r>
      <w:r w:rsidRPr="00662906">
        <w:rPr>
          <w:i/>
          <w:iCs/>
          <w:color w:val="B4A269" w:themeColor="text2"/>
          <w:sz w:val="18"/>
          <w:szCs w:val="18"/>
        </w:rPr>
        <w:instrText xml:space="preserve"> SEQ Figure \* ARABIC </w:instrText>
      </w:r>
      <w:r w:rsidRPr="00662906">
        <w:rPr>
          <w:i/>
          <w:iCs/>
          <w:color w:val="B4A269" w:themeColor="text2"/>
          <w:sz w:val="18"/>
          <w:szCs w:val="18"/>
        </w:rPr>
        <w:fldChar w:fldCharType="separate"/>
      </w:r>
      <w:r w:rsidR="00610F61">
        <w:rPr>
          <w:i/>
          <w:iCs/>
          <w:noProof/>
          <w:color w:val="B4A269" w:themeColor="text2"/>
          <w:sz w:val="18"/>
          <w:szCs w:val="18"/>
        </w:rPr>
        <w:t>7</w:t>
      </w:r>
      <w:r w:rsidRPr="00662906">
        <w:rPr>
          <w:i/>
          <w:iCs/>
          <w:color w:val="B4A269" w:themeColor="text2"/>
          <w:sz w:val="18"/>
          <w:szCs w:val="18"/>
        </w:rPr>
        <w:fldChar w:fldCharType="end"/>
      </w:r>
      <w:r w:rsidRPr="00662906">
        <w:rPr>
          <w:i/>
          <w:iCs/>
          <w:color w:val="B4A269" w:themeColor="text2"/>
          <w:sz w:val="18"/>
          <w:szCs w:val="18"/>
        </w:rPr>
        <w:t>: High Level Energy Productivity target over the horizon of Agenda 2063</w:t>
      </w:r>
      <w:bookmarkEnd w:id="385"/>
    </w:p>
    <w:p w14:paraId="0F1EBC2C" w14:textId="1D6D8EFD" w:rsidR="00C87E79" w:rsidRPr="00662906" w:rsidRDefault="00F504D0" w:rsidP="00C87E79">
      <w:pPr>
        <w:rPr>
          <w:i/>
          <w:iCs/>
          <w:color w:val="B4A269" w:themeColor="text2"/>
          <w:sz w:val="16"/>
          <w:szCs w:val="16"/>
        </w:rPr>
      </w:pPr>
      <w:r w:rsidRPr="00662906">
        <w:rPr>
          <w:i/>
          <w:iCs/>
          <w:color w:val="B4A269" w:themeColor="text2"/>
          <w:sz w:val="16"/>
          <w:szCs w:val="16"/>
        </w:rPr>
        <w:t>Source</w:t>
      </w:r>
      <w:r w:rsidR="00C87E79" w:rsidRPr="00662906">
        <w:rPr>
          <w:i/>
          <w:iCs/>
          <w:color w:val="B4A269" w:themeColor="text2"/>
          <w:sz w:val="16"/>
          <w:szCs w:val="16"/>
        </w:rPr>
        <w:t xml:space="preserve"> AFEES Report</w:t>
      </w:r>
    </w:p>
    <w:p w14:paraId="6FFD5CF2" w14:textId="609E8419" w:rsidR="0025270A" w:rsidRPr="00662906" w:rsidRDefault="00C87E79" w:rsidP="00C87E79">
      <w:pPr>
        <w:rPr>
          <w:lang w:eastAsia="fr-FR"/>
        </w:rPr>
      </w:pPr>
      <w:r w:rsidRPr="00662906">
        <w:rPr>
          <w:lang w:eastAsia="fr-FR"/>
        </w:rPr>
        <w:t>The AfEES high-level target, is a commitment to a resource efficient economy that will steadily increase its energy productivity to reach $0.33 per megajoule over the next 40 years</w:t>
      </w:r>
      <w:r w:rsidR="00FA49F1" w:rsidRPr="00662906">
        <w:rPr>
          <w:lang w:eastAsia="fr-FR"/>
        </w:rPr>
        <w:t xml:space="preserve"> from the current xxx in 2018</w:t>
      </w:r>
      <w:r w:rsidRPr="00662906">
        <w:rPr>
          <w:lang w:eastAsia="fr-FR"/>
        </w:rPr>
        <w:t>. This clear shift from the stagnation observed over the past five years can be achieved with progressive changes leading to a 12% increase in efficiency by 2030, a 31% increase by 2040, a 50% increase by 2050 and a 70% increase by 2063, relative to 2018.</w:t>
      </w:r>
      <w:r w:rsidR="00422224" w:rsidRPr="00662906">
        <w:rPr>
          <w:lang w:eastAsia="fr-FR"/>
        </w:rPr>
        <w:t xml:space="preserve"> </w:t>
      </w:r>
      <w:r w:rsidRPr="00662906">
        <w:rPr>
          <w:lang w:eastAsia="fr-FR"/>
        </w:rPr>
        <w:t xml:space="preserve">It is considered that since Africa has a vast </w:t>
      </w:r>
      <w:r w:rsidRPr="00662906">
        <w:rPr>
          <w:lang w:eastAsia="fr-FR"/>
        </w:rPr>
        <w:lastRenderedPageBreak/>
        <w:t>untapped potential for energy efficiency improvements, the proposed trajectory is technically within reach while being sufficiently ambitious in terms of timing for implementation.</w:t>
      </w:r>
    </w:p>
    <w:p w14:paraId="1F93E6B9" w14:textId="7DD81941" w:rsidR="00AD4FFB" w:rsidRPr="00662906" w:rsidRDefault="00FA49F1" w:rsidP="009A0D6A">
      <w:pPr>
        <w:pStyle w:val="Heading3"/>
        <w:ind w:left="567"/>
        <w:rPr>
          <w:lang w:eastAsia="fr-FR"/>
        </w:rPr>
      </w:pPr>
      <w:bookmarkStart w:id="386" w:name="_Toc197433828"/>
      <w:r w:rsidRPr="00662906">
        <w:rPr>
          <w:lang w:eastAsia="fr-FR"/>
        </w:rPr>
        <w:t>African Clean Cooking Initiative</w:t>
      </w:r>
      <w:bookmarkEnd w:id="386"/>
    </w:p>
    <w:p w14:paraId="6A800927" w14:textId="676A2EBD" w:rsidR="002B2FE3" w:rsidRPr="00662906" w:rsidRDefault="00FA49F1" w:rsidP="002B2FE3">
      <w:pPr>
        <w:rPr>
          <w:lang w:eastAsia="fr-FR"/>
        </w:rPr>
      </w:pPr>
      <w:r w:rsidRPr="00662906">
        <w:rPr>
          <w:lang w:eastAsia="fr-FR"/>
        </w:rPr>
        <w:t xml:space="preserve">AU is currently spearheading the African Clean Cooking Programme aimed at addressing the clean cooking challenge in Africa. As part of the initiative, the AU recently published on the status of clean cooking in Africa with concrete recommendations to how to address the challenge. </w:t>
      </w:r>
      <w:r w:rsidR="002B2FE3" w:rsidRPr="00662906">
        <w:rPr>
          <w:lang w:eastAsia="fr-FR"/>
        </w:rPr>
        <w:t xml:space="preserve">The report </w:t>
      </w:r>
      <w:r w:rsidR="002B2FE3" w:rsidRPr="00662906">
        <w:rPr>
          <w:i/>
          <w:iCs/>
          <w:lang w:eastAsia="fr-FR"/>
        </w:rPr>
        <w:t>Sustainable Scaling: Meeting the Clean Cooking Challenge in Africa provides</w:t>
      </w:r>
      <w:r w:rsidR="002B2FE3" w:rsidRPr="00662906">
        <w:rPr>
          <w:lang w:eastAsia="fr-FR"/>
        </w:rPr>
        <w:t xml:space="preserve"> a vital </w:t>
      </w:r>
      <w:r w:rsidRPr="00662906">
        <w:rPr>
          <w:lang w:eastAsia="fr-FR"/>
        </w:rPr>
        <w:t xml:space="preserve">benchmark </w:t>
      </w:r>
      <w:r w:rsidR="002B2FE3" w:rsidRPr="00662906">
        <w:rPr>
          <w:lang w:eastAsia="fr-FR"/>
        </w:rPr>
        <w:t>for understanding and addressing Africa’s clean cooking challenge and has directly informed the development of the ETSAP. It emphasizes the critical need to transition from traditional biomass-based cooking to modern and sustainable cooking technologies, which are essential for achieving both energy transition and socio-economic development goals across the continent.</w:t>
      </w:r>
      <w:r w:rsidR="00AA5462" w:rsidRPr="00662906">
        <w:rPr>
          <w:lang w:eastAsia="fr-FR"/>
        </w:rPr>
        <w:t xml:space="preserve"> </w:t>
      </w:r>
      <w:r w:rsidR="002B2FE3" w:rsidRPr="00662906">
        <w:rPr>
          <w:lang w:eastAsia="fr-FR"/>
        </w:rPr>
        <w:t>Central to the report is the recognition that the adoption of clean cooking solutions offers significant benefits, not only in reducing greenhouse gas emissions but also in improving public health, gender equality, economic development</w:t>
      </w:r>
      <w:r w:rsidR="00D5528F" w:rsidRPr="00662906">
        <w:rPr>
          <w:lang w:eastAsia="fr-FR"/>
        </w:rPr>
        <w:t xml:space="preserve">, health and </w:t>
      </w:r>
      <w:r w:rsidR="00FE2CC1" w:rsidRPr="00662906">
        <w:rPr>
          <w:lang w:eastAsia="fr-FR"/>
        </w:rPr>
        <w:t>climate</w:t>
      </w:r>
      <w:r w:rsidR="002B2FE3" w:rsidRPr="00662906">
        <w:rPr>
          <w:lang w:eastAsia="fr-FR"/>
        </w:rPr>
        <w:t>. Traditional cooking practices result in substantial negative externalities, including deforestation, indoor air pollution, and economic losses estimated at $791.4 billion annually. Addressing these challenges is a priority to ensure that Africa’s clean cooking transition contributes meaningfully to broader energy transition efforts.</w:t>
      </w:r>
    </w:p>
    <w:p w14:paraId="140DF24A" w14:textId="77777777" w:rsidR="002B2FE3" w:rsidRPr="00662906" w:rsidRDefault="002B2FE3" w:rsidP="002B2FE3">
      <w:pPr>
        <w:rPr>
          <w:lang w:eastAsia="fr-FR"/>
        </w:rPr>
      </w:pPr>
      <w:r w:rsidRPr="00662906">
        <w:rPr>
          <w:lang w:eastAsia="fr-FR"/>
        </w:rPr>
        <w:t xml:space="preserve">The report underscores the importance of African leadership in driving the clean cooking agenda. It advocates for the establishment of an </w:t>
      </w:r>
      <w:r w:rsidRPr="00662906">
        <w:rPr>
          <w:b/>
          <w:bCs/>
          <w:lang w:eastAsia="fr-FR"/>
        </w:rPr>
        <w:t>AU-led Africa Clean Cooking Facility (AfCCF),</w:t>
      </w:r>
      <w:r w:rsidRPr="00662906">
        <w:rPr>
          <w:lang w:eastAsia="fr-FR"/>
        </w:rPr>
        <w:t xml:space="preserve"> which would serve as a continental platform to coordinate technical and financial support for Member States. This aligns with ETSAP’s emphasis on building strong institutional frameworks and leveraging regional collaboration to address energy access challenges comprehensively.</w:t>
      </w:r>
    </w:p>
    <w:p w14:paraId="2137429D" w14:textId="77777777" w:rsidR="00FA49F1" w:rsidRPr="00662906" w:rsidRDefault="002B2FE3" w:rsidP="00C87E79">
      <w:pPr>
        <w:rPr>
          <w:lang w:eastAsia="fr-FR"/>
        </w:rPr>
      </w:pPr>
      <w:r w:rsidRPr="00662906">
        <w:rPr>
          <w:lang w:eastAsia="fr-FR"/>
        </w:rPr>
        <w:t xml:space="preserve">A key insight from the report is the need for multi-fuel strategies tailored to Africa’s diverse socio-cultural and economic contexts. It highlights the potential of renewable energy sources, such as solar, biogas, and electricity, alongside clean fuels like LPG, to meet varying cooking needs across urban, peri-urban, and rural areas. These strategies reflect the importance of balancing </w:t>
      </w:r>
      <w:r w:rsidRPr="00662906">
        <w:rPr>
          <w:b/>
          <w:bCs/>
          <w:lang w:eastAsia="fr-FR"/>
        </w:rPr>
        <w:t>affordability, resource availability, and cultural preferences</w:t>
      </w:r>
      <w:r w:rsidRPr="00662906">
        <w:rPr>
          <w:lang w:eastAsia="fr-FR"/>
        </w:rPr>
        <w:t>, principles that are also embedded in ETSAP’s approach to energy transitions.</w:t>
      </w:r>
      <w:r w:rsidR="00AA5462" w:rsidRPr="00662906">
        <w:rPr>
          <w:lang w:eastAsia="fr-FR"/>
        </w:rPr>
        <w:t xml:space="preserve"> </w:t>
      </w:r>
    </w:p>
    <w:p w14:paraId="6B8EF924" w14:textId="3616BC01" w:rsidR="0025270A" w:rsidRPr="00662906" w:rsidRDefault="002B2FE3" w:rsidP="00C87E79">
      <w:pPr>
        <w:rPr>
          <w:lang w:eastAsia="fr-FR"/>
        </w:rPr>
      </w:pPr>
      <w:r w:rsidRPr="00662906">
        <w:rPr>
          <w:lang w:eastAsia="fr-FR"/>
        </w:rPr>
        <w:t>The report identifies critical barriers to progress, including fragmented policies, insufficient financing, and underdeveloped supply chains for clean cooking technologies. It highlights the need to integrate clean cooking into national energy planning, ensuring that it is not treated as a siloed issue but rather as a strategic component of comprehensive energy and economic strategies. This integration is echoed in ETSAP’s holistic approach, which prioritizes inclusive planning and cross-sectoral synergies to maximize impact</w:t>
      </w:r>
      <w:r w:rsidR="00AA5462" w:rsidRPr="00662906">
        <w:rPr>
          <w:lang w:eastAsia="fr-FR"/>
        </w:rPr>
        <w:t xml:space="preserve">. </w:t>
      </w:r>
      <w:r w:rsidRPr="00662906">
        <w:rPr>
          <w:lang w:eastAsia="fr-FR"/>
        </w:rPr>
        <w:t>Financing mechanisms are another key focus of the report, emphasizing the importance of leveraging diverse funding streams, such as carbon finance, green climate funds, and public-private partnerships, to support clean cooking transitions. These recommendations align with ETSAP’s goal of mobilizing innovative financing solutions to address the high upfront costs associated with clean energy technologies.</w:t>
      </w:r>
      <w:r w:rsidR="00AA5462" w:rsidRPr="00662906">
        <w:rPr>
          <w:lang w:eastAsia="fr-FR"/>
        </w:rPr>
        <w:t xml:space="preserve"> </w:t>
      </w:r>
      <w:r w:rsidRPr="00662906">
        <w:rPr>
          <w:lang w:eastAsia="fr-FR"/>
        </w:rPr>
        <w:t>The report also stresses the role of infrastructure and technological innovation in accelerating clean cooking adoption. It highlights how improvements in electricity networks, digital infrastructure, and financial services can be leveraged to promote clean cooking solutions, particularly in urban areas where electrification rates are higher. ETSAP integrates this perspective by emphasizing the need to harness existing infrastructure developments to support energy transitions more broadly.</w:t>
      </w:r>
      <w:r w:rsidR="00AA5462" w:rsidRPr="00662906">
        <w:rPr>
          <w:lang w:eastAsia="fr-FR"/>
        </w:rPr>
        <w:t xml:space="preserve"> </w:t>
      </w:r>
      <w:r w:rsidRPr="00662906">
        <w:rPr>
          <w:lang w:eastAsia="fr-FR"/>
        </w:rPr>
        <w:t>Inclusivity is a central theme of the report, which calls for targeted efforts to ensure that clean cooking transitions are equitable and just. This includes addressing gender disparities, prioritizing vulnerable groups, and responding to socio-economic and cultural dynamics. These principles are deeply aligned with ETSAP’s cross-cutting focus on social inclusion, gender equity, and poverty alleviation as key pillars of Africa’s energy transition.</w:t>
      </w:r>
    </w:p>
    <w:p w14:paraId="55254D24" w14:textId="77777777" w:rsidR="00C87E79" w:rsidRPr="00662906" w:rsidRDefault="00C87E79" w:rsidP="009A0D6A">
      <w:pPr>
        <w:pStyle w:val="Heading3"/>
        <w:ind w:left="567"/>
        <w:rPr>
          <w:lang w:eastAsia="fr-FR"/>
        </w:rPr>
      </w:pPr>
      <w:bookmarkStart w:id="387" w:name="_Toc178937427"/>
      <w:bookmarkStart w:id="388" w:name="_Toc185519167"/>
      <w:bookmarkStart w:id="389" w:name="_Toc197433829"/>
      <w:r w:rsidRPr="00662906">
        <w:rPr>
          <w:lang w:eastAsia="fr-FR"/>
        </w:rPr>
        <w:lastRenderedPageBreak/>
        <w:t>Other projections for the development of the energy sector and related emissions</w:t>
      </w:r>
      <w:bookmarkEnd w:id="387"/>
      <w:bookmarkEnd w:id="388"/>
      <w:bookmarkEnd w:id="389"/>
    </w:p>
    <w:p w14:paraId="130D4B1A" w14:textId="1674FDBF" w:rsidR="00C87E79" w:rsidRPr="00662906" w:rsidRDefault="17AC3E0E" w:rsidP="00C87E79">
      <w:pPr>
        <w:rPr>
          <w:lang w:eastAsia="fr-FR"/>
        </w:rPr>
      </w:pPr>
      <w:r w:rsidRPr="00662906">
        <w:rPr>
          <w:lang w:eastAsia="fr-FR"/>
        </w:rPr>
        <w:t>IEA has developed two scenarios in the Africa Energy Outlook (2022), presenting energy demand and carbon emissions projection in the STEPS and the APS</w:t>
      </w:r>
      <w:r w:rsidR="00C87E79" w:rsidRPr="00662906">
        <w:rPr>
          <w:vertAlign w:val="superscript"/>
          <w:lang w:eastAsia="fr-FR"/>
        </w:rPr>
        <w:footnoteReference w:id="28"/>
      </w:r>
      <w:r w:rsidRPr="00662906">
        <w:rPr>
          <w:lang w:eastAsia="fr-FR"/>
        </w:rPr>
        <w:t xml:space="preserve">. </w:t>
      </w:r>
      <w:r w:rsidR="00C87E79" w:rsidRPr="00662906">
        <w:rPr>
          <w:lang w:eastAsia="fr-FR"/>
        </w:rPr>
        <w:fldChar w:fldCharType="begin"/>
      </w:r>
      <w:r w:rsidR="00C87E79" w:rsidRPr="00662906">
        <w:rPr>
          <w:lang w:eastAsia="fr-FR"/>
        </w:rPr>
        <w:instrText xml:space="preserve"> REF _Ref185444239 \h  \* MERGEFORMAT </w:instrText>
      </w:r>
      <w:r w:rsidR="00C87E79" w:rsidRPr="00662906">
        <w:rPr>
          <w:lang w:eastAsia="fr-FR"/>
        </w:rPr>
      </w:r>
      <w:r w:rsidR="00C87E79" w:rsidRPr="00662906">
        <w:rPr>
          <w:lang w:eastAsia="fr-FR"/>
        </w:rPr>
        <w:fldChar w:fldCharType="separate"/>
      </w:r>
      <w:r w:rsidR="00610F61" w:rsidRPr="00610F61">
        <w:rPr>
          <w:lang w:eastAsia="fr-FR"/>
        </w:rPr>
        <w:t>Table 11</w:t>
      </w:r>
      <w:r w:rsidR="00C87E79" w:rsidRPr="00662906">
        <w:rPr>
          <w:lang w:eastAsia="fr-FR"/>
        </w:rPr>
        <w:fldChar w:fldCharType="end"/>
      </w:r>
      <w:r w:rsidRPr="00662906">
        <w:rPr>
          <w:lang w:eastAsia="fr-FR"/>
        </w:rPr>
        <w:t xml:space="preserve"> presents the projected fuel demand, electricity generation and CO</w:t>
      </w:r>
      <w:r w:rsidRPr="00662906">
        <w:rPr>
          <w:vertAlign w:val="subscript"/>
          <w:lang w:eastAsia="fr-FR"/>
        </w:rPr>
        <w:t xml:space="preserve">2 </w:t>
      </w:r>
      <w:r w:rsidRPr="00662906">
        <w:rPr>
          <w:lang w:eastAsia="fr-FR"/>
        </w:rPr>
        <w:t>emissions from 2010 to 2050 in these scenarios. The projected electricity demand in the Continental Masterplan integration scenarios (full regional and full continental integration as discussed in Section 2.4.1) reaches 1.7</w:t>
      </w:r>
      <w:r w:rsidR="00F504D0" w:rsidRPr="00662906">
        <w:rPr>
          <w:lang w:eastAsia="fr-FR"/>
        </w:rPr>
        <w:t xml:space="preserve"> Petawatt hour (</w:t>
      </w:r>
      <w:r w:rsidRPr="00662906">
        <w:rPr>
          <w:lang w:eastAsia="fr-FR"/>
        </w:rPr>
        <w:t>PWh</w:t>
      </w:r>
      <w:r w:rsidR="00F504D0" w:rsidRPr="00662906">
        <w:rPr>
          <w:lang w:eastAsia="fr-FR"/>
        </w:rPr>
        <w:t>)</w:t>
      </w:r>
      <w:r w:rsidRPr="00662906">
        <w:rPr>
          <w:lang w:eastAsia="fr-FR"/>
        </w:rPr>
        <w:t xml:space="preserve"> in 2030, which is higher than the 1.3PWh in the IEA APS scenario and 3.4PWh in 2040, higher than the estimated 2.6PWh in the IEA APS scenario. </w:t>
      </w:r>
    </w:p>
    <w:p w14:paraId="0006E2F1" w14:textId="0CACEB3D" w:rsidR="00C87E79" w:rsidRPr="00662906" w:rsidRDefault="00C87E79" w:rsidP="00C87E79">
      <w:pPr>
        <w:rPr>
          <w:lang w:eastAsia="fr-FR"/>
        </w:rPr>
      </w:pPr>
      <w:r w:rsidRPr="00662906">
        <w:rPr>
          <w:lang w:eastAsia="fr-FR"/>
        </w:rPr>
        <w:t>The projections presented by IEA show that by 2050 66% of generated electricity under STEPS could come from RES, while in APS this share could increase to 89%. Solar PV is the dominant RES technology providing 23% of generation in 2050 in STEPS and 48% in APS, while wind contributes 13% of generation in STEPS and 15% in APS in 2050 respectively. In the APS, new natural gas power still comes online in sub-Saharan Africa, hence Africa’s growing energy needs mean a degree of reliance on fossil fuels before a full transition to clean energy takes place.</w:t>
      </w:r>
      <w:r w:rsidRPr="00662906">
        <w:rPr>
          <w:b/>
          <w:bCs/>
          <w:lang w:eastAsia="fr-FR"/>
        </w:rPr>
        <w:t xml:space="preserve"> </w:t>
      </w:r>
      <w:r w:rsidRPr="00662906">
        <w:rPr>
          <w:lang w:eastAsia="fr-FR"/>
        </w:rPr>
        <w:t xml:space="preserve">Besides generating power, natural gas plants also help stabilize the grid and support regional power networks like the West African Power Pool. In the same APS scenario, while new natural gas power plants continue to be built in sub-Saharan Africa, there is limited growth in North Africa, as the Member States of that region are increasingly migrating towards more renewables to meet their energy demand in line with their long-term climate goals. </w:t>
      </w:r>
    </w:p>
    <w:p w14:paraId="233CD766" w14:textId="4F7D162B" w:rsidR="00C87E79" w:rsidRPr="00662906" w:rsidRDefault="00C87E79" w:rsidP="00C87E79">
      <w:pPr>
        <w:rPr>
          <w:i/>
          <w:iCs/>
          <w:color w:val="B4A269" w:themeColor="text2"/>
          <w:sz w:val="18"/>
          <w:szCs w:val="18"/>
        </w:rPr>
      </w:pPr>
      <w:bookmarkStart w:id="390" w:name="_Ref185444239"/>
      <w:bookmarkStart w:id="391" w:name="_Toc197433899"/>
      <w:r w:rsidRPr="00662906">
        <w:rPr>
          <w:i/>
          <w:iCs/>
          <w:color w:val="B4A269" w:themeColor="text2"/>
          <w:sz w:val="18"/>
          <w:szCs w:val="18"/>
        </w:rPr>
        <w:t xml:space="preserve">Table </w:t>
      </w:r>
      <w:r w:rsidRPr="00662906">
        <w:rPr>
          <w:i/>
          <w:iCs/>
          <w:color w:val="B4A269" w:themeColor="text2"/>
          <w:sz w:val="18"/>
          <w:szCs w:val="18"/>
        </w:rPr>
        <w:fldChar w:fldCharType="begin"/>
      </w:r>
      <w:r w:rsidRPr="00662906">
        <w:rPr>
          <w:i/>
          <w:iCs/>
          <w:color w:val="B4A269" w:themeColor="text2"/>
          <w:sz w:val="18"/>
          <w:szCs w:val="18"/>
        </w:rPr>
        <w:instrText xml:space="preserve"> SEQ Table \* ARABIC </w:instrText>
      </w:r>
      <w:r w:rsidRPr="00662906">
        <w:rPr>
          <w:i/>
          <w:iCs/>
          <w:color w:val="B4A269" w:themeColor="text2"/>
          <w:sz w:val="18"/>
          <w:szCs w:val="18"/>
        </w:rPr>
        <w:fldChar w:fldCharType="separate"/>
      </w:r>
      <w:r w:rsidR="00610F61">
        <w:rPr>
          <w:i/>
          <w:iCs/>
          <w:noProof/>
          <w:color w:val="B4A269" w:themeColor="text2"/>
          <w:sz w:val="18"/>
          <w:szCs w:val="18"/>
        </w:rPr>
        <w:t>11</w:t>
      </w:r>
      <w:r w:rsidRPr="00662906">
        <w:rPr>
          <w:i/>
          <w:iCs/>
          <w:color w:val="B4A269" w:themeColor="text2"/>
          <w:sz w:val="18"/>
          <w:szCs w:val="18"/>
        </w:rPr>
        <w:fldChar w:fldCharType="end"/>
      </w:r>
      <w:bookmarkEnd w:id="390"/>
      <w:r w:rsidRPr="00662906">
        <w:rPr>
          <w:i/>
          <w:iCs/>
          <w:color w:val="B4A269" w:themeColor="text2"/>
          <w:sz w:val="18"/>
          <w:szCs w:val="18"/>
        </w:rPr>
        <w:t>: IEA projections for the STEPS and APS scenarios 2010 to 2050</w:t>
      </w:r>
      <w:bookmarkEnd w:id="391"/>
    </w:p>
    <w:tbl>
      <w:tblPr>
        <w:tblW w:w="0" w:type="auto"/>
        <w:tblLayout w:type="fixed"/>
        <w:tblLook w:val="04A0" w:firstRow="1" w:lastRow="0" w:firstColumn="1" w:lastColumn="0" w:noHBand="0" w:noVBand="1"/>
      </w:tblPr>
      <w:tblGrid>
        <w:gridCol w:w="3198"/>
        <w:gridCol w:w="1493"/>
        <w:gridCol w:w="1082"/>
        <w:gridCol w:w="882"/>
        <w:gridCol w:w="932"/>
        <w:gridCol w:w="945"/>
      </w:tblGrid>
      <w:tr w:rsidR="00C87E79" w:rsidRPr="00662906" w14:paraId="5A400C9E" w14:textId="77777777" w:rsidTr="00B20027">
        <w:trPr>
          <w:trHeight w:val="300"/>
        </w:trPr>
        <w:tc>
          <w:tcPr>
            <w:tcW w:w="3198" w:type="dxa"/>
            <w:tcBorders>
              <w:top w:val="nil"/>
              <w:left w:val="nil"/>
              <w:bottom w:val="single" w:sz="8" w:space="0" w:color="auto"/>
              <w:right w:val="nil"/>
            </w:tcBorders>
            <w:tcMar>
              <w:left w:w="108" w:type="dxa"/>
              <w:right w:w="108" w:type="dxa"/>
            </w:tcMar>
            <w:vAlign w:val="bottom"/>
          </w:tcPr>
          <w:p w14:paraId="70201F19" w14:textId="77777777" w:rsidR="00C87E79" w:rsidRPr="00662906" w:rsidRDefault="00C87E79" w:rsidP="00C87E79">
            <w:pPr>
              <w:rPr>
                <w:sz w:val="18"/>
                <w:szCs w:val="18"/>
                <w:lang w:eastAsia="fr-FR"/>
              </w:rPr>
            </w:pPr>
          </w:p>
        </w:tc>
        <w:tc>
          <w:tcPr>
            <w:tcW w:w="1493" w:type="dxa"/>
            <w:tcBorders>
              <w:top w:val="nil"/>
              <w:left w:val="nil"/>
              <w:bottom w:val="single" w:sz="8" w:space="0" w:color="auto"/>
              <w:right w:val="single" w:sz="8" w:space="0" w:color="auto"/>
            </w:tcBorders>
            <w:tcMar>
              <w:left w:w="108" w:type="dxa"/>
              <w:right w:w="108" w:type="dxa"/>
            </w:tcMar>
          </w:tcPr>
          <w:p w14:paraId="1B55EEA8" w14:textId="77777777" w:rsidR="00C87E79" w:rsidRPr="00662906" w:rsidRDefault="00C87E79" w:rsidP="00C87E79">
            <w:pPr>
              <w:rPr>
                <w:b/>
                <w:bCs/>
                <w:sz w:val="18"/>
                <w:szCs w:val="18"/>
                <w:lang w:eastAsia="fr-FR"/>
              </w:rPr>
            </w:pPr>
            <w:r w:rsidRPr="00662906">
              <w:rPr>
                <w:b/>
                <w:bCs/>
                <w:sz w:val="18"/>
                <w:szCs w:val="18"/>
                <w:lang w:eastAsia="fr-FR"/>
              </w:rPr>
              <w:t>Scenario</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B15E26" w14:textId="77777777" w:rsidR="00C87E79" w:rsidRPr="00662906" w:rsidRDefault="00C87E79" w:rsidP="00B20027">
            <w:pPr>
              <w:jc w:val="center"/>
              <w:rPr>
                <w:b/>
                <w:bCs/>
                <w:sz w:val="18"/>
                <w:szCs w:val="18"/>
                <w:lang w:eastAsia="fr-FR"/>
              </w:rPr>
            </w:pPr>
            <w:r w:rsidRPr="00662906">
              <w:rPr>
                <w:b/>
                <w:bCs/>
                <w:sz w:val="18"/>
                <w:szCs w:val="18"/>
                <w:lang w:eastAsia="fr-FR"/>
              </w:rPr>
              <w:t>2010</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75BDB6" w14:textId="77777777" w:rsidR="00C87E79" w:rsidRPr="00662906" w:rsidRDefault="00C87E79" w:rsidP="00B20027">
            <w:pPr>
              <w:jc w:val="center"/>
              <w:rPr>
                <w:b/>
                <w:bCs/>
                <w:sz w:val="18"/>
                <w:szCs w:val="18"/>
                <w:lang w:eastAsia="fr-FR"/>
              </w:rPr>
            </w:pPr>
            <w:r w:rsidRPr="00662906">
              <w:rPr>
                <w:b/>
                <w:bCs/>
                <w:sz w:val="18"/>
                <w:szCs w:val="18"/>
                <w:lang w:eastAsia="fr-FR"/>
              </w:rPr>
              <w:t>2022</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FBA3CA" w14:textId="77777777" w:rsidR="00C87E79" w:rsidRPr="00662906" w:rsidRDefault="00C87E79" w:rsidP="00B20027">
            <w:pPr>
              <w:jc w:val="center"/>
              <w:rPr>
                <w:b/>
                <w:bCs/>
                <w:sz w:val="18"/>
                <w:szCs w:val="18"/>
                <w:lang w:eastAsia="fr-FR"/>
              </w:rPr>
            </w:pPr>
            <w:r w:rsidRPr="00662906">
              <w:rPr>
                <w:b/>
                <w:bCs/>
                <w:sz w:val="18"/>
                <w:szCs w:val="18"/>
                <w:lang w:eastAsia="fr-FR"/>
              </w:rPr>
              <w:t>2030</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C770D3" w14:textId="77777777" w:rsidR="00C87E79" w:rsidRPr="00662906" w:rsidRDefault="00C87E79" w:rsidP="00B20027">
            <w:pPr>
              <w:jc w:val="center"/>
              <w:rPr>
                <w:b/>
                <w:bCs/>
                <w:sz w:val="18"/>
                <w:szCs w:val="18"/>
                <w:lang w:eastAsia="fr-FR"/>
              </w:rPr>
            </w:pPr>
            <w:r w:rsidRPr="00662906">
              <w:rPr>
                <w:b/>
                <w:bCs/>
                <w:sz w:val="18"/>
                <w:szCs w:val="18"/>
                <w:lang w:eastAsia="fr-FR"/>
              </w:rPr>
              <w:t>2050</w:t>
            </w:r>
          </w:p>
        </w:tc>
      </w:tr>
      <w:tr w:rsidR="00C87E79" w:rsidRPr="00662906" w14:paraId="67EB1A58"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30EB8D" w14:textId="77777777" w:rsidR="00C87E79" w:rsidRPr="00662906" w:rsidRDefault="00C87E79" w:rsidP="00C87E79">
            <w:pPr>
              <w:rPr>
                <w:b/>
                <w:bCs/>
                <w:sz w:val="18"/>
                <w:szCs w:val="18"/>
                <w:lang w:eastAsia="fr-FR"/>
              </w:rPr>
            </w:pPr>
            <w:r w:rsidRPr="00662906">
              <w:rPr>
                <w:b/>
                <w:bCs/>
                <w:sz w:val="18"/>
                <w:szCs w:val="18"/>
                <w:lang w:eastAsia="fr-FR"/>
              </w:rPr>
              <w:t>Oil Demand mb/d</w:t>
            </w: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DC97E79"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5EAA2" w14:textId="77777777" w:rsidR="00C87E79" w:rsidRPr="00662906" w:rsidRDefault="00C87E79" w:rsidP="00B20027">
            <w:pPr>
              <w:jc w:val="center"/>
              <w:rPr>
                <w:sz w:val="18"/>
                <w:szCs w:val="18"/>
                <w:lang w:eastAsia="fr-FR"/>
              </w:rPr>
            </w:pPr>
            <w:r w:rsidRPr="00662906">
              <w:rPr>
                <w:sz w:val="18"/>
                <w:szCs w:val="18"/>
                <w:lang w:eastAsia="fr-FR"/>
              </w:rPr>
              <w:t>3.3</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071A4D" w14:textId="77777777" w:rsidR="00C87E79" w:rsidRPr="00662906" w:rsidRDefault="00C87E79" w:rsidP="00B20027">
            <w:pPr>
              <w:jc w:val="center"/>
              <w:rPr>
                <w:sz w:val="18"/>
                <w:szCs w:val="18"/>
                <w:lang w:eastAsia="fr-FR"/>
              </w:rPr>
            </w:pPr>
            <w:r w:rsidRPr="00662906">
              <w:rPr>
                <w:sz w:val="18"/>
                <w:szCs w:val="18"/>
                <w:lang w:eastAsia="fr-FR"/>
              </w:rPr>
              <w:t>4</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88C075" w14:textId="77777777" w:rsidR="00C87E79" w:rsidRPr="00662906" w:rsidRDefault="00C87E79" w:rsidP="00B20027">
            <w:pPr>
              <w:jc w:val="center"/>
              <w:rPr>
                <w:sz w:val="18"/>
                <w:szCs w:val="18"/>
                <w:lang w:eastAsia="fr-FR"/>
              </w:rPr>
            </w:pPr>
            <w:r w:rsidRPr="00662906">
              <w:rPr>
                <w:sz w:val="18"/>
                <w:szCs w:val="18"/>
                <w:lang w:eastAsia="fr-FR"/>
              </w:rPr>
              <w:t>4.7</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4C2318" w14:textId="77777777" w:rsidR="00C87E79" w:rsidRPr="00662906" w:rsidRDefault="00C87E79" w:rsidP="00B20027">
            <w:pPr>
              <w:jc w:val="center"/>
              <w:rPr>
                <w:sz w:val="18"/>
                <w:szCs w:val="18"/>
                <w:lang w:eastAsia="fr-FR"/>
              </w:rPr>
            </w:pPr>
            <w:r w:rsidRPr="00662906">
              <w:rPr>
                <w:sz w:val="18"/>
                <w:szCs w:val="18"/>
                <w:lang w:eastAsia="fr-FR"/>
              </w:rPr>
              <w:t>7.7</w:t>
            </w:r>
          </w:p>
        </w:tc>
      </w:tr>
      <w:tr w:rsidR="00C87E79" w:rsidRPr="00662906" w14:paraId="1B1F97C0"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5E9EE0"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01C958"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962A3B" w14:textId="77777777" w:rsidR="00C87E79" w:rsidRPr="00662906" w:rsidRDefault="00C87E79" w:rsidP="00B20027">
            <w:pPr>
              <w:jc w:val="center"/>
              <w:rPr>
                <w:sz w:val="18"/>
                <w:szCs w:val="18"/>
                <w:lang w:eastAsia="fr-FR"/>
              </w:rPr>
            </w:pPr>
            <w:r w:rsidRPr="00662906">
              <w:rPr>
                <w:sz w:val="18"/>
                <w:szCs w:val="18"/>
                <w:lang w:eastAsia="fr-FR"/>
              </w:rPr>
              <w:t>3.3</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DEFD8A" w14:textId="77777777" w:rsidR="00C87E79" w:rsidRPr="00662906" w:rsidRDefault="00C87E79" w:rsidP="00B20027">
            <w:pPr>
              <w:jc w:val="center"/>
              <w:rPr>
                <w:sz w:val="18"/>
                <w:szCs w:val="18"/>
                <w:lang w:eastAsia="fr-FR"/>
              </w:rPr>
            </w:pPr>
            <w:r w:rsidRPr="00662906">
              <w:rPr>
                <w:sz w:val="18"/>
                <w:szCs w:val="18"/>
                <w:lang w:eastAsia="fr-FR"/>
              </w:rPr>
              <w:t>4</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B16462" w14:textId="77777777" w:rsidR="00C87E79" w:rsidRPr="00662906" w:rsidRDefault="00C87E79" w:rsidP="00B20027">
            <w:pPr>
              <w:jc w:val="center"/>
              <w:rPr>
                <w:sz w:val="18"/>
                <w:szCs w:val="18"/>
                <w:lang w:eastAsia="fr-FR"/>
              </w:rPr>
            </w:pPr>
            <w:r w:rsidRPr="00662906">
              <w:rPr>
                <w:sz w:val="18"/>
                <w:szCs w:val="18"/>
                <w:lang w:eastAsia="fr-FR"/>
              </w:rPr>
              <w:t>4.5</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64E7DB" w14:textId="77777777" w:rsidR="00C87E79" w:rsidRPr="00662906" w:rsidRDefault="00C87E79" w:rsidP="00B20027">
            <w:pPr>
              <w:jc w:val="center"/>
              <w:rPr>
                <w:sz w:val="18"/>
                <w:szCs w:val="18"/>
                <w:lang w:eastAsia="fr-FR"/>
              </w:rPr>
            </w:pPr>
            <w:r w:rsidRPr="00662906">
              <w:rPr>
                <w:sz w:val="18"/>
                <w:szCs w:val="18"/>
                <w:lang w:eastAsia="fr-FR"/>
              </w:rPr>
              <w:t>5.4</w:t>
            </w:r>
          </w:p>
        </w:tc>
      </w:tr>
      <w:tr w:rsidR="00C87E79" w:rsidRPr="00662906" w14:paraId="230B3D65"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260D5667" w14:textId="0B15F8A9" w:rsidR="00C87E79" w:rsidRPr="00662906" w:rsidRDefault="00C87E79" w:rsidP="00C87E79">
            <w:pPr>
              <w:rPr>
                <w:b/>
                <w:bCs/>
                <w:sz w:val="18"/>
                <w:szCs w:val="18"/>
                <w:lang w:eastAsia="fr-FR"/>
              </w:rPr>
            </w:pPr>
            <w:r w:rsidRPr="00662906">
              <w:rPr>
                <w:b/>
                <w:bCs/>
                <w:sz w:val="18"/>
                <w:szCs w:val="18"/>
                <w:lang w:eastAsia="fr-FR"/>
              </w:rPr>
              <w:t>Natural Gas Demand (</w:t>
            </w:r>
            <w:r w:rsidR="00F504D0" w:rsidRPr="00662906">
              <w:rPr>
                <w:b/>
                <w:bCs/>
                <w:sz w:val="18"/>
                <w:szCs w:val="18"/>
                <w:lang w:eastAsia="fr-FR"/>
              </w:rPr>
              <w:t xml:space="preserve">Billion </w:t>
            </w:r>
            <w:r w:rsidR="001B08A4" w:rsidRPr="00662906">
              <w:rPr>
                <w:b/>
                <w:bCs/>
                <w:sz w:val="18"/>
                <w:szCs w:val="18"/>
                <w:lang w:eastAsia="fr-FR"/>
              </w:rPr>
              <w:t>c</w:t>
            </w:r>
            <w:r w:rsidR="00F504D0" w:rsidRPr="00662906">
              <w:rPr>
                <w:b/>
                <w:bCs/>
                <w:sz w:val="18"/>
                <w:szCs w:val="18"/>
                <w:lang w:eastAsia="fr-FR"/>
              </w:rPr>
              <w:t xml:space="preserve">ubic </w:t>
            </w:r>
            <w:r w:rsidR="001B08A4" w:rsidRPr="00662906">
              <w:rPr>
                <w:b/>
                <w:bCs/>
                <w:sz w:val="18"/>
                <w:szCs w:val="18"/>
                <w:lang w:eastAsia="fr-FR"/>
              </w:rPr>
              <w:t>m</w:t>
            </w:r>
            <w:r w:rsidR="00F504D0" w:rsidRPr="00662906">
              <w:rPr>
                <w:b/>
                <w:bCs/>
                <w:sz w:val="18"/>
                <w:szCs w:val="18"/>
                <w:lang w:eastAsia="fr-FR"/>
              </w:rPr>
              <w:t>etres (</w:t>
            </w:r>
            <w:r w:rsidR="001B08A4" w:rsidRPr="00662906">
              <w:rPr>
                <w:b/>
                <w:bCs/>
                <w:sz w:val="18"/>
                <w:szCs w:val="18"/>
                <w:lang w:eastAsia="fr-FR"/>
              </w:rPr>
              <w:t>B</w:t>
            </w:r>
            <w:r w:rsidRPr="00662906">
              <w:rPr>
                <w:b/>
                <w:bCs/>
                <w:sz w:val="18"/>
                <w:szCs w:val="18"/>
                <w:lang w:eastAsia="fr-FR"/>
              </w:rPr>
              <w:t>cm</w:t>
            </w:r>
            <w:r w:rsidR="00F504D0" w:rsidRPr="00662906">
              <w:rPr>
                <w:b/>
                <w:bCs/>
                <w:sz w:val="18"/>
                <w:szCs w:val="18"/>
                <w:lang w:eastAsia="fr-FR"/>
              </w:rPr>
              <w:t>)</w:t>
            </w:r>
            <w:r w:rsidRPr="00662906">
              <w:rPr>
                <w:b/>
                <w:bCs/>
                <w:sz w:val="18"/>
                <w:szCs w:val="18"/>
                <w:lang w:eastAsia="fr-FR"/>
              </w:rPr>
              <w:t>)</w:t>
            </w: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68B862FD"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04BA7F3F" w14:textId="77777777" w:rsidR="00C87E79" w:rsidRPr="00662906" w:rsidRDefault="00C87E79" w:rsidP="00B20027">
            <w:pPr>
              <w:jc w:val="center"/>
              <w:rPr>
                <w:sz w:val="18"/>
                <w:szCs w:val="18"/>
                <w:lang w:eastAsia="fr-FR"/>
              </w:rPr>
            </w:pPr>
            <w:r w:rsidRPr="00662906">
              <w:rPr>
                <w:sz w:val="18"/>
                <w:szCs w:val="18"/>
                <w:lang w:eastAsia="fr-FR"/>
              </w:rPr>
              <w:t>106</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01B0469E" w14:textId="77777777" w:rsidR="00C87E79" w:rsidRPr="00662906" w:rsidRDefault="00C87E79" w:rsidP="00B20027">
            <w:pPr>
              <w:jc w:val="center"/>
              <w:rPr>
                <w:sz w:val="18"/>
                <w:szCs w:val="18"/>
                <w:lang w:eastAsia="fr-FR"/>
              </w:rPr>
            </w:pPr>
            <w:r w:rsidRPr="00662906">
              <w:rPr>
                <w:sz w:val="18"/>
                <w:szCs w:val="18"/>
                <w:lang w:eastAsia="fr-FR"/>
              </w:rPr>
              <w:t>170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6291CDC0" w14:textId="77777777" w:rsidR="00C87E79" w:rsidRPr="00662906" w:rsidRDefault="00C87E79" w:rsidP="00B20027">
            <w:pPr>
              <w:jc w:val="center"/>
              <w:rPr>
                <w:sz w:val="18"/>
                <w:szCs w:val="18"/>
                <w:lang w:eastAsia="fr-FR"/>
              </w:rPr>
            </w:pPr>
            <w:r w:rsidRPr="00662906">
              <w:rPr>
                <w:sz w:val="18"/>
                <w:szCs w:val="18"/>
                <w:lang w:eastAsia="fr-FR"/>
              </w:rPr>
              <w:t>202</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0E8F1AFE" w14:textId="77777777" w:rsidR="00C87E79" w:rsidRPr="00662906" w:rsidRDefault="00C87E79" w:rsidP="00B20027">
            <w:pPr>
              <w:jc w:val="center"/>
              <w:rPr>
                <w:sz w:val="18"/>
                <w:szCs w:val="18"/>
                <w:lang w:eastAsia="fr-FR"/>
              </w:rPr>
            </w:pPr>
            <w:r w:rsidRPr="00662906">
              <w:rPr>
                <w:sz w:val="18"/>
                <w:szCs w:val="18"/>
                <w:lang w:eastAsia="fr-FR"/>
              </w:rPr>
              <w:t>277</w:t>
            </w:r>
          </w:p>
        </w:tc>
      </w:tr>
      <w:tr w:rsidR="00C87E79" w:rsidRPr="00662906" w14:paraId="304F8B35"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013F0B3C"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6A9EB178"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650B3D08" w14:textId="77777777" w:rsidR="00C87E79" w:rsidRPr="00662906" w:rsidRDefault="00C87E79" w:rsidP="00B20027">
            <w:pPr>
              <w:jc w:val="center"/>
              <w:rPr>
                <w:sz w:val="18"/>
                <w:szCs w:val="18"/>
                <w:lang w:eastAsia="fr-FR"/>
              </w:rPr>
            </w:pPr>
            <w:r w:rsidRPr="00662906">
              <w:rPr>
                <w:sz w:val="18"/>
                <w:szCs w:val="18"/>
                <w:lang w:eastAsia="fr-FR"/>
              </w:rPr>
              <w:t>106</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7B314B8C" w14:textId="77777777" w:rsidR="00C87E79" w:rsidRPr="00662906" w:rsidRDefault="00C87E79" w:rsidP="00B20027">
            <w:pPr>
              <w:jc w:val="center"/>
              <w:rPr>
                <w:sz w:val="18"/>
                <w:szCs w:val="18"/>
                <w:lang w:eastAsia="fr-FR"/>
              </w:rPr>
            </w:pPr>
            <w:r w:rsidRPr="00662906">
              <w:rPr>
                <w:sz w:val="18"/>
                <w:szCs w:val="18"/>
                <w:lang w:eastAsia="fr-FR"/>
              </w:rPr>
              <w:t>170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D2C2C6D" w14:textId="77777777" w:rsidR="00C87E79" w:rsidRPr="00662906" w:rsidRDefault="00C87E79" w:rsidP="00B20027">
            <w:pPr>
              <w:jc w:val="center"/>
              <w:rPr>
                <w:sz w:val="18"/>
                <w:szCs w:val="18"/>
                <w:lang w:eastAsia="fr-FR"/>
              </w:rPr>
            </w:pPr>
            <w:r w:rsidRPr="00662906">
              <w:rPr>
                <w:sz w:val="18"/>
                <w:szCs w:val="18"/>
                <w:lang w:eastAsia="fr-FR"/>
              </w:rPr>
              <w:t>182</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12B1211A" w14:textId="77777777" w:rsidR="00C87E79" w:rsidRPr="00662906" w:rsidRDefault="00C87E79" w:rsidP="00B20027">
            <w:pPr>
              <w:jc w:val="center"/>
              <w:rPr>
                <w:sz w:val="18"/>
                <w:szCs w:val="18"/>
                <w:lang w:eastAsia="fr-FR"/>
              </w:rPr>
            </w:pPr>
            <w:r w:rsidRPr="00662906">
              <w:rPr>
                <w:sz w:val="18"/>
                <w:szCs w:val="18"/>
                <w:lang w:eastAsia="fr-FR"/>
              </w:rPr>
              <w:t>182</w:t>
            </w:r>
          </w:p>
        </w:tc>
      </w:tr>
      <w:tr w:rsidR="00C87E79" w:rsidRPr="00662906" w14:paraId="413B6480"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69C42E6" w14:textId="50E84F6C" w:rsidR="00C87E79" w:rsidRPr="00662906" w:rsidRDefault="00C87E79" w:rsidP="00C87E79">
            <w:pPr>
              <w:rPr>
                <w:b/>
                <w:bCs/>
                <w:sz w:val="18"/>
                <w:szCs w:val="18"/>
                <w:lang w:eastAsia="fr-FR"/>
              </w:rPr>
            </w:pPr>
            <w:r w:rsidRPr="00662906">
              <w:rPr>
                <w:b/>
                <w:bCs/>
                <w:sz w:val="18"/>
                <w:szCs w:val="18"/>
                <w:lang w:eastAsia="fr-FR"/>
              </w:rPr>
              <w:t>Coal Demand (</w:t>
            </w:r>
            <w:r w:rsidR="00AE7D1F" w:rsidRPr="00662906">
              <w:rPr>
                <w:b/>
                <w:bCs/>
                <w:sz w:val="18"/>
                <w:szCs w:val="18"/>
                <w:lang w:eastAsia="fr-FR"/>
              </w:rPr>
              <w:t>Megaton</w:t>
            </w:r>
            <w:r w:rsidR="00950B91" w:rsidRPr="00662906">
              <w:rPr>
                <w:b/>
                <w:bCs/>
                <w:sz w:val="18"/>
                <w:szCs w:val="18"/>
                <w:lang w:eastAsia="fr-FR"/>
              </w:rPr>
              <w:t xml:space="preserve"> of Coal Equivalent (</w:t>
            </w:r>
            <w:r w:rsidRPr="00662906">
              <w:rPr>
                <w:b/>
                <w:bCs/>
                <w:sz w:val="18"/>
                <w:szCs w:val="18"/>
                <w:lang w:eastAsia="fr-FR"/>
              </w:rPr>
              <w:t>Mtce</w:t>
            </w:r>
            <w:r w:rsidR="00950B91" w:rsidRPr="00662906">
              <w:rPr>
                <w:b/>
                <w:bCs/>
                <w:sz w:val="18"/>
                <w:szCs w:val="18"/>
                <w:lang w:eastAsia="fr-FR"/>
              </w:rPr>
              <w:t>)</w:t>
            </w:r>
            <w:r w:rsidRPr="00662906">
              <w:rPr>
                <w:b/>
                <w:bCs/>
                <w:sz w:val="18"/>
                <w:szCs w:val="18"/>
                <w:lang w:eastAsia="fr-FR"/>
              </w:rPr>
              <w:t>)</w:t>
            </w: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BF58CE"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BEBC5D" w14:textId="77777777" w:rsidR="00C87E79" w:rsidRPr="00662906" w:rsidRDefault="00C87E79" w:rsidP="00B20027">
            <w:pPr>
              <w:jc w:val="center"/>
              <w:rPr>
                <w:sz w:val="18"/>
                <w:szCs w:val="18"/>
                <w:lang w:eastAsia="fr-FR"/>
              </w:rPr>
            </w:pPr>
            <w:r w:rsidRPr="00662906">
              <w:rPr>
                <w:sz w:val="18"/>
                <w:szCs w:val="18"/>
                <w:lang w:eastAsia="fr-FR"/>
              </w:rPr>
              <w:t>155</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4D1A58" w14:textId="77777777" w:rsidR="00C87E79" w:rsidRPr="00662906" w:rsidRDefault="00C87E79" w:rsidP="00B20027">
            <w:pPr>
              <w:jc w:val="center"/>
              <w:rPr>
                <w:sz w:val="18"/>
                <w:szCs w:val="18"/>
                <w:lang w:eastAsia="fr-FR"/>
              </w:rPr>
            </w:pPr>
            <w:r w:rsidRPr="00662906">
              <w:rPr>
                <w:sz w:val="18"/>
                <w:szCs w:val="18"/>
                <w:lang w:eastAsia="fr-FR"/>
              </w:rPr>
              <w:t>146</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F884A6" w14:textId="77777777" w:rsidR="00C87E79" w:rsidRPr="00662906" w:rsidRDefault="00C87E79" w:rsidP="00B20027">
            <w:pPr>
              <w:jc w:val="center"/>
              <w:rPr>
                <w:sz w:val="18"/>
                <w:szCs w:val="18"/>
                <w:lang w:eastAsia="fr-FR"/>
              </w:rPr>
            </w:pPr>
            <w:r w:rsidRPr="00662906">
              <w:rPr>
                <w:sz w:val="18"/>
                <w:szCs w:val="18"/>
                <w:lang w:eastAsia="fr-FR"/>
              </w:rPr>
              <w:t>130</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05B69C" w14:textId="77777777" w:rsidR="00C87E79" w:rsidRPr="00662906" w:rsidRDefault="00C87E79" w:rsidP="00B20027">
            <w:pPr>
              <w:jc w:val="center"/>
              <w:rPr>
                <w:sz w:val="18"/>
                <w:szCs w:val="18"/>
                <w:lang w:eastAsia="fr-FR"/>
              </w:rPr>
            </w:pPr>
            <w:r w:rsidRPr="00662906">
              <w:rPr>
                <w:sz w:val="18"/>
                <w:szCs w:val="18"/>
                <w:lang w:eastAsia="fr-FR"/>
              </w:rPr>
              <w:t>110</w:t>
            </w:r>
          </w:p>
        </w:tc>
      </w:tr>
      <w:tr w:rsidR="00C87E79" w:rsidRPr="00662906" w14:paraId="2A6AFC59"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8B5692"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84F13C"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276E9B" w14:textId="77777777" w:rsidR="00C87E79" w:rsidRPr="00662906" w:rsidRDefault="00C87E79" w:rsidP="00B20027">
            <w:pPr>
              <w:jc w:val="center"/>
              <w:rPr>
                <w:sz w:val="18"/>
                <w:szCs w:val="18"/>
                <w:lang w:eastAsia="fr-FR"/>
              </w:rPr>
            </w:pPr>
            <w:r w:rsidRPr="00662906">
              <w:rPr>
                <w:sz w:val="18"/>
                <w:szCs w:val="18"/>
                <w:lang w:eastAsia="fr-FR"/>
              </w:rPr>
              <w:t>155</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CAE1B1" w14:textId="77777777" w:rsidR="00C87E79" w:rsidRPr="00662906" w:rsidRDefault="00C87E79" w:rsidP="00B20027">
            <w:pPr>
              <w:jc w:val="center"/>
              <w:rPr>
                <w:sz w:val="18"/>
                <w:szCs w:val="18"/>
                <w:lang w:eastAsia="fr-FR"/>
              </w:rPr>
            </w:pPr>
            <w:r w:rsidRPr="00662906">
              <w:rPr>
                <w:sz w:val="18"/>
                <w:szCs w:val="18"/>
                <w:lang w:eastAsia="fr-FR"/>
              </w:rPr>
              <w:t>146</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40EB51" w14:textId="77777777" w:rsidR="00C87E79" w:rsidRPr="00662906" w:rsidRDefault="00C87E79" w:rsidP="00B20027">
            <w:pPr>
              <w:jc w:val="center"/>
              <w:rPr>
                <w:sz w:val="18"/>
                <w:szCs w:val="18"/>
                <w:lang w:eastAsia="fr-FR"/>
              </w:rPr>
            </w:pPr>
            <w:r w:rsidRPr="00662906">
              <w:rPr>
                <w:sz w:val="18"/>
                <w:szCs w:val="18"/>
                <w:lang w:eastAsia="fr-FR"/>
              </w:rPr>
              <w:t>109</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9035C2" w14:textId="77777777" w:rsidR="00C87E79" w:rsidRPr="00662906" w:rsidRDefault="00C87E79" w:rsidP="00B20027">
            <w:pPr>
              <w:jc w:val="center"/>
              <w:rPr>
                <w:sz w:val="18"/>
                <w:szCs w:val="18"/>
                <w:lang w:eastAsia="fr-FR"/>
              </w:rPr>
            </w:pPr>
            <w:r w:rsidRPr="00662906">
              <w:rPr>
                <w:sz w:val="18"/>
                <w:szCs w:val="18"/>
                <w:lang w:eastAsia="fr-FR"/>
              </w:rPr>
              <w:t>27</w:t>
            </w:r>
          </w:p>
        </w:tc>
      </w:tr>
      <w:tr w:rsidR="00C87E79" w:rsidRPr="00662906" w14:paraId="1620F312"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655FBB9B" w14:textId="77777777" w:rsidR="00C87E79" w:rsidRPr="00662906" w:rsidRDefault="00C87E79" w:rsidP="00C87E79">
            <w:pPr>
              <w:rPr>
                <w:b/>
                <w:bCs/>
                <w:sz w:val="18"/>
                <w:szCs w:val="18"/>
                <w:lang w:eastAsia="fr-FR"/>
              </w:rPr>
            </w:pPr>
            <w:r w:rsidRPr="00662906">
              <w:rPr>
                <w:b/>
                <w:bCs/>
                <w:sz w:val="18"/>
                <w:szCs w:val="18"/>
                <w:lang w:eastAsia="fr-FR"/>
              </w:rPr>
              <w:t>Electricity Generation (TWh)</w:t>
            </w: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24AD26A1"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1AFAD48" w14:textId="77777777" w:rsidR="00C87E79" w:rsidRPr="00662906" w:rsidRDefault="00C87E79" w:rsidP="00B20027">
            <w:pPr>
              <w:jc w:val="center"/>
              <w:rPr>
                <w:sz w:val="18"/>
                <w:szCs w:val="18"/>
                <w:lang w:eastAsia="fr-FR"/>
              </w:rPr>
            </w:pPr>
            <w:r w:rsidRPr="00662906">
              <w:rPr>
                <w:sz w:val="18"/>
                <w:szCs w:val="18"/>
                <w:lang w:eastAsia="fr-FR"/>
              </w:rPr>
              <w:t>686</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6B975EDF" w14:textId="77777777" w:rsidR="00C87E79" w:rsidRPr="00662906" w:rsidRDefault="00C87E79" w:rsidP="00B20027">
            <w:pPr>
              <w:jc w:val="center"/>
              <w:rPr>
                <w:sz w:val="18"/>
                <w:szCs w:val="18"/>
                <w:lang w:eastAsia="fr-FR"/>
              </w:rPr>
            </w:pPr>
            <w:r w:rsidRPr="00662906">
              <w:rPr>
                <w:sz w:val="18"/>
                <w:szCs w:val="18"/>
                <w:lang w:eastAsia="fr-FR"/>
              </w:rPr>
              <w:t>890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91F884D" w14:textId="77777777" w:rsidR="00C87E79" w:rsidRPr="00662906" w:rsidRDefault="00C87E79" w:rsidP="00B20027">
            <w:pPr>
              <w:jc w:val="center"/>
              <w:rPr>
                <w:sz w:val="18"/>
                <w:szCs w:val="18"/>
                <w:lang w:eastAsia="fr-FR"/>
              </w:rPr>
            </w:pPr>
            <w:r w:rsidRPr="00662906">
              <w:rPr>
                <w:sz w:val="18"/>
                <w:szCs w:val="18"/>
                <w:lang w:eastAsia="fr-FR"/>
              </w:rPr>
              <w:t>1203</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39BCAC0B" w14:textId="77777777" w:rsidR="00C87E79" w:rsidRPr="00662906" w:rsidRDefault="00C87E79" w:rsidP="00B20027">
            <w:pPr>
              <w:jc w:val="center"/>
              <w:rPr>
                <w:sz w:val="18"/>
                <w:szCs w:val="18"/>
                <w:lang w:eastAsia="fr-FR"/>
              </w:rPr>
            </w:pPr>
            <w:r w:rsidRPr="00662906">
              <w:rPr>
                <w:sz w:val="18"/>
                <w:szCs w:val="18"/>
                <w:lang w:eastAsia="fr-FR"/>
              </w:rPr>
              <w:t>2294</w:t>
            </w:r>
          </w:p>
        </w:tc>
      </w:tr>
      <w:tr w:rsidR="00C87E79" w:rsidRPr="00662906" w14:paraId="3B31D7F5"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0919C18D"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3C22E0B1"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112AF0F" w14:textId="77777777" w:rsidR="00C87E79" w:rsidRPr="00662906" w:rsidRDefault="00C87E79" w:rsidP="00B20027">
            <w:pPr>
              <w:jc w:val="center"/>
              <w:rPr>
                <w:sz w:val="18"/>
                <w:szCs w:val="18"/>
                <w:lang w:eastAsia="fr-FR"/>
              </w:rPr>
            </w:pPr>
            <w:r w:rsidRPr="00662906">
              <w:rPr>
                <w:sz w:val="18"/>
                <w:szCs w:val="18"/>
                <w:lang w:eastAsia="fr-FR"/>
              </w:rPr>
              <w:t>686</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64D2943C" w14:textId="77777777" w:rsidR="00C87E79" w:rsidRPr="00662906" w:rsidRDefault="00C87E79" w:rsidP="00B20027">
            <w:pPr>
              <w:jc w:val="center"/>
              <w:rPr>
                <w:sz w:val="18"/>
                <w:szCs w:val="18"/>
                <w:lang w:eastAsia="fr-FR"/>
              </w:rPr>
            </w:pPr>
            <w:r w:rsidRPr="00662906">
              <w:rPr>
                <w:sz w:val="18"/>
                <w:szCs w:val="18"/>
                <w:lang w:eastAsia="fr-FR"/>
              </w:rPr>
              <w:t>890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7D8DAE11" w14:textId="77777777" w:rsidR="00C87E79" w:rsidRPr="00662906" w:rsidRDefault="00C87E79" w:rsidP="00B20027">
            <w:pPr>
              <w:jc w:val="center"/>
              <w:rPr>
                <w:sz w:val="18"/>
                <w:szCs w:val="18"/>
                <w:lang w:eastAsia="fr-FR"/>
              </w:rPr>
            </w:pPr>
            <w:r w:rsidRPr="00662906">
              <w:rPr>
                <w:sz w:val="18"/>
                <w:szCs w:val="18"/>
                <w:lang w:eastAsia="fr-FR"/>
              </w:rPr>
              <w:t>1327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3F5BAE13" w14:textId="77777777" w:rsidR="00C87E79" w:rsidRPr="00662906" w:rsidRDefault="00C87E79" w:rsidP="00B20027">
            <w:pPr>
              <w:jc w:val="center"/>
              <w:rPr>
                <w:sz w:val="18"/>
                <w:szCs w:val="18"/>
                <w:lang w:eastAsia="fr-FR"/>
              </w:rPr>
            </w:pPr>
            <w:r w:rsidRPr="00662906">
              <w:rPr>
                <w:sz w:val="18"/>
                <w:szCs w:val="18"/>
                <w:lang w:eastAsia="fr-FR"/>
              </w:rPr>
              <w:t>3859</w:t>
            </w:r>
          </w:p>
        </w:tc>
      </w:tr>
      <w:tr w:rsidR="00C87E79" w:rsidRPr="00662906" w14:paraId="35E3EBBC"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36AFAB" w14:textId="77777777" w:rsidR="00C87E79" w:rsidRPr="00662906" w:rsidRDefault="00C87E79" w:rsidP="00C87E79">
            <w:pPr>
              <w:rPr>
                <w:b/>
                <w:bCs/>
                <w:i/>
                <w:iCs/>
                <w:sz w:val="18"/>
                <w:szCs w:val="18"/>
                <w:lang w:eastAsia="fr-FR"/>
              </w:rPr>
            </w:pPr>
            <w:r w:rsidRPr="00662906">
              <w:rPr>
                <w:b/>
                <w:bCs/>
                <w:i/>
                <w:iCs/>
                <w:sz w:val="18"/>
                <w:szCs w:val="18"/>
                <w:lang w:eastAsia="fr-FR"/>
              </w:rPr>
              <w:t>of which RES electricity (TWh)</w:t>
            </w: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FDE88C"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CF09E5" w14:textId="77777777" w:rsidR="00C87E79" w:rsidRPr="00662906" w:rsidRDefault="00C87E79" w:rsidP="00B20027">
            <w:pPr>
              <w:jc w:val="center"/>
              <w:rPr>
                <w:sz w:val="18"/>
                <w:szCs w:val="18"/>
                <w:lang w:eastAsia="fr-FR"/>
              </w:rPr>
            </w:pPr>
            <w:r w:rsidRPr="00662906">
              <w:rPr>
                <w:sz w:val="18"/>
                <w:szCs w:val="18"/>
                <w:lang w:eastAsia="fr-FR"/>
              </w:rPr>
              <w:t>116</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BB6828" w14:textId="77777777" w:rsidR="00C87E79" w:rsidRPr="00662906" w:rsidRDefault="00C87E79" w:rsidP="00B20027">
            <w:pPr>
              <w:jc w:val="center"/>
              <w:rPr>
                <w:sz w:val="18"/>
                <w:szCs w:val="18"/>
                <w:lang w:eastAsia="fr-FR"/>
              </w:rPr>
            </w:pPr>
            <w:r w:rsidRPr="00662906">
              <w:rPr>
                <w:sz w:val="18"/>
                <w:szCs w:val="18"/>
                <w:lang w:eastAsia="fr-FR"/>
              </w:rPr>
              <w:t>210</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78625" w14:textId="77777777" w:rsidR="00C87E79" w:rsidRPr="00662906" w:rsidRDefault="00C87E79" w:rsidP="00B20027">
            <w:pPr>
              <w:jc w:val="center"/>
              <w:rPr>
                <w:sz w:val="18"/>
                <w:szCs w:val="18"/>
                <w:lang w:eastAsia="fr-FR"/>
              </w:rPr>
            </w:pPr>
            <w:r w:rsidRPr="00662906">
              <w:rPr>
                <w:sz w:val="18"/>
                <w:szCs w:val="18"/>
                <w:lang w:eastAsia="fr-FR"/>
              </w:rPr>
              <w:t>486</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021B73" w14:textId="77777777" w:rsidR="00C87E79" w:rsidRPr="00662906" w:rsidRDefault="00C87E79" w:rsidP="00B20027">
            <w:pPr>
              <w:jc w:val="center"/>
              <w:rPr>
                <w:sz w:val="18"/>
                <w:szCs w:val="18"/>
                <w:lang w:eastAsia="fr-FR"/>
              </w:rPr>
            </w:pPr>
            <w:r w:rsidRPr="00662906">
              <w:rPr>
                <w:sz w:val="18"/>
                <w:szCs w:val="18"/>
                <w:lang w:eastAsia="fr-FR"/>
              </w:rPr>
              <w:t>1505</w:t>
            </w:r>
          </w:p>
        </w:tc>
      </w:tr>
      <w:tr w:rsidR="00C87E79" w:rsidRPr="00662906" w14:paraId="0295761B"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D766CA"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98EFE8A"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C7E5F2" w14:textId="77777777" w:rsidR="00C87E79" w:rsidRPr="00662906" w:rsidRDefault="00C87E79" w:rsidP="00B20027">
            <w:pPr>
              <w:jc w:val="center"/>
              <w:rPr>
                <w:sz w:val="18"/>
                <w:szCs w:val="18"/>
                <w:lang w:eastAsia="fr-FR"/>
              </w:rPr>
            </w:pPr>
            <w:r w:rsidRPr="00662906">
              <w:rPr>
                <w:sz w:val="18"/>
                <w:szCs w:val="18"/>
                <w:lang w:eastAsia="fr-FR"/>
              </w:rPr>
              <w:t>116</w:t>
            </w:r>
          </w:p>
        </w:tc>
        <w:tc>
          <w:tcPr>
            <w:tcW w:w="8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D71D1" w14:textId="77777777" w:rsidR="00C87E79" w:rsidRPr="00662906" w:rsidRDefault="00C87E79" w:rsidP="00B20027">
            <w:pPr>
              <w:jc w:val="center"/>
              <w:rPr>
                <w:sz w:val="18"/>
                <w:szCs w:val="18"/>
                <w:lang w:eastAsia="fr-FR"/>
              </w:rPr>
            </w:pPr>
            <w:r w:rsidRPr="00662906">
              <w:rPr>
                <w:sz w:val="18"/>
                <w:szCs w:val="18"/>
                <w:lang w:eastAsia="fr-FR"/>
              </w:rPr>
              <w:t>210</w:t>
            </w:r>
          </w:p>
        </w:tc>
        <w:tc>
          <w:tcPr>
            <w:tcW w:w="93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45755" w14:textId="77777777" w:rsidR="00C87E79" w:rsidRPr="00662906" w:rsidRDefault="00C87E79" w:rsidP="00B20027">
            <w:pPr>
              <w:jc w:val="center"/>
              <w:rPr>
                <w:sz w:val="18"/>
                <w:szCs w:val="18"/>
                <w:lang w:eastAsia="fr-FR"/>
              </w:rPr>
            </w:pPr>
            <w:r w:rsidRPr="00662906">
              <w:rPr>
                <w:sz w:val="18"/>
                <w:szCs w:val="18"/>
                <w:lang w:eastAsia="fr-FR"/>
              </w:rPr>
              <w:t>711</w:t>
            </w:r>
          </w:p>
        </w:tc>
        <w:tc>
          <w:tcPr>
            <w:tcW w:w="9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7542F" w14:textId="77777777" w:rsidR="00C87E79" w:rsidRPr="00662906" w:rsidRDefault="00C87E79" w:rsidP="00B20027">
            <w:pPr>
              <w:jc w:val="center"/>
              <w:rPr>
                <w:sz w:val="18"/>
                <w:szCs w:val="18"/>
                <w:lang w:eastAsia="fr-FR"/>
              </w:rPr>
            </w:pPr>
            <w:r w:rsidRPr="00662906">
              <w:rPr>
                <w:sz w:val="18"/>
                <w:szCs w:val="18"/>
                <w:lang w:eastAsia="fr-FR"/>
              </w:rPr>
              <w:t>3453</w:t>
            </w:r>
          </w:p>
        </w:tc>
      </w:tr>
      <w:tr w:rsidR="00C87E79" w:rsidRPr="00662906" w14:paraId="283E0739"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3AE093EB" w14:textId="442558B3" w:rsidR="00C87E79" w:rsidRPr="00662906" w:rsidRDefault="00C87E79" w:rsidP="00C87E79">
            <w:pPr>
              <w:rPr>
                <w:b/>
                <w:bCs/>
                <w:sz w:val="18"/>
                <w:szCs w:val="18"/>
                <w:lang w:eastAsia="fr-FR"/>
              </w:rPr>
            </w:pPr>
            <w:r w:rsidRPr="00662906">
              <w:rPr>
                <w:b/>
                <w:bCs/>
                <w:sz w:val="18"/>
                <w:szCs w:val="18"/>
                <w:lang w:eastAsia="fr-FR"/>
              </w:rPr>
              <w:t>CO2 Emissions (Gt CO2)</w:t>
            </w: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54977B5C" w14:textId="77777777" w:rsidR="00C87E79" w:rsidRPr="00662906" w:rsidRDefault="00C87E79" w:rsidP="00C87E79">
            <w:pPr>
              <w:rPr>
                <w:sz w:val="18"/>
                <w:szCs w:val="18"/>
                <w:lang w:eastAsia="fr-FR"/>
              </w:rPr>
            </w:pPr>
            <w:r w:rsidRPr="00662906">
              <w:rPr>
                <w:sz w:val="18"/>
                <w:szCs w:val="18"/>
                <w:lang w:eastAsia="fr-FR"/>
              </w:rPr>
              <w:t>STEPS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526452DC" w14:textId="77777777" w:rsidR="00C87E79" w:rsidRPr="00662906" w:rsidRDefault="00C87E79" w:rsidP="00B20027">
            <w:pPr>
              <w:jc w:val="center"/>
              <w:rPr>
                <w:sz w:val="18"/>
                <w:szCs w:val="18"/>
                <w:lang w:eastAsia="fr-FR"/>
              </w:rPr>
            </w:pPr>
            <w:r w:rsidRPr="00662906">
              <w:rPr>
                <w:sz w:val="18"/>
                <w:szCs w:val="18"/>
                <w:lang w:eastAsia="fr-FR"/>
              </w:rPr>
              <w:t>1168</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6DCBA4F9" w14:textId="77777777" w:rsidR="00C87E79" w:rsidRPr="00662906" w:rsidRDefault="00C87E79" w:rsidP="00B20027">
            <w:pPr>
              <w:jc w:val="center"/>
              <w:rPr>
                <w:sz w:val="18"/>
                <w:szCs w:val="18"/>
                <w:lang w:eastAsia="fr-FR"/>
              </w:rPr>
            </w:pPr>
            <w:r w:rsidRPr="00662906">
              <w:rPr>
                <w:sz w:val="18"/>
                <w:szCs w:val="18"/>
                <w:lang w:eastAsia="fr-FR"/>
              </w:rPr>
              <w:t>1385</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3884E99B" w14:textId="77777777" w:rsidR="00C87E79" w:rsidRPr="00662906" w:rsidRDefault="00C87E79" w:rsidP="00B20027">
            <w:pPr>
              <w:jc w:val="center"/>
              <w:rPr>
                <w:sz w:val="18"/>
                <w:szCs w:val="18"/>
                <w:lang w:eastAsia="fr-FR"/>
              </w:rPr>
            </w:pPr>
            <w:r w:rsidRPr="00662906">
              <w:rPr>
                <w:sz w:val="18"/>
                <w:szCs w:val="18"/>
                <w:lang w:eastAsia="fr-FR"/>
              </w:rPr>
              <w:t>1468</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5E02B09B" w14:textId="77777777" w:rsidR="00C87E79" w:rsidRPr="00662906" w:rsidRDefault="00C87E79" w:rsidP="00B20027">
            <w:pPr>
              <w:jc w:val="center"/>
              <w:rPr>
                <w:sz w:val="18"/>
                <w:szCs w:val="18"/>
                <w:lang w:eastAsia="fr-FR"/>
              </w:rPr>
            </w:pPr>
            <w:r w:rsidRPr="00662906">
              <w:rPr>
                <w:sz w:val="18"/>
                <w:szCs w:val="18"/>
                <w:lang w:eastAsia="fr-FR"/>
              </w:rPr>
              <w:t>1991</w:t>
            </w:r>
          </w:p>
        </w:tc>
      </w:tr>
      <w:tr w:rsidR="00C87E79" w:rsidRPr="00662906" w14:paraId="06129F1D" w14:textId="77777777" w:rsidTr="00B20027">
        <w:trPr>
          <w:trHeight w:val="300"/>
        </w:trPr>
        <w:tc>
          <w:tcPr>
            <w:tcW w:w="3198"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6EA7D22C" w14:textId="77777777" w:rsidR="00C87E79" w:rsidRPr="00662906" w:rsidRDefault="00C87E79" w:rsidP="00C87E79">
            <w:pPr>
              <w:rPr>
                <w:sz w:val="18"/>
                <w:szCs w:val="18"/>
                <w:lang w:eastAsia="fr-FR"/>
              </w:rPr>
            </w:pPr>
          </w:p>
        </w:tc>
        <w:tc>
          <w:tcPr>
            <w:tcW w:w="1493"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bottom"/>
          </w:tcPr>
          <w:p w14:paraId="3736D23A" w14:textId="77777777" w:rsidR="00C87E79" w:rsidRPr="00662906" w:rsidRDefault="00C87E79" w:rsidP="00C87E79">
            <w:pPr>
              <w:rPr>
                <w:sz w:val="18"/>
                <w:szCs w:val="18"/>
                <w:lang w:eastAsia="fr-FR"/>
              </w:rPr>
            </w:pPr>
            <w:r w:rsidRPr="00662906">
              <w:rPr>
                <w:sz w:val="18"/>
                <w:szCs w:val="18"/>
                <w:lang w:eastAsia="fr-FR"/>
              </w:rPr>
              <w:t>APS</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4D2BD8CE" w14:textId="77777777" w:rsidR="00C87E79" w:rsidRPr="00662906" w:rsidRDefault="00C87E79" w:rsidP="00B20027">
            <w:pPr>
              <w:jc w:val="center"/>
              <w:rPr>
                <w:sz w:val="18"/>
                <w:szCs w:val="18"/>
                <w:lang w:eastAsia="fr-FR"/>
              </w:rPr>
            </w:pPr>
            <w:r w:rsidRPr="00662906">
              <w:rPr>
                <w:sz w:val="18"/>
                <w:szCs w:val="18"/>
                <w:lang w:eastAsia="fr-FR"/>
              </w:rPr>
              <w:t>1168</w:t>
            </w:r>
          </w:p>
        </w:tc>
        <w:tc>
          <w:tcPr>
            <w:tcW w:w="88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6293998" w14:textId="77777777" w:rsidR="00C87E79" w:rsidRPr="00662906" w:rsidRDefault="00C87E79" w:rsidP="00B20027">
            <w:pPr>
              <w:jc w:val="center"/>
              <w:rPr>
                <w:sz w:val="18"/>
                <w:szCs w:val="18"/>
                <w:lang w:eastAsia="fr-FR"/>
              </w:rPr>
            </w:pPr>
            <w:r w:rsidRPr="00662906">
              <w:rPr>
                <w:sz w:val="18"/>
                <w:szCs w:val="18"/>
                <w:lang w:eastAsia="fr-FR"/>
              </w:rPr>
              <w:t>1385</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16933F22" w14:textId="77777777" w:rsidR="00C87E79" w:rsidRPr="00662906" w:rsidRDefault="00C87E79" w:rsidP="00B20027">
            <w:pPr>
              <w:jc w:val="center"/>
              <w:rPr>
                <w:sz w:val="18"/>
                <w:szCs w:val="18"/>
                <w:lang w:eastAsia="fr-FR"/>
              </w:rPr>
            </w:pPr>
            <w:r w:rsidRPr="00662906">
              <w:rPr>
                <w:sz w:val="18"/>
                <w:szCs w:val="18"/>
                <w:lang w:eastAsia="fr-FR"/>
              </w:rPr>
              <w:t>1328</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2" w:themeFillShade="D9"/>
            <w:tcMar>
              <w:left w:w="108" w:type="dxa"/>
              <w:right w:w="108" w:type="dxa"/>
            </w:tcMar>
            <w:vAlign w:val="center"/>
          </w:tcPr>
          <w:p w14:paraId="29E9B6B2" w14:textId="77777777" w:rsidR="00C87E79" w:rsidRPr="00662906" w:rsidRDefault="00C87E79" w:rsidP="00B20027">
            <w:pPr>
              <w:jc w:val="center"/>
              <w:rPr>
                <w:sz w:val="18"/>
                <w:szCs w:val="18"/>
                <w:lang w:eastAsia="fr-FR"/>
              </w:rPr>
            </w:pPr>
            <w:r w:rsidRPr="00662906">
              <w:rPr>
                <w:sz w:val="18"/>
                <w:szCs w:val="18"/>
                <w:lang w:eastAsia="fr-FR"/>
              </w:rPr>
              <w:t>1171</w:t>
            </w:r>
          </w:p>
        </w:tc>
      </w:tr>
    </w:tbl>
    <w:p w14:paraId="136EC3DA" w14:textId="77777777" w:rsidR="00C87E79" w:rsidRPr="00662906" w:rsidRDefault="00C87E79" w:rsidP="00A74DEA">
      <w:pPr>
        <w:spacing w:before="0" w:after="0" w:line="240" w:lineRule="auto"/>
        <w:rPr>
          <w:i/>
          <w:iCs/>
          <w:color w:val="B4A269" w:themeColor="text2"/>
          <w:sz w:val="16"/>
          <w:szCs w:val="16"/>
        </w:rPr>
      </w:pPr>
      <w:r w:rsidRPr="00662906">
        <w:rPr>
          <w:i/>
          <w:iCs/>
          <w:color w:val="B4A269" w:themeColor="text2"/>
          <w:sz w:val="16"/>
          <w:szCs w:val="16"/>
        </w:rPr>
        <w:t>STEPS includes current policies.</w:t>
      </w:r>
    </w:p>
    <w:p w14:paraId="1B5C2B09" w14:textId="77777777" w:rsidR="00C87E79" w:rsidRPr="00662906" w:rsidRDefault="00C87E79" w:rsidP="00A74DEA">
      <w:pPr>
        <w:spacing w:before="0" w:after="0" w:line="240" w:lineRule="auto"/>
        <w:rPr>
          <w:i/>
          <w:iCs/>
          <w:color w:val="B4A269" w:themeColor="text2"/>
          <w:sz w:val="16"/>
          <w:szCs w:val="16"/>
        </w:rPr>
      </w:pPr>
      <w:r w:rsidRPr="00662906">
        <w:rPr>
          <w:i/>
          <w:iCs/>
          <w:color w:val="B4A269" w:themeColor="text2"/>
          <w:sz w:val="16"/>
          <w:szCs w:val="16"/>
        </w:rPr>
        <w:lastRenderedPageBreak/>
        <w:t>APS includes the NDC pledges.</w:t>
      </w:r>
    </w:p>
    <w:p w14:paraId="39EBAB85" w14:textId="77777777" w:rsidR="00C87E79" w:rsidRPr="00662906" w:rsidRDefault="00C87E79" w:rsidP="00A74DEA">
      <w:pPr>
        <w:spacing w:before="0" w:after="0" w:line="240" w:lineRule="auto"/>
        <w:rPr>
          <w:i/>
          <w:iCs/>
          <w:color w:val="B4A269" w:themeColor="text2"/>
          <w:sz w:val="16"/>
          <w:szCs w:val="16"/>
        </w:rPr>
      </w:pPr>
      <w:r w:rsidRPr="00662906">
        <w:rPr>
          <w:i/>
          <w:iCs/>
          <w:color w:val="B4A269" w:themeColor="text2"/>
          <w:sz w:val="16"/>
          <w:szCs w:val="16"/>
        </w:rPr>
        <w:t>Source: IEA World Energy Outlook 2023</w:t>
      </w:r>
    </w:p>
    <w:p w14:paraId="211FF073" w14:textId="432A2681" w:rsidR="00C87E79" w:rsidRPr="00662906" w:rsidRDefault="00C87E79" w:rsidP="00C87E79">
      <w:pPr>
        <w:rPr>
          <w:lang w:eastAsia="fr-FR"/>
        </w:rPr>
      </w:pPr>
      <w:r w:rsidRPr="00662906">
        <w:rPr>
          <w:lang w:eastAsia="fr-FR"/>
        </w:rPr>
        <w:t xml:space="preserve">Outside the electricity sector, Africa's growing energy needs also continue to rely on fossil fuels for some time before fully switching to clean energy technologies. These fossil fuels include oil for transportation, LPG for cooking, and natural gas for industry. </w:t>
      </w:r>
    </w:p>
    <w:p w14:paraId="61582B2A" w14:textId="77777777" w:rsidR="00C87E79" w:rsidRPr="00662906" w:rsidRDefault="00C87E79" w:rsidP="00C87E79">
      <w:pPr>
        <w:rPr>
          <w:lang w:eastAsia="fr-FR"/>
        </w:rPr>
      </w:pPr>
      <w:r w:rsidRPr="00662906">
        <w:rPr>
          <w:lang w:eastAsia="fr-FR"/>
        </w:rPr>
        <w:t xml:space="preserve">In the STEPS scenario, the demand for oil in road transport is expected to increase by 15% by 2030 due to a growing number of vehicles. Except for two- and three-wheelers, the shift to electric vehicles is limited by </w:t>
      </w:r>
      <w:r w:rsidRPr="00662906">
        <w:rPr>
          <w:b/>
          <w:bCs/>
          <w:lang w:eastAsia="fr-FR"/>
        </w:rPr>
        <w:t>high upfront costs and unreliable electricity grids for charging infrastructure</w:t>
      </w:r>
      <w:r w:rsidRPr="00662906">
        <w:rPr>
          <w:lang w:eastAsia="fr-FR"/>
        </w:rPr>
        <w:t xml:space="preserve">. In the APS scenario, electric cars make up 5% of the market by 2030, helped by age limits imposed on imported vehicles that bring more second-hand electric cars into the African market. </w:t>
      </w:r>
    </w:p>
    <w:p w14:paraId="0E7CDDBA" w14:textId="77777777" w:rsidR="00C87E79" w:rsidRPr="00662906" w:rsidRDefault="00C87E79" w:rsidP="00C87E79">
      <w:pPr>
        <w:rPr>
          <w:lang w:eastAsia="fr-FR"/>
        </w:rPr>
      </w:pPr>
      <w:r w:rsidRPr="00662906">
        <w:rPr>
          <w:lang w:eastAsia="fr-FR"/>
        </w:rPr>
        <w:t xml:space="preserve">LPG demand grows slowly without strong clean cooking policies and would need to double for the continent, and triple in sub-Saharan Africa, to achieve universal access to clean cooking by 2030. </w:t>
      </w:r>
    </w:p>
    <w:p w14:paraId="6752D886" w14:textId="77777777" w:rsidR="00C87E79" w:rsidRPr="00662906" w:rsidRDefault="00C87E79" w:rsidP="00C87E79">
      <w:pPr>
        <w:rPr>
          <w:lang w:eastAsia="fr-FR"/>
        </w:rPr>
      </w:pPr>
      <w:r w:rsidRPr="00662906">
        <w:rPr>
          <w:lang w:eastAsia="fr-FR"/>
        </w:rPr>
        <w:t>African industries use various fuels but heavily depend on natural gas, especially for producing fertilizers, desalinating water, and in the steel and cement industries. While Africa's demand for oil and gas continues to grow, global trends are changing the outlook for new oil and gas projects, affecting both current and future producers. Africa currently produces 7 million barrels of crude oil per day, with about 40% of it being exported.</w:t>
      </w:r>
    </w:p>
    <w:p w14:paraId="7049701B" w14:textId="1FA84B8F" w:rsidR="00C87E79" w:rsidRPr="00662906" w:rsidRDefault="00C87E79" w:rsidP="00C87E79">
      <w:pPr>
        <w:rPr>
          <w:lang w:eastAsia="fr-FR"/>
        </w:rPr>
      </w:pPr>
      <w:r w:rsidRPr="00662906">
        <w:rPr>
          <w:lang w:eastAsia="fr-FR"/>
        </w:rPr>
        <w:t xml:space="preserve">Oil production in Africa is expected to decline because there are few new oil </w:t>
      </w:r>
      <w:r w:rsidR="00B416B3" w:rsidRPr="00662906">
        <w:rPr>
          <w:lang w:eastAsia="fr-FR"/>
        </w:rPr>
        <w:t>discoveries,</w:t>
      </w:r>
      <w:r w:rsidRPr="00662906">
        <w:rPr>
          <w:lang w:eastAsia="fr-FR"/>
        </w:rPr>
        <w:t xml:space="preserve"> and these will not offset the decreasing output from existing fields. By the mid-2030s, Africa is projected to become a net importer of oil in the STEPS scenario, while in the APS scenario oil production is anticipated to be 0,5 million barrels per day less than in STEPS by 2030. Many AU Member States depend on imports of refined oil products, but a new refinery in Nigeria, with a capacity of 650,000 barrels per day, will help meet the growing demand over the next decade. At the continental and regional levels, it is opportune that the oil and gas resources, both proven and potential, are available to AU Member States to satisfy the local demands and markets and to export any excess. </w:t>
      </w:r>
      <w:r w:rsidR="00B416B3" w:rsidRPr="00662906">
        <w:rPr>
          <w:lang w:eastAsia="fr-FR"/>
        </w:rPr>
        <w:t>The “clean fossil-based fuels” (natural and LPG)</w:t>
      </w:r>
      <w:r w:rsidRPr="00662906">
        <w:rPr>
          <w:lang w:eastAsia="fr-FR"/>
        </w:rPr>
        <w:t xml:space="preserve"> are needed for the next couple of decades over a transitional period until Renewable based sources of energy are made widely available, reliable and affordable. </w:t>
      </w:r>
    </w:p>
    <w:p w14:paraId="4C5EBD6F" w14:textId="77777777" w:rsidR="00C87E79" w:rsidRPr="00662906" w:rsidRDefault="00C87E79" w:rsidP="00C87E79">
      <w:pPr>
        <w:rPr>
          <w:lang w:eastAsia="fr-FR"/>
        </w:rPr>
      </w:pPr>
      <w:r w:rsidRPr="00662906">
        <w:rPr>
          <w:lang w:eastAsia="fr-FR"/>
        </w:rPr>
        <w:t>There is significant potential for Africa in clean energy technologies and the critical minerals needed for them. Some AU Member States are well-positioned to become major producers in this area. Currently, Africa accounts for 13% of global revenue from copper and battery metals, and this share could grow. Several countries are interested in attracting international investments to develop and process their mineral resources.</w:t>
      </w:r>
    </w:p>
    <w:p w14:paraId="2A7C2776" w14:textId="311C23BD" w:rsidR="00C87E79" w:rsidRPr="00662906" w:rsidRDefault="00C87E79" w:rsidP="0051797F">
      <w:pPr>
        <w:rPr>
          <w:lang w:eastAsia="fr-FR"/>
        </w:rPr>
      </w:pPr>
      <w:r w:rsidRPr="00662906">
        <w:rPr>
          <w:lang w:eastAsia="fr-FR"/>
        </w:rPr>
        <w:t>As the world prepares for a just and inclusive energy transition, African oil and gas producing nations have an opportunity to be proactive in a rapidly evolving global energy sector. Operating in higher-cost, higher-carbon emissions has become increasingly difficult in the face of mounting pressure from stakeholders and global institutions. Furthermore, as African economies look to industrialize to meet the needs of rapidly growing and urbanizing populations in terms of locally fabricated goods and employment, a rise in energy demand could leave many countries facing energy supply challenges. While these challenges are real, so are the opportunities. Specifically, African stakeholders have a significant opportunity to decarbonize existing production to maintain access to capital and customers. They also have the chance to leverage the energy transition to lead in the creation of renewable-energy businesses that will help to meet the growing energy demand on the continent and create new revenue streams and jobs</w:t>
      </w:r>
      <w:r w:rsidR="006A78EE" w:rsidRPr="00662906">
        <w:rPr>
          <w:lang w:eastAsia="fr-FR"/>
        </w:rPr>
        <w:t>.</w:t>
      </w:r>
    </w:p>
    <w:p w14:paraId="0A8AA859" w14:textId="4F4809D1" w:rsidR="000860D3" w:rsidRPr="00662906" w:rsidRDefault="03E51500" w:rsidP="009A0D6A">
      <w:pPr>
        <w:pStyle w:val="Heading3"/>
        <w:ind w:left="567"/>
        <w:rPr>
          <w:lang w:eastAsia="fr-FR"/>
        </w:rPr>
      </w:pPr>
      <w:bookmarkStart w:id="392" w:name="_Toc197433830"/>
      <w:r w:rsidRPr="00662906">
        <w:rPr>
          <w:lang w:eastAsia="fr-FR"/>
        </w:rPr>
        <w:t>Mission 300</w:t>
      </w:r>
      <w:r w:rsidR="005A739A" w:rsidRPr="00662906">
        <w:rPr>
          <w:rStyle w:val="FootnoteReference"/>
          <w:lang w:eastAsia="fr-FR"/>
        </w:rPr>
        <w:footnoteReference w:id="29"/>
      </w:r>
      <w:bookmarkEnd w:id="392"/>
    </w:p>
    <w:p w14:paraId="64AB9E4A" w14:textId="4EB8C4DE" w:rsidR="006B321B" w:rsidRPr="00662906" w:rsidRDefault="000860D3" w:rsidP="000860D3">
      <w:pPr>
        <w:rPr>
          <w:lang w:eastAsia="fr-FR"/>
        </w:rPr>
      </w:pPr>
      <w:r w:rsidRPr="00662906">
        <w:rPr>
          <w:lang w:eastAsia="fr-FR"/>
        </w:rPr>
        <w:t>Mission 300, spearheaded by the World Bank Group and the African Development Bank, aims to provide electricity access to 300 million people in Africa by 2030, addressing the continent's significant energy deficit. While primarily focused on electrification, this initiative intersects with the critical issue of clean cooking, a challenge affecting approximately 950 million Africans who rely on traditional biomass fuels such as firewood and charcoal.</w:t>
      </w:r>
    </w:p>
    <w:p w14:paraId="1A483CF6" w14:textId="6C3523FB" w:rsidR="006B321B" w:rsidRPr="00662906" w:rsidRDefault="006B321B" w:rsidP="009A0D6A">
      <w:pPr>
        <w:pStyle w:val="Heading3"/>
        <w:ind w:left="567"/>
      </w:pPr>
      <w:bookmarkStart w:id="393" w:name="_Toc197433831"/>
      <w:r w:rsidRPr="00662906">
        <w:lastRenderedPageBreak/>
        <w:t>African Green Hydrogen Strategy and Action Plan</w:t>
      </w:r>
      <w:bookmarkEnd w:id="393"/>
    </w:p>
    <w:p w14:paraId="2E45B99B" w14:textId="13C52398" w:rsidR="006B321B" w:rsidRPr="00662906" w:rsidRDefault="006B321B" w:rsidP="0098698D">
      <w:pPr>
        <w:rPr>
          <w:lang w:eastAsia="fr-FR"/>
        </w:rPr>
      </w:pPr>
      <w:r w:rsidRPr="00662906">
        <w:rPr>
          <w:lang w:eastAsia="fr-FR"/>
        </w:rPr>
        <w:t>The objective of the strategy is to ensure that all African Union Member States can proactively and actively participate in a green hydrogen economy as it develops globally. Its goals are to ensure that the continent is aware of the green hydrogen transition and can maximise its potential benefits for AU MS, including the development of sustainable, resilient and secure energy systems that reduce the environmental footprint and energy dependency on existing energy sources and carriers.</w:t>
      </w:r>
    </w:p>
    <w:p w14:paraId="54C2C3E4" w14:textId="252FEC1C" w:rsidR="006B321B" w:rsidRPr="00662906" w:rsidRDefault="006B321B" w:rsidP="0098698D">
      <w:pPr>
        <w:rPr>
          <w:lang w:eastAsia="fr-FR"/>
        </w:rPr>
      </w:pPr>
      <w:r w:rsidRPr="00662906">
        <w:rPr>
          <w:lang w:eastAsia="fr-FR"/>
        </w:rPr>
        <w:t>The strategy is based on six strategic pillars: Green Hydrogen Financing, National and Regional Strategies, Market Formation, Hydrogen Infrastructure, Technology Absorption and Transfer, and Standards and Regulations. These are complemented by two cross-cutting themes: Human Resource</w:t>
      </w:r>
    </w:p>
    <w:p w14:paraId="1BBC8899" w14:textId="63ACF84E" w:rsidR="006B321B" w:rsidRPr="00662906" w:rsidRDefault="006B321B" w:rsidP="0098698D">
      <w:pPr>
        <w:rPr>
          <w:lang w:eastAsia="fr-FR"/>
        </w:rPr>
      </w:pPr>
      <w:r w:rsidRPr="00662906">
        <w:rPr>
          <w:lang w:eastAsia="fr-FR"/>
        </w:rPr>
        <w:t>Development and Regional and International Cooperation. Together, these components support the growth of the sector, addressing all fundamental aspects from financing and infrastructure to capacity building and regulatory frameworks.</w:t>
      </w:r>
    </w:p>
    <w:p w14:paraId="037E0F6D" w14:textId="0C1AF371" w:rsidR="000860D3" w:rsidRPr="00662906" w:rsidRDefault="006B321B" w:rsidP="0051797F">
      <w:pPr>
        <w:rPr>
          <w:b/>
          <w:bCs/>
          <w:lang w:eastAsia="fr-FR"/>
        </w:rPr>
      </w:pPr>
      <w:r w:rsidRPr="00662906">
        <w:rPr>
          <w:b/>
          <w:bCs/>
          <w:lang w:eastAsia="fr-FR"/>
        </w:rPr>
        <w:t>Overall, the African Green Hydrogen Strategy and Action Plan could leverage the power of cooperative</w:t>
      </w:r>
      <w:r w:rsidRPr="00662906">
        <w:rPr>
          <w:lang w:eastAsia="fr-FR"/>
        </w:rPr>
        <w:t xml:space="preserve"> </w:t>
      </w:r>
      <w:r w:rsidRPr="00662906">
        <w:rPr>
          <w:b/>
          <w:bCs/>
          <w:lang w:eastAsia="fr-FR"/>
        </w:rPr>
        <w:t>policy and action to establish net zero economies on the continent. This step will be important in</w:t>
      </w:r>
      <w:r w:rsidRPr="00662906">
        <w:rPr>
          <w:lang w:eastAsia="fr-FR"/>
        </w:rPr>
        <w:t xml:space="preserve"> </w:t>
      </w:r>
      <w:r w:rsidRPr="00662906">
        <w:rPr>
          <w:b/>
          <w:bCs/>
          <w:lang w:eastAsia="fr-FR"/>
        </w:rPr>
        <w:t>building universally accessible and resilient energy and manufacturing sectors.</w:t>
      </w:r>
    </w:p>
    <w:p w14:paraId="558845D9" w14:textId="2E5AC6D3" w:rsidR="006359DD" w:rsidRPr="00662906" w:rsidRDefault="006359DD" w:rsidP="00F7188C">
      <w:pPr>
        <w:pStyle w:val="Heading3"/>
        <w:ind w:left="567"/>
      </w:pPr>
      <w:bookmarkStart w:id="394" w:name="_Toc197433832"/>
      <w:r w:rsidRPr="00662906">
        <w:t>The African Green Minerals Strategy (AGMS)</w:t>
      </w:r>
      <w:bookmarkEnd w:id="394"/>
    </w:p>
    <w:p w14:paraId="7636F7A0" w14:textId="77777777" w:rsidR="006359DD" w:rsidRPr="00662906" w:rsidRDefault="006359DD" w:rsidP="006359DD">
      <w:pPr>
        <w:pStyle w:val="p1"/>
        <w:rPr>
          <w:lang w:val="en-GB"/>
        </w:rPr>
      </w:pPr>
    </w:p>
    <w:p w14:paraId="73BF94BA" w14:textId="67EC7AFC" w:rsidR="006359DD" w:rsidRPr="00662906" w:rsidRDefault="006359DD" w:rsidP="00F7188C">
      <w:pPr>
        <w:spacing w:before="0" w:after="0" w:line="240" w:lineRule="auto"/>
        <w:rPr>
          <w:lang w:eastAsia="fr-FR"/>
        </w:rPr>
      </w:pPr>
      <w:r w:rsidRPr="00662906">
        <w:rPr>
          <w:lang w:eastAsia="fr-FR"/>
        </w:rPr>
        <w:t>The African Green Minerals Strategy (AGMS) represents a defining moment in the continent’s journey</w:t>
      </w:r>
    </w:p>
    <w:p w14:paraId="5A579AD9" w14:textId="4DFD47CB" w:rsidR="006359DD" w:rsidRPr="00662906" w:rsidRDefault="006359DD" w:rsidP="006359DD">
      <w:pPr>
        <w:spacing w:before="0" w:after="0" w:line="240" w:lineRule="auto"/>
        <w:rPr>
          <w:lang w:eastAsia="fr-FR"/>
        </w:rPr>
      </w:pPr>
      <w:r w:rsidRPr="00662906">
        <w:rPr>
          <w:lang w:eastAsia="fr-FR"/>
        </w:rPr>
        <w:t>toward sustainable industrialization, energy security, and inclusive growth and sustainable development. With Africa holding a significant share of the world’s green minerals, including lithium, cobalt, nickel, rare earth elements, and platinum group metals, the continent stands at the crossroads of the global energy transition and digital transformation. This strategy provides a roadmap for hamessing Africa’s mineral wealth to drive value addition at source, regional industrialization, and climate resilience.</w:t>
      </w:r>
    </w:p>
    <w:p w14:paraId="4D394D81" w14:textId="77777777" w:rsidR="0027781F" w:rsidRPr="00662906" w:rsidRDefault="0027781F" w:rsidP="00F7188C">
      <w:pPr>
        <w:spacing w:before="0" w:after="0" w:line="240" w:lineRule="auto"/>
        <w:rPr>
          <w:lang w:eastAsia="fr-FR"/>
        </w:rPr>
      </w:pPr>
    </w:p>
    <w:p w14:paraId="4A7095FE" w14:textId="507F0DEC" w:rsidR="006359DD" w:rsidRPr="00662906" w:rsidRDefault="0027781F" w:rsidP="00DB46D5">
      <w:pPr>
        <w:spacing w:before="0" w:after="0" w:line="240" w:lineRule="auto"/>
        <w:rPr>
          <w:lang w:eastAsia="fr-FR"/>
        </w:rPr>
      </w:pPr>
      <w:r w:rsidRPr="00662906">
        <w:rPr>
          <w:lang w:eastAsia="fr-FR"/>
        </w:rPr>
        <w:t>The AGMS recognizes that Africa must move beyond raw mineral exports and build strong, integrated value chains that foster local beneficiation, job creation</w:t>
      </w:r>
      <w:r w:rsidR="00613AE2" w:rsidRPr="00662906">
        <w:rPr>
          <w:lang w:eastAsia="fr-FR"/>
        </w:rPr>
        <w:t xml:space="preserve"> </w:t>
      </w:r>
      <w:r w:rsidRPr="00662906">
        <w:rPr>
          <w:lang w:eastAsia="fr-FR"/>
        </w:rPr>
        <w:t>and economic diversification. The strategy aligns with the Africa Mining Vision (AMV) by advocating for equitable and sustainable mineral resource management, ensuring that mineral wealth translates into broad-based socio-economic development.</w:t>
      </w:r>
    </w:p>
    <w:p w14:paraId="224BB168" w14:textId="4C86493D" w:rsidR="2C1F7750" w:rsidRPr="00662906" w:rsidRDefault="2C1F7750" w:rsidP="0059657D">
      <w:pPr>
        <w:pStyle w:val="Heading2"/>
      </w:pPr>
      <w:bookmarkStart w:id="395" w:name="_Toc178937214"/>
      <w:bookmarkStart w:id="396" w:name="_Toc178937328"/>
      <w:bookmarkStart w:id="397" w:name="_Toc178937438"/>
      <w:bookmarkStart w:id="398" w:name="_Toc178937553"/>
      <w:bookmarkStart w:id="399" w:name="_Toc178937662"/>
      <w:bookmarkStart w:id="400" w:name="_Toc178937772"/>
      <w:bookmarkStart w:id="401" w:name="_Toc178937880"/>
      <w:bookmarkStart w:id="402" w:name="_Toc178937482"/>
      <w:bookmarkStart w:id="403" w:name="_Toc197433833"/>
      <w:bookmarkEnd w:id="136"/>
      <w:bookmarkEnd w:id="137"/>
      <w:bookmarkEnd w:id="138"/>
      <w:bookmarkEnd w:id="139"/>
      <w:bookmarkEnd w:id="140"/>
      <w:bookmarkEnd w:id="141"/>
      <w:bookmarkEnd w:id="142"/>
      <w:bookmarkEnd w:id="143"/>
      <w:bookmarkEnd w:id="172"/>
      <w:bookmarkEnd w:id="173"/>
      <w:bookmarkEnd w:id="395"/>
      <w:bookmarkEnd w:id="396"/>
      <w:bookmarkEnd w:id="397"/>
      <w:bookmarkEnd w:id="398"/>
      <w:bookmarkEnd w:id="399"/>
      <w:bookmarkEnd w:id="400"/>
      <w:bookmarkEnd w:id="401"/>
      <w:r w:rsidRPr="00662906">
        <w:t>GAP ANALYSIS</w:t>
      </w:r>
      <w:bookmarkEnd w:id="402"/>
      <w:bookmarkEnd w:id="403"/>
    </w:p>
    <w:p w14:paraId="7D288392" w14:textId="03B40FDA" w:rsidR="2C1F7750" w:rsidRPr="00662906" w:rsidRDefault="0046144A" w:rsidP="009A0D6A">
      <w:pPr>
        <w:pStyle w:val="Heading3"/>
        <w:ind w:left="567"/>
      </w:pPr>
      <w:bookmarkStart w:id="404" w:name="_Toc178937483"/>
      <w:bookmarkStart w:id="405" w:name="_Toc197433834"/>
      <w:r w:rsidRPr="00662906">
        <w:t>Gap</w:t>
      </w:r>
      <w:r w:rsidR="2C1F7750" w:rsidRPr="00662906">
        <w:t xml:space="preserve"> Analysis</w:t>
      </w:r>
      <w:bookmarkEnd w:id="404"/>
      <w:r w:rsidRPr="00662906">
        <w:t xml:space="preserve"> Overview</w:t>
      </w:r>
      <w:bookmarkEnd w:id="405"/>
    </w:p>
    <w:p w14:paraId="58F2D59A" w14:textId="77777777" w:rsidR="00680D9E" w:rsidRPr="00662906" w:rsidRDefault="00680D9E" w:rsidP="00680D9E">
      <w:pPr>
        <w:rPr>
          <w:rFonts w:eastAsia="Arial" w:cs="Arial"/>
        </w:rPr>
      </w:pPr>
      <w:r w:rsidRPr="00662906">
        <w:rPr>
          <w:rFonts w:eastAsia="Arial" w:cs="Arial"/>
        </w:rPr>
        <w:t>A comprehensive analysis using both PESTLE and SWOT frameworks was conducted to guide the development of the ETSAP and inform its high-level strategic objectives and sector-specific interventions. These analyses address critical factors across continental, regional, national, and global levels, enabling ETSAP to align with diverse external and internal dynamics effectively.</w:t>
      </w:r>
    </w:p>
    <w:p w14:paraId="4C8B310B" w14:textId="4C4DB000" w:rsidR="00A74DEA" w:rsidRPr="00662906" w:rsidRDefault="00A74DEA" w:rsidP="00A74DEA">
      <w:pPr>
        <w:rPr>
          <w:rFonts w:eastAsia="Arial" w:cs="Arial"/>
        </w:rPr>
      </w:pPr>
      <w:r w:rsidRPr="00662906">
        <w:rPr>
          <w:rFonts w:eastAsia="Arial" w:cs="Arial"/>
        </w:rPr>
        <w:t>The SWOT analysis provides a micro-level framework, evaluating ETSAP’s internal strengths and weaknesses alongside external opportunities and threats. This dual focus helps to identify actionable insights specific to ETSAP’s scope and execution, ensuring strategic alignment with internal capabilities and external realities.</w:t>
      </w:r>
    </w:p>
    <w:p w14:paraId="5727B17B" w14:textId="5B5D5565" w:rsidR="00680D9E" w:rsidRPr="00662906" w:rsidRDefault="00680D9E" w:rsidP="00680D9E">
      <w:pPr>
        <w:rPr>
          <w:rFonts w:eastAsia="Arial" w:cs="Arial"/>
        </w:rPr>
      </w:pPr>
      <w:r w:rsidRPr="00662906">
        <w:rPr>
          <w:rFonts w:eastAsia="Arial" w:cs="Arial"/>
        </w:rPr>
        <w:t>The PESTLE analysis</w:t>
      </w:r>
      <w:r w:rsidR="00A74DEA" w:rsidRPr="00662906">
        <w:rPr>
          <w:rFonts w:eastAsia="Arial" w:cs="Arial"/>
        </w:rPr>
        <w:t>, on the other hand,</w:t>
      </w:r>
      <w:r w:rsidRPr="00662906">
        <w:rPr>
          <w:rFonts w:eastAsia="Arial" w:cs="Arial"/>
        </w:rPr>
        <w:t xml:space="preserve"> focuses on macro-level factors, examining the Political, Economic, Social, Technological, Legal, and Environmental contexts that shape the broader landscape of Africa’s energy transition. This external analysis identifies overarching trends, challenges, and opportunities that influence energy policies and market dynamics at a continental scale.</w:t>
      </w:r>
    </w:p>
    <w:p w14:paraId="15BEFE27" w14:textId="77777777" w:rsidR="00680D9E" w:rsidRPr="00662906" w:rsidRDefault="00680D9E" w:rsidP="00680D9E">
      <w:pPr>
        <w:rPr>
          <w:rFonts w:eastAsia="Arial" w:cs="Arial"/>
        </w:rPr>
      </w:pPr>
      <w:r w:rsidRPr="00662906">
        <w:rPr>
          <w:rFonts w:eastAsia="Arial" w:cs="Arial"/>
        </w:rPr>
        <w:t>Using both PESTLE and SWOT analyses is critical for a holistic approach to strategy development. While the PESTLE analysis provides the macro-context to understand the external environment and trends shaping Africa’s energy transition, the SWOT analysis dives deeper into the internal organizational factors and specific external conditions relevant to ETSAP’s implementation. Together, these tools ensure a comprehensive understanding of the challenges and opportunities at both systemic and operational levels, enabling ETSAP to:</w:t>
      </w:r>
    </w:p>
    <w:p w14:paraId="480AF819" w14:textId="77777777" w:rsidR="00680D9E" w:rsidRPr="00662906" w:rsidRDefault="00680D9E" w:rsidP="005C5546">
      <w:pPr>
        <w:pStyle w:val="ListParagraph"/>
        <w:numPr>
          <w:ilvl w:val="0"/>
          <w:numId w:val="51"/>
        </w:numPr>
        <w:rPr>
          <w:rFonts w:eastAsia="Arial" w:cs="Arial"/>
        </w:rPr>
      </w:pPr>
      <w:r w:rsidRPr="00662906">
        <w:rPr>
          <w:rFonts w:eastAsia="Arial" w:cs="Arial"/>
        </w:rPr>
        <w:t>Leverage strengths effectively to overcome weaknesses.</w:t>
      </w:r>
    </w:p>
    <w:p w14:paraId="67DC9FFC" w14:textId="77777777" w:rsidR="00680D9E" w:rsidRPr="00662906" w:rsidRDefault="00680D9E" w:rsidP="005C5546">
      <w:pPr>
        <w:pStyle w:val="ListParagraph"/>
        <w:numPr>
          <w:ilvl w:val="0"/>
          <w:numId w:val="51"/>
        </w:numPr>
        <w:rPr>
          <w:rFonts w:eastAsia="Arial" w:cs="Arial"/>
        </w:rPr>
      </w:pPr>
      <w:r w:rsidRPr="00662906">
        <w:rPr>
          <w:rFonts w:eastAsia="Arial" w:cs="Arial"/>
        </w:rPr>
        <w:lastRenderedPageBreak/>
        <w:t>Capitalize on opportunities while mitigating potential threats.</w:t>
      </w:r>
    </w:p>
    <w:p w14:paraId="15F27CA3" w14:textId="77777777" w:rsidR="00680D9E" w:rsidRPr="00662906" w:rsidRDefault="00680D9E" w:rsidP="005C5546">
      <w:pPr>
        <w:pStyle w:val="ListParagraph"/>
        <w:numPr>
          <w:ilvl w:val="0"/>
          <w:numId w:val="51"/>
        </w:numPr>
        <w:rPr>
          <w:rFonts w:eastAsia="Arial" w:cs="Arial"/>
        </w:rPr>
      </w:pPr>
      <w:r w:rsidRPr="00662906">
        <w:rPr>
          <w:rFonts w:eastAsia="Arial" w:cs="Arial"/>
        </w:rPr>
        <w:t>Adapt to external macro-trends while addressing internal capacity and readiness.</w:t>
      </w:r>
    </w:p>
    <w:p w14:paraId="51162B6F" w14:textId="09C8AC07" w:rsidR="0025270A" w:rsidRPr="00662906" w:rsidRDefault="1E2DCD7E" w:rsidP="007E4B5C">
      <w:r w:rsidRPr="00662906">
        <w:rPr>
          <w:rFonts w:eastAsia="Arial" w:cs="Arial"/>
        </w:rPr>
        <w:t>This layered analysis, combining both external (PESTLE) and internal/external (SWOT) perspectives, ensures that ETSAP is not only responsive to the broader environment but also grounded in practical, actionable strategies.</w:t>
      </w:r>
      <w:r w:rsidR="00A01886" w:rsidRPr="00662906">
        <w:rPr>
          <w:rFonts w:eastAsia="Arial" w:cs="Arial"/>
        </w:rPr>
        <w:t xml:space="preserve"> It has to be highlighted that the full analyses performed are included in the Stocktaking report (Annex </w:t>
      </w:r>
      <w:r w:rsidR="00A01886" w:rsidRPr="00662906">
        <w:rPr>
          <w:rFonts w:eastAsia="Arial" w:cs="Arial"/>
        </w:rPr>
        <w:fldChar w:fldCharType="begin"/>
      </w:r>
      <w:r w:rsidR="00A01886" w:rsidRPr="00662906">
        <w:rPr>
          <w:rFonts w:eastAsia="Arial" w:cs="Arial"/>
        </w:rPr>
        <w:instrText xml:space="preserve"> REF _Ref185538336 \r \h </w:instrText>
      </w:r>
      <w:r w:rsidR="00A01886" w:rsidRPr="00662906">
        <w:rPr>
          <w:rFonts w:eastAsia="Arial" w:cs="Arial"/>
        </w:rPr>
      </w:r>
      <w:r w:rsidR="00A01886" w:rsidRPr="00662906">
        <w:rPr>
          <w:rFonts w:eastAsia="Arial" w:cs="Arial"/>
        </w:rPr>
        <w:fldChar w:fldCharType="separate"/>
      </w:r>
      <w:r w:rsidR="00610F61">
        <w:rPr>
          <w:rFonts w:eastAsia="Arial" w:cs="Arial"/>
        </w:rPr>
        <w:t>6.2</w:t>
      </w:r>
      <w:r w:rsidR="00A01886" w:rsidRPr="00662906">
        <w:rPr>
          <w:rFonts w:eastAsia="Arial" w:cs="Arial"/>
        </w:rPr>
        <w:fldChar w:fldCharType="end"/>
      </w:r>
      <w:r w:rsidR="00A01886" w:rsidRPr="00662906">
        <w:rPr>
          <w:rFonts w:eastAsia="Arial" w:cs="Arial"/>
        </w:rPr>
        <w:t>) and a high-level summary is presented below.</w:t>
      </w:r>
    </w:p>
    <w:p w14:paraId="6B7FFC85" w14:textId="6BC722F4" w:rsidR="2C1F7750" w:rsidRPr="00662906" w:rsidRDefault="2C1F7750" w:rsidP="009A0D6A">
      <w:pPr>
        <w:pStyle w:val="Heading3"/>
        <w:ind w:left="567"/>
        <w:rPr>
          <w:rFonts w:eastAsia="Arial"/>
          <w:szCs w:val="22"/>
        </w:rPr>
      </w:pPr>
      <w:bookmarkStart w:id="406" w:name="_Toc185612144"/>
      <w:bookmarkStart w:id="407" w:name="_Toc185612292"/>
      <w:bookmarkStart w:id="408" w:name="_Toc185612378"/>
      <w:bookmarkStart w:id="409" w:name="_Toc178937484"/>
      <w:bookmarkStart w:id="410" w:name="_Toc197433835"/>
      <w:bookmarkEnd w:id="406"/>
      <w:bookmarkEnd w:id="407"/>
      <w:bookmarkEnd w:id="408"/>
      <w:r w:rsidRPr="00662906">
        <w:rPr>
          <w:rFonts w:eastAsia="Arial"/>
          <w:szCs w:val="22"/>
        </w:rPr>
        <w:t>SWOT Analysis</w:t>
      </w:r>
      <w:bookmarkEnd w:id="409"/>
      <w:bookmarkEnd w:id="410"/>
    </w:p>
    <w:p w14:paraId="5354473D" w14:textId="5D558366" w:rsidR="2C1F7750" w:rsidRPr="00662906" w:rsidRDefault="2C1F7750" w:rsidP="006D6AE3">
      <w:pPr>
        <w:rPr>
          <w:rFonts w:eastAsia="Arial" w:cs="Arial"/>
        </w:rPr>
      </w:pPr>
      <w:r w:rsidRPr="00662906">
        <w:rPr>
          <w:rFonts w:eastAsia="Arial" w:cs="Arial"/>
        </w:rPr>
        <w:t>The SWOT is analysed as it will influence the continental level directly with respect to the ETSAP and its implementation</w:t>
      </w:r>
      <w:r w:rsidRPr="00662906">
        <w:rPr>
          <w:rFonts w:eastAsia="Arial" w:cs="Arial"/>
          <w:color w:val="D13438"/>
        </w:rPr>
        <w:t xml:space="preserve"> </w:t>
      </w:r>
      <w:r w:rsidRPr="00662906">
        <w:t xml:space="preserve">(Table </w:t>
      </w:r>
      <w:r w:rsidR="00BC555B" w:rsidRPr="00662906">
        <w:t>1</w:t>
      </w:r>
      <w:r w:rsidR="003C4B5B" w:rsidRPr="00662906">
        <w:t>2</w:t>
      </w:r>
      <w:r w:rsidRPr="00662906">
        <w:t>).</w:t>
      </w:r>
    </w:p>
    <w:p w14:paraId="7FFF20E4" w14:textId="124122E8" w:rsidR="2C1F7750" w:rsidRPr="00662906" w:rsidRDefault="00B03ABB" w:rsidP="00813F48">
      <w:pPr>
        <w:pStyle w:val="Caption"/>
        <w:rPr>
          <w:rFonts w:eastAsia="Arial" w:cs="Arial"/>
        </w:rPr>
      </w:pPr>
      <w:bookmarkStart w:id="411" w:name="_Toc197433900"/>
      <w:r w:rsidRPr="00662906">
        <w:t xml:space="preserve">Table </w:t>
      </w:r>
      <w:fldSimple w:instr=" SEQ Table \* ARABIC ">
        <w:r w:rsidR="00610F61">
          <w:rPr>
            <w:noProof/>
          </w:rPr>
          <w:t>12</w:t>
        </w:r>
      </w:fldSimple>
      <w:r w:rsidRPr="00662906">
        <w:t xml:space="preserve">: </w:t>
      </w:r>
      <w:r w:rsidR="2C1F7750" w:rsidRPr="00662906">
        <w:rPr>
          <w:rFonts w:eastAsia="Arial" w:cs="Arial"/>
        </w:rPr>
        <w:t>SWOT Analysis</w:t>
      </w:r>
      <w:bookmarkEnd w:id="411"/>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15"/>
        <w:gridCol w:w="4785"/>
      </w:tblGrid>
      <w:tr w:rsidR="0ED2C88A" w:rsidRPr="00662906" w14:paraId="2E23A4E4" w14:textId="77777777" w:rsidTr="2D9E25B5">
        <w:trPr>
          <w:trHeight w:val="75"/>
        </w:trPr>
        <w:tc>
          <w:tcPr>
            <w:tcW w:w="42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1F1F3378" w14:textId="16D8B9CF" w:rsidR="0ED2C88A" w:rsidRPr="00662906" w:rsidRDefault="0ED2C88A" w:rsidP="00A74DEA">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Strengths</w:t>
            </w:r>
          </w:p>
        </w:tc>
        <w:tc>
          <w:tcPr>
            <w:tcW w:w="47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33565A13" w14:textId="4700F9D3" w:rsidR="0ED2C88A" w:rsidRPr="00662906" w:rsidRDefault="0ED2C88A" w:rsidP="00A74DEA">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Weaknesses</w:t>
            </w:r>
          </w:p>
        </w:tc>
      </w:tr>
      <w:tr w:rsidR="0ED2C88A" w:rsidRPr="00662906" w14:paraId="7ACD69A2" w14:textId="77777777" w:rsidTr="2D9E25B5">
        <w:trPr>
          <w:trHeight w:val="405"/>
        </w:trPr>
        <w:tc>
          <w:tcPr>
            <w:tcW w:w="42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62A12476" w14:textId="7498CCFE"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Continent rich in abundant energy transition resources that include natural gas, solar, wind, hydro, geothermal and biomass; and strategic minerals that can be used to manufacture green technologies.</w:t>
            </w:r>
          </w:p>
          <w:p w14:paraId="58BA58DB" w14:textId="6F84C7F8"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There is already a growing positive political will </w:t>
            </w:r>
            <w:r w:rsidR="75BA49F8" w:rsidRPr="00662906">
              <w:rPr>
                <w:rFonts w:eastAsia="Arial" w:cs="Arial"/>
                <w:sz w:val="18"/>
                <w:szCs w:val="18"/>
              </w:rPr>
              <w:t xml:space="preserve">and initiatives </w:t>
            </w:r>
            <w:r w:rsidRPr="00662906">
              <w:rPr>
                <w:rFonts w:eastAsia="Arial" w:cs="Arial"/>
                <w:sz w:val="18"/>
                <w:szCs w:val="18"/>
              </w:rPr>
              <w:t>to move towards these clean energy sources.</w:t>
            </w:r>
          </w:p>
          <w:p w14:paraId="068CFBF7" w14:textId="024FAF5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There is already on-going drive to enhance regional integration starting at regional levels.</w:t>
            </w:r>
          </w:p>
          <w:p w14:paraId="4EE52D3A" w14:textId="3054A2E7"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Continental and regional institutional arrangements exist </w:t>
            </w:r>
            <w:r w:rsidR="574EDFF6" w:rsidRPr="00662906">
              <w:rPr>
                <w:rFonts w:eastAsia="Arial" w:cs="Arial"/>
                <w:sz w:val="18"/>
                <w:szCs w:val="18"/>
              </w:rPr>
              <w:t xml:space="preserve">and are aligned </w:t>
            </w:r>
            <w:r w:rsidRPr="00662906">
              <w:rPr>
                <w:rFonts w:eastAsia="Arial" w:cs="Arial"/>
                <w:sz w:val="18"/>
                <w:szCs w:val="18"/>
              </w:rPr>
              <w:t>to drive the integration agenda.</w:t>
            </w:r>
          </w:p>
          <w:p w14:paraId="5085DDE3" w14:textId="557183FB"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There is growing joint investments by regions on the needed infrastructure projects that can deliver.</w:t>
            </w:r>
          </w:p>
          <w:p w14:paraId="26DDFCAF" w14:textId="55C3114C"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There is a large market that can accommodate clean energy investments on the continent.</w:t>
            </w:r>
          </w:p>
          <w:p w14:paraId="68439667" w14:textId="36021009"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 large youthful population is a resource for skills building and creating a knowledgeable market for adoption of new technologies.</w:t>
            </w:r>
          </w:p>
          <w:p w14:paraId="5CA64188" w14:textId="1954CD88"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 AfCFTA has opened an opportunity for energy (electricity and appliance) trade across the continent.</w:t>
            </w:r>
          </w:p>
        </w:tc>
        <w:tc>
          <w:tcPr>
            <w:tcW w:w="47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60C77FF2" w14:textId="4E46F8F9"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Infrastructure for sharing of clean energy resources on the continent is limited and needs enhancement especially for trade</w:t>
            </w:r>
            <w:r w:rsidR="6C40F672" w:rsidRPr="00662906">
              <w:rPr>
                <w:rFonts w:eastAsia="Arial" w:cs="Arial"/>
                <w:sz w:val="18"/>
                <w:szCs w:val="18"/>
              </w:rPr>
              <w:t xml:space="preserve"> and renewal</w:t>
            </w:r>
            <w:r w:rsidRPr="00662906">
              <w:rPr>
                <w:rFonts w:eastAsia="Arial" w:cs="Arial"/>
                <w:sz w:val="18"/>
                <w:szCs w:val="18"/>
              </w:rPr>
              <w:t>.</w:t>
            </w:r>
          </w:p>
          <w:p w14:paraId="5F0B9569" w14:textId="43338FB2"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Capacity and skills are still limited to adopt energy transition initiatives.</w:t>
            </w:r>
          </w:p>
          <w:p w14:paraId="70505729" w14:textId="4FDC00D1"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Securing financing is still a hindrance to adoption of ET technologies and investments</w:t>
            </w:r>
          </w:p>
          <w:p w14:paraId="367B962C" w14:textId="22B03E9F"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 market is in a lock in on both traditional and fossil fuels and inertia will hinder progress.</w:t>
            </w:r>
          </w:p>
          <w:p w14:paraId="4EF5FC6E" w14:textId="2B2AE84C"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Energy transition will also result in job losses and mothballing of fossil fuel-based assets hence </w:t>
            </w:r>
            <w:r w:rsidR="193AC591" w:rsidRPr="00662906">
              <w:rPr>
                <w:rFonts w:eastAsia="Arial" w:cs="Arial"/>
                <w:sz w:val="18"/>
                <w:szCs w:val="18"/>
              </w:rPr>
              <w:t>delaying the decisions to migrate</w:t>
            </w:r>
            <w:r w:rsidRPr="00662906">
              <w:rPr>
                <w:rFonts w:eastAsia="Arial" w:cs="Arial"/>
                <w:sz w:val="18"/>
                <w:szCs w:val="18"/>
              </w:rPr>
              <w:t xml:space="preserve"> to clean energy transition.</w:t>
            </w:r>
          </w:p>
          <w:p w14:paraId="15ADDAC0" w14:textId="4D441DB7"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Policies convergence, regulatory frameworks and standards are still fragmented across the continent and will require harmonization for efficient cross border investments, markets, and trading.</w:t>
            </w:r>
          </w:p>
          <w:p w14:paraId="411CED7E" w14:textId="4EB5041F"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Low awareness of the cost and benefits of energy transition technologies and initiatives.</w:t>
            </w:r>
          </w:p>
          <w:p w14:paraId="19D369AC" w14:textId="5C88436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Africa has weak data for effective planning that can inform investments and allocation of budgets.</w:t>
            </w:r>
          </w:p>
          <w:p w14:paraId="3FDB32FF" w14:textId="0FB5458C"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High poverty and lack of awareness </w:t>
            </w:r>
            <w:r w:rsidR="00344587" w:rsidRPr="00662906">
              <w:rPr>
                <w:rFonts w:eastAsia="Arial" w:cs="Arial"/>
                <w:sz w:val="18"/>
                <w:szCs w:val="18"/>
              </w:rPr>
              <w:t xml:space="preserve">in terms of modern energy solutions </w:t>
            </w:r>
            <w:r w:rsidR="00007D89" w:rsidRPr="00662906">
              <w:rPr>
                <w:rFonts w:eastAsia="Arial" w:cs="Arial"/>
                <w:sz w:val="18"/>
                <w:szCs w:val="18"/>
              </w:rPr>
              <w:t xml:space="preserve">coupled with </w:t>
            </w:r>
            <w:r w:rsidRPr="00662906">
              <w:rPr>
                <w:rFonts w:eastAsia="Arial" w:cs="Arial"/>
                <w:sz w:val="18"/>
                <w:szCs w:val="18"/>
              </w:rPr>
              <w:t>resistance to change among the majority of population mainly in rural areas.</w:t>
            </w:r>
          </w:p>
          <w:p w14:paraId="16652289" w14:textId="4D548FBA"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Low technology know-how</w:t>
            </w:r>
            <w:r w:rsidR="56CF23F2" w:rsidRPr="00662906">
              <w:rPr>
                <w:rFonts w:eastAsia="Arial" w:cs="Arial"/>
                <w:sz w:val="18"/>
                <w:szCs w:val="18"/>
              </w:rPr>
              <w:t xml:space="preserve"> and access</w:t>
            </w:r>
            <w:r w:rsidRPr="00662906">
              <w:rPr>
                <w:rFonts w:eastAsia="Arial" w:cs="Arial"/>
                <w:sz w:val="18"/>
                <w:szCs w:val="18"/>
              </w:rPr>
              <w:t>.</w:t>
            </w:r>
          </w:p>
          <w:p w14:paraId="40D8349F" w14:textId="281E7C29"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Administrative burden and </w:t>
            </w:r>
            <w:r w:rsidR="1444BB18" w:rsidRPr="00662906">
              <w:rPr>
                <w:rFonts w:eastAsia="Arial" w:cs="Arial"/>
                <w:sz w:val="18"/>
                <w:szCs w:val="18"/>
              </w:rPr>
              <w:t>slow</w:t>
            </w:r>
            <w:r w:rsidRPr="00662906">
              <w:rPr>
                <w:rFonts w:eastAsia="Arial" w:cs="Arial"/>
                <w:sz w:val="18"/>
                <w:szCs w:val="18"/>
              </w:rPr>
              <w:t xml:space="preserve"> decision-making process.</w:t>
            </w:r>
          </w:p>
        </w:tc>
      </w:tr>
      <w:tr w:rsidR="0ED2C88A" w:rsidRPr="00662906" w14:paraId="5F62A5EC" w14:textId="77777777" w:rsidTr="2D9E25B5">
        <w:trPr>
          <w:trHeight w:val="450"/>
        </w:trPr>
        <w:tc>
          <w:tcPr>
            <w:tcW w:w="42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7044917A" w14:textId="1823DFF6" w:rsidR="0ED2C88A" w:rsidRPr="00662906" w:rsidRDefault="0ED2C88A" w:rsidP="00A74DEA">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Threats</w:t>
            </w:r>
          </w:p>
        </w:tc>
        <w:tc>
          <w:tcPr>
            <w:tcW w:w="47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4243E14C" w14:textId="0DF4AC57" w:rsidR="0ED2C88A" w:rsidRPr="00662906" w:rsidRDefault="0ED2C88A" w:rsidP="00A74DEA">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Opportunities</w:t>
            </w:r>
          </w:p>
        </w:tc>
      </w:tr>
      <w:tr w:rsidR="0ED2C88A" w:rsidRPr="00662906" w14:paraId="7DFFE0BC" w14:textId="77777777" w:rsidTr="00B20027">
        <w:trPr>
          <w:trHeight w:val="4760"/>
        </w:trPr>
        <w:tc>
          <w:tcPr>
            <w:tcW w:w="42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0A9C2A72" w14:textId="65E9981D"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lastRenderedPageBreak/>
              <w:t>Political instability on the continent will maker other Member States unreachable</w:t>
            </w:r>
            <w:r w:rsidR="5714FA7E" w:rsidRPr="00662906">
              <w:rPr>
                <w:rFonts w:eastAsia="Arial" w:cs="Arial"/>
                <w:sz w:val="18"/>
                <w:szCs w:val="18"/>
              </w:rPr>
              <w:t xml:space="preserve"> or focus on ET</w:t>
            </w:r>
            <w:r w:rsidRPr="00662906">
              <w:rPr>
                <w:rFonts w:eastAsia="Arial" w:cs="Arial"/>
                <w:sz w:val="18"/>
                <w:szCs w:val="18"/>
              </w:rPr>
              <w:t>.</w:t>
            </w:r>
          </w:p>
          <w:p w14:paraId="5B3AA3C8" w14:textId="07111C2B"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Low economic performance of the majority of economies means they cannot participate in ET meaningfully.</w:t>
            </w:r>
          </w:p>
          <w:p w14:paraId="0BBFB744" w14:textId="7D865BD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Dependence on imported clean energy technologies will limit access and also incur high landed costs of these technologies making them unaffordable to the majority of the African population.</w:t>
            </w:r>
          </w:p>
          <w:p w14:paraId="5C7F3550" w14:textId="50F139A4"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Meaningful participation of technology companies will require attractive incentives and subsidies that most Africa countries have not yet institute</w:t>
            </w:r>
            <w:r w:rsidR="3C25BE2B" w:rsidRPr="00662906">
              <w:rPr>
                <w:rFonts w:eastAsia="Arial" w:cs="Arial"/>
                <w:sz w:val="18"/>
                <w:szCs w:val="18"/>
              </w:rPr>
              <w:t>d</w:t>
            </w:r>
            <w:r w:rsidRPr="00662906">
              <w:rPr>
                <w:rFonts w:eastAsia="Arial" w:cs="Arial"/>
                <w:sz w:val="18"/>
                <w:szCs w:val="18"/>
              </w:rPr>
              <w:t>.</w:t>
            </w:r>
          </w:p>
          <w:p w14:paraId="6D157DA2" w14:textId="34D26946" w:rsidR="0ED2C88A" w:rsidRPr="00662906" w:rsidRDefault="1A3BA35B"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Low budget allocation </w:t>
            </w:r>
            <w:r w:rsidR="2F472371" w:rsidRPr="00662906">
              <w:rPr>
                <w:rFonts w:eastAsia="Arial" w:cs="Arial"/>
                <w:sz w:val="18"/>
                <w:szCs w:val="18"/>
              </w:rPr>
              <w:t xml:space="preserve">and ability </w:t>
            </w:r>
            <w:r w:rsidRPr="00662906">
              <w:rPr>
                <w:rFonts w:eastAsia="Arial" w:cs="Arial"/>
                <w:sz w:val="18"/>
                <w:szCs w:val="18"/>
              </w:rPr>
              <w:t xml:space="preserve">to </w:t>
            </w:r>
            <w:r w:rsidR="77EA13F9" w:rsidRPr="00662906">
              <w:rPr>
                <w:rFonts w:eastAsia="Arial" w:cs="Arial"/>
                <w:sz w:val="18"/>
                <w:szCs w:val="18"/>
              </w:rPr>
              <w:t xml:space="preserve">finance </w:t>
            </w:r>
            <w:r w:rsidRPr="00662906">
              <w:rPr>
                <w:rFonts w:eastAsia="Arial" w:cs="Arial"/>
                <w:sz w:val="18"/>
                <w:szCs w:val="18"/>
              </w:rPr>
              <w:t>ET initiatives.</w:t>
            </w:r>
          </w:p>
          <w:p w14:paraId="52694252" w14:textId="4E9211D9"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Overdependence on foreign investors who come with preconditions and would like to dictate markets and MS they want to work with.</w:t>
            </w:r>
          </w:p>
          <w:p w14:paraId="66DF7295" w14:textId="74AD8EAA"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African high </w:t>
            </w:r>
            <w:r w:rsidR="00007D89" w:rsidRPr="00662906">
              <w:rPr>
                <w:rFonts w:eastAsia="Arial" w:cs="Arial"/>
                <w:sz w:val="18"/>
                <w:szCs w:val="18"/>
              </w:rPr>
              <w:t xml:space="preserve">level of </w:t>
            </w:r>
            <w:r w:rsidRPr="00662906">
              <w:rPr>
                <w:rFonts w:eastAsia="Arial" w:cs="Arial"/>
                <w:sz w:val="18"/>
                <w:szCs w:val="18"/>
              </w:rPr>
              <w:t>corruption</w:t>
            </w:r>
            <w:r w:rsidR="00007D89" w:rsidRPr="00662906">
              <w:rPr>
                <w:rFonts w:eastAsia="Arial" w:cs="Arial"/>
                <w:sz w:val="18"/>
                <w:szCs w:val="18"/>
              </w:rPr>
              <w:t>.</w:t>
            </w:r>
          </w:p>
        </w:tc>
        <w:tc>
          <w:tcPr>
            <w:tcW w:w="47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3E8CC18A" w14:textId="6B702D3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The lowering of costs of Renewable energy technologies like solar, wind, battery, and extension of applicability to the various energy subsectors.</w:t>
            </w:r>
          </w:p>
          <w:p w14:paraId="1DB67063" w14:textId="541A0655"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Further discoveries of the much-needed natural gas reserves and market opportunities.</w:t>
            </w:r>
          </w:p>
          <w:p w14:paraId="4466DFC5" w14:textId="302E7985"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Targeted financing and investment flows for clean energy transition.</w:t>
            </w:r>
          </w:p>
          <w:p w14:paraId="02E4DA4C" w14:textId="00CDEFA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Global policy convergence on driving energy transition.</w:t>
            </w:r>
          </w:p>
          <w:p w14:paraId="5321A9B4" w14:textId="41B2EE8E"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Active participation of African MS in the Paris Agreement to attract conditional financing.</w:t>
            </w:r>
          </w:p>
          <w:p w14:paraId="045515DB" w14:textId="65E41473"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Already energy transition initiatives going on at national, regional, continental level to learn from.</w:t>
            </w:r>
          </w:p>
          <w:p w14:paraId="3F4F6243" w14:textId="08611AA9"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Already established continental energy transition initiatives such as </w:t>
            </w:r>
            <w:r w:rsidR="00FF5AEE" w:rsidRPr="00662906">
              <w:rPr>
                <w:rFonts w:eastAsia="Arial" w:cs="Arial"/>
                <w:sz w:val="18"/>
                <w:szCs w:val="18"/>
              </w:rPr>
              <w:t>AfSEM</w:t>
            </w:r>
            <w:r w:rsidRPr="00662906">
              <w:rPr>
                <w:rFonts w:eastAsia="Arial" w:cs="Arial"/>
                <w:sz w:val="18"/>
                <w:szCs w:val="18"/>
              </w:rPr>
              <w:t xml:space="preserve">, CMP, </w:t>
            </w:r>
            <w:r w:rsidR="00FF5AEE" w:rsidRPr="00662906">
              <w:rPr>
                <w:rFonts w:eastAsia="Arial" w:cs="Arial"/>
                <w:sz w:val="18"/>
                <w:szCs w:val="18"/>
              </w:rPr>
              <w:t>AfEES</w:t>
            </w:r>
            <w:r w:rsidRPr="00662906">
              <w:rPr>
                <w:rFonts w:eastAsia="Arial" w:cs="Arial"/>
                <w:sz w:val="18"/>
                <w:szCs w:val="18"/>
              </w:rPr>
              <w:t xml:space="preserve"> that are now well defined to deliver on the ET.</w:t>
            </w:r>
          </w:p>
          <w:p w14:paraId="2C3FD58E" w14:textId="63AADB46"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Tapping of support of international resource organizations that is readily available to Africa on ET</w:t>
            </w:r>
          </w:p>
          <w:p w14:paraId="55B17376" w14:textId="7CE01F70" w:rsidR="0ED2C88A" w:rsidRPr="00662906" w:rsidRDefault="0ED2C88A" w:rsidP="00A74DEA">
            <w:pPr>
              <w:pStyle w:val="ListParagraph"/>
              <w:spacing w:before="0" w:after="0" w:line="240" w:lineRule="auto"/>
              <w:ind w:left="442" w:hanging="357"/>
              <w:rPr>
                <w:rFonts w:eastAsia="Arial" w:cs="Arial"/>
                <w:sz w:val="18"/>
                <w:szCs w:val="18"/>
              </w:rPr>
            </w:pPr>
            <w:r w:rsidRPr="00662906">
              <w:rPr>
                <w:rFonts w:eastAsia="Arial" w:cs="Arial"/>
                <w:sz w:val="18"/>
                <w:szCs w:val="18"/>
              </w:rPr>
              <w:t>Dedicated financing by AfDB for the ETSAP and other related initiatives.</w:t>
            </w:r>
          </w:p>
        </w:tc>
      </w:tr>
    </w:tbl>
    <w:p w14:paraId="712A9196" w14:textId="4FC74391" w:rsidR="0005404D" w:rsidRPr="00662906" w:rsidRDefault="2C1F7750" w:rsidP="00813F48">
      <w:pPr>
        <w:spacing w:after="60"/>
        <w:rPr>
          <w:rFonts w:eastAsia="Arial" w:cs="Arial"/>
          <w:i/>
          <w:color w:val="B4A169"/>
          <w:sz w:val="16"/>
          <w:szCs w:val="16"/>
        </w:rPr>
      </w:pPr>
      <w:r w:rsidRPr="00662906">
        <w:rPr>
          <w:rFonts w:eastAsia="Arial" w:cs="Arial"/>
          <w:i/>
          <w:iCs/>
          <w:color w:val="B4A169"/>
          <w:sz w:val="16"/>
          <w:szCs w:val="16"/>
        </w:rPr>
        <w:t>Source:</w:t>
      </w:r>
      <w:r w:rsidRPr="00662906">
        <w:rPr>
          <w:rFonts w:eastAsia="Arial" w:cs="Arial"/>
        </w:rPr>
        <w:t xml:space="preserve"> </w:t>
      </w:r>
      <w:r w:rsidRPr="00662906">
        <w:rPr>
          <w:rFonts w:eastAsia="Arial" w:cs="Arial"/>
          <w:i/>
          <w:iCs/>
          <w:color w:val="B4A169"/>
          <w:sz w:val="16"/>
          <w:szCs w:val="16"/>
        </w:rPr>
        <w:t xml:space="preserve">Authors' own creation </w:t>
      </w:r>
    </w:p>
    <w:p w14:paraId="592A6749" w14:textId="664B00E1" w:rsidR="2C1F7750" w:rsidRPr="00662906" w:rsidRDefault="2C1F7750" w:rsidP="009A0D6A">
      <w:pPr>
        <w:pStyle w:val="Heading3"/>
        <w:ind w:left="567"/>
        <w:rPr>
          <w:rFonts w:eastAsia="Arial"/>
          <w:szCs w:val="22"/>
        </w:rPr>
      </w:pPr>
      <w:bookmarkStart w:id="412" w:name="_Toc178937485"/>
      <w:bookmarkStart w:id="413" w:name="_Toc197433836"/>
      <w:r w:rsidRPr="00662906">
        <w:rPr>
          <w:rFonts w:eastAsia="Arial"/>
          <w:szCs w:val="22"/>
        </w:rPr>
        <w:t>PESTEL Analysis</w:t>
      </w:r>
      <w:bookmarkEnd w:id="412"/>
      <w:bookmarkEnd w:id="413"/>
    </w:p>
    <w:p w14:paraId="34393B8B" w14:textId="743A1479" w:rsidR="2C1F7750" w:rsidRPr="00662906" w:rsidRDefault="2C1F7750" w:rsidP="00813F48">
      <w:pPr>
        <w:rPr>
          <w:rFonts w:eastAsia="Arial" w:cs="Arial"/>
        </w:rPr>
      </w:pPr>
      <w:r w:rsidRPr="00662906">
        <w:rPr>
          <w:rFonts w:eastAsia="Arial" w:cs="Arial"/>
        </w:rPr>
        <w:t xml:space="preserve">A PESTEL analysis is a strategic tool used to evaluate the broad macro-environmental factors that impact a strategy. This includes Political, Economic, Sociocultural, Technological, Environmental, and Legal factors. Understanding these external influences is crucial for strategic planning, as they often drive opportunities and threats that can impact the feasibility and success of a strategy. </w:t>
      </w:r>
    </w:p>
    <w:p w14:paraId="5E9F087F" w14:textId="349ED94A" w:rsidR="0ED2C88A" w:rsidRPr="00662906" w:rsidRDefault="2C1F7750" w:rsidP="00B03ABB">
      <w:pPr>
        <w:rPr>
          <w:rFonts w:eastAsia="Arial" w:cs="Arial"/>
        </w:rPr>
      </w:pPr>
      <w:r w:rsidRPr="00662906">
        <w:rPr>
          <w:rFonts w:ascii="Times New Roman" w:eastAsia="Times New Roman" w:hAnsi="Times New Roman" w:cs="Times New Roman"/>
          <w:color w:val="0F4761"/>
          <w:sz w:val="14"/>
          <w:szCs w:val="14"/>
        </w:rPr>
        <w:t xml:space="preserve"> </w:t>
      </w:r>
      <w:r w:rsidRPr="00662906">
        <w:rPr>
          <w:rFonts w:eastAsia="Arial" w:cs="Arial"/>
        </w:rPr>
        <w:t xml:space="preserve">The PESTEL has been presented considering both International and African perspectives (Table </w:t>
      </w:r>
      <w:r w:rsidR="00B03ABB" w:rsidRPr="00662906">
        <w:rPr>
          <w:rFonts w:eastAsia="Arial" w:cs="Arial"/>
        </w:rPr>
        <w:t>1</w:t>
      </w:r>
      <w:r w:rsidR="003C4B5B" w:rsidRPr="00662906">
        <w:rPr>
          <w:rFonts w:eastAsia="Arial" w:cs="Arial"/>
        </w:rPr>
        <w:t>3</w:t>
      </w:r>
      <w:r w:rsidRPr="00662906">
        <w:rPr>
          <w:rFonts w:eastAsia="Arial" w:cs="Arial"/>
        </w:rPr>
        <w:t>).</w:t>
      </w:r>
    </w:p>
    <w:p w14:paraId="38362587" w14:textId="0DD114CC" w:rsidR="2C1F7750" w:rsidRPr="00662906" w:rsidRDefault="00B03ABB" w:rsidP="00813F48">
      <w:pPr>
        <w:pStyle w:val="Caption"/>
        <w:keepNext/>
        <w:rPr>
          <w:rFonts w:eastAsia="Arial" w:cs="Arial"/>
        </w:rPr>
      </w:pPr>
      <w:bookmarkStart w:id="414" w:name="_Toc197433901"/>
      <w:r w:rsidRPr="00662906">
        <w:t xml:space="preserve">Table </w:t>
      </w:r>
      <w:fldSimple w:instr=" SEQ Table \* ARABIC ">
        <w:r w:rsidR="00610F61">
          <w:rPr>
            <w:noProof/>
          </w:rPr>
          <w:t>13</w:t>
        </w:r>
      </w:fldSimple>
      <w:r w:rsidRPr="00662906">
        <w:t xml:space="preserve">: </w:t>
      </w:r>
      <w:r w:rsidR="2C1F7750" w:rsidRPr="00662906">
        <w:rPr>
          <w:rFonts w:eastAsia="Arial" w:cs="Arial"/>
        </w:rPr>
        <w:t>Overview of PESTEL Analysis</w:t>
      </w:r>
      <w:bookmarkEnd w:id="414"/>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915"/>
        <w:gridCol w:w="5085"/>
      </w:tblGrid>
      <w:tr w:rsidR="0ED2C88A" w:rsidRPr="00662906" w14:paraId="6300104C" w14:textId="77777777" w:rsidTr="2D9E25B5">
        <w:trPr>
          <w:trHeight w:val="300"/>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20B827DF" w14:textId="1F9866E0" w:rsidR="0ED2C88A" w:rsidRPr="00662906" w:rsidRDefault="0ED2C88A" w:rsidP="003A6D1E">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Political/Policy</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2D846DD3" w14:textId="24E16917" w:rsidR="0ED2C88A" w:rsidRPr="00662906" w:rsidRDefault="0ED2C88A" w:rsidP="003A6D1E">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Economic</w:t>
            </w:r>
          </w:p>
        </w:tc>
      </w:tr>
      <w:tr w:rsidR="0ED2C88A" w:rsidRPr="00662906" w14:paraId="00F0FF64" w14:textId="77777777" w:rsidTr="2D9E25B5">
        <w:trPr>
          <w:trHeight w:val="20"/>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57746E41" w14:textId="5E73A58E"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Vulnerability of African MS and rampant civil strife in some nations and regions.</w:t>
            </w:r>
          </w:p>
          <w:p w14:paraId="7F242609" w14:textId="19DBC8F6"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No collective decision on own national resource development and exports.</w:t>
            </w:r>
          </w:p>
          <w:p w14:paraId="53F7EF22" w14:textId="67633247"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National sovereignty on interactions with global partners and investors.</w:t>
            </w:r>
          </w:p>
          <w:p w14:paraId="1201B1F1" w14:textId="0EFBB841"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National versus regional/continental political decision framework that will limit influence on AU MS to implement and or prioritize the recommendations of AU strategies. </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0E915957" w14:textId="68C98F02"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National versus regional /continental investment decisions.</w:t>
            </w:r>
          </w:p>
          <w:p w14:paraId="6E53D1C9" w14:textId="54F8018A"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Continental MS are affected by currency exchange rates, inflation issues, resulting in poor affordability of foreign sourced technologies and services.</w:t>
            </w:r>
          </w:p>
          <w:p w14:paraId="451A7449" w14:textId="55FD6614"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MS suffer from credibility as destination for investment.</w:t>
            </w:r>
          </w:p>
          <w:p w14:paraId="7AB770D9" w14:textId="6B1F9A0C"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Local economies depend heavily on Fossils for production/export and consumption.</w:t>
            </w:r>
          </w:p>
          <w:p w14:paraId="02939C1F" w14:textId="05157B0E"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Fluctuations on energy prices such as oil and gas, that also impacts on performance of local economies.</w:t>
            </w:r>
          </w:p>
          <w:p w14:paraId="6317DAD7" w14:textId="6D1553CA"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Dictated prices at international level for African strategic minerals and resources.</w:t>
            </w:r>
          </w:p>
          <w:p w14:paraId="5171B9CD" w14:textId="35F74D0E"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 xml:space="preserve">High indebted countries have difficulties borrowing for investments. </w:t>
            </w:r>
          </w:p>
          <w:p w14:paraId="429DBA4E" w14:textId="0740A1C2"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Disparities in economic performance of AU MS limits their cooperation in joint investments.</w:t>
            </w:r>
          </w:p>
        </w:tc>
      </w:tr>
      <w:tr w:rsidR="0ED2C88A" w:rsidRPr="00662906" w14:paraId="5D26F4BF" w14:textId="77777777" w:rsidTr="2D9E25B5">
        <w:trPr>
          <w:trHeight w:val="15"/>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2DA440E6" w14:textId="74FDCD13" w:rsidR="0ED2C88A" w:rsidRPr="00662906" w:rsidRDefault="0ED2C88A" w:rsidP="003A6D1E">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Technology</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5B1D881B" w14:textId="47A4E4AF" w:rsidR="0ED2C88A" w:rsidRPr="00662906" w:rsidRDefault="0ED2C88A" w:rsidP="003A6D1E">
            <w:pPr>
              <w:spacing w:before="0" w:after="0" w:line="240" w:lineRule="auto"/>
              <w:jc w:val="center"/>
              <w:rPr>
                <w:rFonts w:eastAsia="Arial" w:cs="Arial"/>
                <w:color w:val="FFFFFF" w:themeColor="background2"/>
                <w:sz w:val="18"/>
                <w:szCs w:val="18"/>
              </w:rPr>
            </w:pPr>
            <w:r w:rsidRPr="00662906">
              <w:rPr>
                <w:rFonts w:eastAsia="Arial" w:cs="Arial"/>
                <w:b/>
                <w:bCs/>
                <w:color w:val="FFFFFF" w:themeColor="background2"/>
                <w:sz w:val="18"/>
                <w:szCs w:val="18"/>
              </w:rPr>
              <w:t>Social</w:t>
            </w:r>
          </w:p>
        </w:tc>
      </w:tr>
      <w:tr w:rsidR="0ED2C88A" w:rsidRPr="00662906" w14:paraId="0F4973A3" w14:textId="77777777" w:rsidTr="2D9E25B5">
        <w:trPr>
          <w:trHeight w:val="300"/>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79A386DB" w14:textId="32543E94"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Global costs of RE technologies are coming down.</w:t>
            </w:r>
          </w:p>
          <w:p w14:paraId="00089573" w14:textId="1F9BECFD"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Comparative performance and related costs and benefit analysis to assist consumer decision making is not prevalent.</w:t>
            </w:r>
          </w:p>
          <w:p w14:paraId="09504787" w14:textId="7A5D7540"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Low allocation of R&amp;D budgets by African MS for ET technologies and modernization of infrastructure is limited.</w:t>
            </w:r>
          </w:p>
          <w:p w14:paraId="42D9B085" w14:textId="153770C9" w:rsidR="0ED2C88A" w:rsidRPr="00662906" w:rsidRDefault="1A3BA35B" w:rsidP="003A6D1E">
            <w:pPr>
              <w:pStyle w:val="ListParagraph"/>
              <w:spacing w:before="0" w:after="0" w:line="240" w:lineRule="auto"/>
              <w:ind w:left="447"/>
              <w:rPr>
                <w:rFonts w:eastAsia="Arial" w:cs="Arial"/>
                <w:sz w:val="18"/>
                <w:szCs w:val="18"/>
              </w:rPr>
            </w:pPr>
            <w:r w:rsidRPr="00662906">
              <w:rPr>
                <w:rFonts w:eastAsia="Arial" w:cs="Arial"/>
                <w:sz w:val="18"/>
                <w:szCs w:val="18"/>
              </w:rPr>
              <w:lastRenderedPageBreak/>
              <w:t>Emerging threats from cybersecurity that can threaten advancement in modernization of infrastructure</w:t>
            </w:r>
            <w:r w:rsidR="53B813D9" w:rsidRPr="00662906">
              <w:rPr>
                <w:rFonts w:eastAsia="Arial" w:cs="Arial"/>
                <w:sz w:val="18"/>
                <w:szCs w:val="18"/>
              </w:rPr>
              <w:t xml:space="preserve"> and electricity supply systems</w:t>
            </w:r>
            <w:r w:rsidRPr="00662906">
              <w:rPr>
                <w:rFonts w:eastAsia="Arial" w:cs="Arial"/>
                <w:sz w:val="18"/>
                <w:szCs w:val="18"/>
              </w:rPr>
              <w:t>.</w:t>
            </w:r>
          </w:p>
          <w:p w14:paraId="57A9ABBF" w14:textId="01A5359E"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Limited culture of infrastructure maintenance.</w:t>
            </w:r>
          </w:p>
          <w:p w14:paraId="110626C9" w14:textId="2F9D67F9" w:rsidR="0ED2C88A" w:rsidRPr="00662906" w:rsidRDefault="1A3BA35B" w:rsidP="003A6D1E">
            <w:pPr>
              <w:pStyle w:val="ListParagraph"/>
              <w:spacing w:before="0" w:after="0" w:line="240" w:lineRule="auto"/>
              <w:ind w:left="447"/>
              <w:rPr>
                <w:rFonts w:eastAsia="Arial" w:cs="Arial"/>
                <w:sz w:val="18"/>
                <w:szCs w:val="18"/>
              </w:rPr>
            </w:pPr>
            <w:r w:rsidRPr="00662906">
              <w:rPr>
                <w:rFonts w:eastAsia="Arial" w:cs="Arial"/>
                <w:sz w:val="18"/>
                <w:szCs w:val="18"/>
              </w:rPr>
              <w:t>Tapping on unconventional</w:t>
            </w:r>
            <w:r w:rsidR="6D1796CD" w:rsidRPr="00662906">
              <w:rPr>
                <w:rFonts w:eastAsia="Arial" w:cs="Arial"/>
                <w:sz w:val="18"/>
                <w:szCs w:val="18"/>
              </w:rPr>
              <w:t>/</w:t>
            </w:r>
            <w:r w:rsidR="006D6AE3" w:rsidRPr="00662906">
              <w:rPr>
                <w:rFonts w:eastAsia="Arial" w:cs="Arial"/>
                <w:sz w:val="18"/>
                <w:szCs w:val="18"/>
              </w:rPr>
              <w:t>indigenous</w:t>
            </w:r>
            <w:r w:rsidRPr="00662906">
              <w:rPr>
                <w:rFonts w:eastAsia="Arial" w:cs="Arial"/>
                <w:sz w:val="18"/>
                <w:szCs w:val="18"/>
              </w:rPr>
              <w:t xml:space="preserve"> technologies</w:t>
            </w:r>
            <w:r w:rsidR="617FF790" w:rsidRPr="00662906">
              <w:rPr>
                <w:rFonts w:eastAsia="Arial" w:cs="Arial"/>
                <w:sz w:val="18"/>
                <w:szCs w:val="18"/>
              </w:rPr>
              <w:t xml:space="preserve"> is low</w:t>
            </w:r>
            <w:r w:rsidRPr="00662906">
              <w:rPr>
                <w:rFonts w:eastAsia="Arial" w:cs="Arial"/>
                <w:sz w:val="18"/>
                <w:szCs w:val="18"/>
              </w:rPr>
              <w:t>.</w:t>
            </w:r>
          </w:p>
          <w:p w14:paraId="31575B68" w14:textId="381D70B6"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Technology awareness is low.</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3942F79C" w14:textId="3721D117"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lastRenderedPageBreak/>
              <w:t xml:space="preserve">Gender disparities are well known and limit support to an important segment of community. </w:t>
            </w:r>
          </w:p>
          <w:p w14:paraId="49FAA11E" w14:textId="634CCEA7"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Population growth rates and urbanization outstrip rate of electrification hence access rates not improving.</w:t>
            </w:r>
          </w:p>
          <w:p w14:paraId="5A7298F6" w14:textId="35AFBC90"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High rural population resulting in low awareness and affordability.</w:t>
            </w:r>
          </w:p>
          <w:p w14:paraId="5B4AE5C1" w14:textId="0E0AD497"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Low cultural acceptance to new technologies.</w:t>
            </w:r>
          </w:p>
        </w:tc>
      </w:tr>
      <w:tr w:rsidR="0ED2C88A" w:rsidRPr="00662906" w14:paraId="11F86285" w14:textId="77777777" w:rsidTr="2D9E25B5">
        <w:trPr>
          <w:trHeight w:val="15"/>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7D8E67F9" w14:textId="0EF3E451" w:rsidR="0ED2C88A" w:rsidRPr="00662906" w:rsidRDefault="0ED2C88A" w:rsidP="003A6D1E">
            <w:pPr>
              <w:spacing w:before="0" w:after="0" w:line="240" w:lineRule="auto"/>
              <w:ind w:left="176"/>
              <w:jc w:val="center"/>
              <w:rPr>
                <w:rFonts w:eastAsia="Arial" w:cs="Arial"/>
                <w:color w:val="FFFFFF" w:themeColor="background2"/>
                <w:sz w:val="18"/>
                <w:szCs w:val="18"/>
              </w:rPr>
            </w:pPr>
            <w:r w:rsidRPr="00662906">
              <w:rPr>
                <w:rFonts w:eastAsia="Arial" w:cs="Arial"/>
                <w:b/>
                <w:bCs/>
                <w:color w:val="FFFFFF" w:themeColor="background2"/>
                <w:sz w:val="18"/>
                <w:szCs w:val="18"/>
              </w:rPr>
              <w:t>Environmental</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shd w:val="clear" w:color="auto" w:fill="B4A269" w:themeFill="text2"/>
            <w:tcMar>
              <w:top w:w="45" w:type="dxa"/>
              <w:left w:w="105" w:type="dxa"/>
              <w:bottom w:w="45" w:type="dxa"/>
              <w:right w:w="105" w:type="dxa"/>
            </w:tcMar>
            <w:vAlign w:val="center"/>
          </w:tcPr>
          <w:p w14:paraId="0D97C959" w14:textId="37914CB7" w:rsidR="0ED2C88A" w:rsidRPr="00662906" w:rsidRDefault="0ED2C88A" w:rsidP="003A6D1E">
            <w:pPr>
              <w:spacing w:before="0" w:after="0" w:line="240" w:lineRule="auto"/>
              <w:ind w:left="176"/>
              <w:jc w:val="center"/>
              <w:rPr>
                <w:rFonts w:eastAsia="Arial" w:cs="Arial"/>
                <w:color w:val="FFFFFF" w:themeColor="background2"/>
                <w:sz w:val="18"/>
                <w:szCs w:val="18"/>
              </w:rPr>
            </w:pPr>
            <w:r w:rsidRPr="00662906">
              <w:rPr>
                <w:rFonts w:eastAsia="Arial" w:cs="Arial"/>
                <w:b/>
                <w:bCs/>
                <w:color w:val="FFFFFF" w:themeColor="background2"/>
                <w:sz w:val="18"/>
                <w:szCs w:val="18"/>
              </w:rPr>
              <w:t>Legal</w:t>
            </w:r>
          </w:p>
        </w:tc>
      </w:tr>
      <w:tr w:rsidR="0ED2C88A" w:rsidRPr="00662906" w14:paraId="0D1B29C3" w14:textId="77777777" w:rsidTr="2D9E25B5">
        <w:trPr>
          <w:trHeight w:val="930"/>
        </w:trPr>
        <w:tc>
          <w:tcPr>
            <w:tcW w:w="391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565C1BB1" w14:textId="78AFD33E"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Importance of considering energy, water, land nexus to avoid conflicts of natural resource utilization.</w:t>
            </w:r>
          </w:p>
          <w:p w14:paraId="5F015C53" w14:textId="7725C24A"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Integration of climate change, environmental emissions, biodiversity, waste management for comprehensive addressing of environmental impacts.</w:t>
            </w:r>
          </w:p>
        </w:tc>
        <w:tc>
          <w:tcPr>
            <w:tcW w:w="5085" w:type="dxa"/>
            <w:tcBorders>
              <w:top w:val="single" w:sz="6" w:space="0" w:color="9F2241" w:themeColor="background1"/>
              <w:left w:val="single" w:sz="6" w:space="0" w:color="9F2241" w:themeColor="background1"/>
              <w:bottom w:val="single" w:sz="6" w:space="0" w:color="9F2241" w:themeColor="background1"/>
              <w:right w:val="single" w:sz="6" w:space="0" w:color="9F2241" w:themeColor="background1"/>
            </w:tcBorders>
            <w:tcMar>
              <w:top w:w="45" w:type="dxa"/>
              <w:left w:w="105" w:type="dxa"/>
              <w:bottom w:w="45" w:type="dxa"/>
              <w:right w:w="105" w:type="dxa"/>
            </w:tcMar>
            <w:vAlign w:val="center"/>
          </w:tcPr>
          <w:p w14:paraId="34545E4D" w14:textId="5A4455C2"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Enforcement of national, regional, continental, and global compliance.</w:t>
            </w:r>
          </w:p>
          <w:p w14:paraId="6BDB110D" w14:textId="0934A085"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Impacts of world trade agreements on ET technology pricing and tariffication.</w:t>
            </w:r>
          </w:p>
          <w:p w14:paraId="2901069F" w14:textId="16F8C289" w:rsidR="0ED2C88A" w:rsidRPr="00662906" w:rsidRDefault="0ED2C88A" w:rsidP="003A6D1E">
            <w:pPr>
              <w:pStyle w:val="ListParagraph"/>
              <w:spacing w:before="0" w:after="0" w:line="240" w:lineRule="auto"/>
              <w:ind w:left="447"/>
              <w:rPr>
                <w:rFonts w:eastAsia="Arial" w:cs="Arial"/>
                <w:sz w:val="18"/>
                <w:szCs w:val="18"/>
              </w:rPr>
            </w:pPr>
            <w:r w:rsidRPr="00662906">
              <w:rPr>
                <w:rFonts w:eastAsia="Arial" w:cs="Arial"/>
                <w:sz w:val="18"/>
                <w:szCs w:val="18"/>
              </w:rPr>
              <w:t>Global environmental, social and governance accountability and related labour laws.</w:t>
            </w:r>
          </w:p>
          <w:p w14:paraId="7D069926" w14:textId="389D3F5B" w:rsidR="0ED2C88A" w:rsidRPr="00662906" w:rsidRDefault="0ED2C88A" w:rsidP="003A6D1E">
            <w:pPr>
              <w:pStyle w:val="ListParagraph"/>
              <w:spacing w:before="0" w:after="0" w:line="240" w:lineRule="auto"/>
              <w:ind w:left="442" w:hanging="357"/>
              <w:rPr>
                <w:rFonts w:eastAsia="Arial" w:cs="Arial"/>
                <w:sz w:val="18"/>
                <w:szCs w:val="18"/>
              </w:rPr>
            </w:pPr>
            <w:r w:rsidRPr="00662906">
              <w:rPr>
                <w:rFonts w:eastAsia="Arial" w:cs="Arial"/>
                <w:sz w:val="18"/>
                <w:szCs w:val="18"/>
              </w:rPr>
              <w:t>Global data protection and security laws.</w:t>
            </w:r>
          </w:p>
        </w:tc>
      </w:tr>
    </w:tbl>
    <w:p w14:paraId="5A7F9C8F" w14:textId="6BB1479B" w:rsidR="2C1F7750" w:rsidRPr="00662906" w:rsidRDefault="2C1F7750">
      <w:pPr>
        <w:rPr>
          <w:rFonts w:eastAsia="Arial" w:cs="Arial"/>
          <w:color w:val="B4A169"/>
          <w:sz w:val="16"/>
          <w:szCs w:val="16"/>
        </w:rPr>
      </w:pPr>
      <w:r w:rsidRPr="00662906">
        <w:rPr>
          <w:rFonts w:eastAsia="Arial" w:cs="Arial"/>
          <w:i/>
          <w:iCs/>
          <w:color w:val="B4A169"/>
          <w:sz w:val="16"/>
          <w:szCs w:val="16"/>
        </w:rPr>
        <w:t>Source:</w:t>
      </w:r>
      <w:r w:rsidRPr="00662906">
        <w:rPr>
          <w:rFonts w:eastAsia="Arial" w:cs="Arial"/>
        </w:rPr>
        <w:t xml:space="preserve"> </w:t>
      </w:r>
      <w:r w:rsidRPr="00662906">
        <w:rPr>
          <w:rFonts w:eastAsia="Arial" w:cs="Arial"/>
          <w:i/>
          <w:iCs/>
          <w:color w:val="B4A169"/>
          <w:sz w:val="16"/>
          <w:szCs w:val="16"/>
        </w:rPr>
        <w:t xml:space="preserve">Authors' own creation </w:t>
      </w:r>
    </w:p>
    <w:p w14:paraId="66089371" w14:textId="6FBC4ED6" w:rsidR="2C1F7750" w:rsidRPr="00662906" w:rsidRDefault="2C1F7750" w:rsidP="009A0D6A">
      <w:pPr>
        <w:pStyle w:val="Heading3"/>
        <w:ind w:left="567"/>
      </w:pPr>
      <w:bookmarkStart w:id="415" w:name="_Toc178937486"/>
      <w:bookmarkStart w:id="416" w:name="_Toc197433837"/>
      <w:r w:rsidRPr="00662906">
        <w:t>Summary of SWOT and PESTEL Analyses</w:t>
      </w:r>
      <w:bookmarkEnd w:id="415"/>
      <w:bookmarkEnd w:id="416"/>
    </w:p>
    <w:p w14:paraId="61D12E83" w14:textId="172BAFE0" w:rsidR="2C1F7750" w:rsidRPr="00662906" w:rsidRDefault="2C1F7750">
      <w:pPr>
        <w:rPr>
          <w:rFonts w:eastAsia="Arial" w:cs="Arial"/>
        </w:rPr>
      </w:pPr>
      <w:r w:rsidRPr="00662906">
        <w:rPr>
          <w:rFonts w:eastAsia="Arial" w:cs="Arial"/>
        </w:rPr>
        <w:t>In summary, the following gaps are the areas of focus for the ETSAP:</w:t>
      </w:r>
    </w:p>
    <w:p w14:paraId="7B8986AF" w14:textId="5B171013" w:rsidR="2C1F7750" w:rsidRPr="00662906" w:rsidRDefault="2C1F7750" w:rsidP="0059657D">
      <w:pPr>
        <w:pStyle w:val="Bullets"/>
        <w:ind w:left="426"/>
        <w:rPr>
          <w:lang w:val="en-GB"/>
        </w:rPr>
      </w:pPr>
      <w:r w:rsidRPr="00662906">
        <w:rPr>
          <w:lang w:val="en-GB"/>
        </w:rPr>
        <w:t>Lack of harmonized policy, legal, regulatory frameworks, and standards frameworks across the continent. There may be operating frameworks nationally and regionally but that needs to be extended continentally.</w:t>
      </w:r>
    </w:p>
    <w:p w14:paraId="1CB405ED" w14:textId="688F2429" w:rsidR="2C1F7750" w:rsidRPr="00662906" w:rsidRDefault="2C1F7750" w:rsidP="0059657D">
      <w:pPr>
        <w:pStyle w:val="Bullets"/>
        <w:ind w:left="426"/>
        <w:rPr>
          <w:lang w:val="en-GB"/>
        </w:rPr>
      </w:pPr>
      <w:r w:rsidRPr="00662906">
        <w:rPr>
          <w:lang w:val="en-GB"/>
        </w:rPr>
        <w:t>National, regional infrastructure may exist for some level of energy trade, but that needs to be extended to continental level. Even where infrastructure exist, modernization, efficiency, and harmonization need to be enhanced.</w:t>
      </w:r>
    </w:p>
    <w:p w14:paraId="02194BF5" w14:textId="4E14A48D" w:rsidR="2C1F7750" w:rsidRPr="00662906" w:rsidRDefault="2C1F7750" w:rsidP="0059657D">
      <w:pPr>
        <w:pStyle w:val="Bullets"/>
        <w:ind w:left="426"/>
        <w:rPr>
          <w:lang w:val="en-GB"/>
        </w:rPr>
      </w:pPr>
      <w:r w:rsidRPr="00662906">
        <w:rPr>
          <w:lang w:val="en-GB"/>
        </w:rPr>
        <w:t>Issues of awareness and capacity need to be advanced for appreciation of energy transition and capacity to implement the ETSAP. Capacity can also benefit from the association/partnerships with broad international organizations already supporting the continent.</w:t>
      </w:r>
    </w:p>
    <w:p w14:paraId="7871F894" w14:textId="0D890F52" w:rsidR="2C1F7750" w:rsidRPr="00662906" w:rsidRDefault="2C1F7750" w:rsidP="0059657D">
      <w:pPr>
        <w:pStyle w:val="Bullets"/>
        <w:ind w:left="426"/>
        <w:rPr>
          <w:lang w:val="en-GB"/>
        </w:rPr>
      </w:pPr>
      <w:r w:rsidRPr="00662906">
        <w:rPr>
          <w:lang w:val="en-GB"/>
        </w:rPr>
        <w:t>The cross sectoral nexus and cross cutting issues must be addressed.</w:t>
      </w:r>
    </w:p>
    <w:p w14:paraId="50D568F1" w14:textId="1ED3AAF4" w:rsidR="2C1F7750" w:rsidRPr="00662906" w:rsidRDefault="2C1F7750" w:rsidP="0059657D">
      <w:pPr>
        <w:pStyle w:val="Bullets"/>
        <w:ind w:left="426"/>
        <w:rPr>
          <w:lang w:val="en-GB"/>
        </w:rPr>
      </w:pPr>
      <w:r w:rsidRPr="00662906">
        <w:rPr>
          <w:lang w:val="en-GB"/>
        </w:rPr>
        <w:t>Partnerships and technology transfer issues need to be addressed at global, continental, regional and public and private sector level.</w:t>
      </w:r>
    </w:p>
    <w:p w14:paraId="72454489" w14:textId="7527305F" w:rsidR="2C1F7750" w:rsidRPr="00662906" w:rsidRDefault="2C1F7750" w:rsidP="0059657D">
      <w:pPr>
        <w:pStyle w:val="Bullets"/>
        <w:ind w:left="426"/>
        <w:rPr>
          <w:lang w:val="en-GB"/>
        </w:rPr>
      </w:pPr>
      <w:r w:rsidRPr="00662906">
        <w:rPr>
          <w:lang w:val="en-GB"/>
        </w:rPr>
        <w:t>Taking advantage of Africa’s competitive advantage especially from resource point of view is a chance for the continent to leapfrog its socio-economic agenda while achieving energy transition.</w:t>
      </w:r>
    </w:p>
    <w:p w14:paraId="005E6AB4" w14:textId="19B5289B" w:rsidR="2C1F7750" w:rsidRPr="00662906" w:rsidRDefault="2C1F7750" w:rsidP="0059657D">
      <w:pPr>
        <w:pStyle w:val="Bullets"/>
        <w:ind w:left="426"/>
        <w:rPr>
          <w:lang w:val="en-GB"/>
        </w:rPr>
      </w:pPr>
      <w:r w:rsidRPr="00662906">
        <w:rPr>
          <w:lang w:val="en-GB"/>
        </w:rPr>
        <w:t>Riding on technological advancements and technology price competitiveness.</w:t>
      </w:r>
    </w:p>
    <w:p w14:paraId="4E6942F6" w14:textId="22D6A6DF" w:rsidR="2C1F7750" w:rsidRPr="00662906" w:rsidRDefault="2C1F7750" w:rsidP="0059657D">
      <w:pPr>
        <w:pStyle w:val="Bullets"/>
        <w:ind w:left="426"/>
        <w:rPr>
          <w:lang w:val="en-GB"/>
        </w:rPr>
      </w:pPr>
      <w:r w:rsidRPr="00662906">
        <w:rPr>
          <w:lang w:val="en-GB"/>
        </w:rPr>
        <w:t>Leveraging on on-going ET initiatives on the continent and globally.</w:t>
      </w:r>
    </w:p>
    <w:p w14:paraId="42677316" w14:textId="4FE65BBF" w:rsidR="2C1F7750" w:rsidRPr="00662906" w:rsidRDefault="2C1F7750" w:rsidP="0059657D">
      <w:pPr>
        <w:pStyle w:val="Bullets"/>
        <w:ind w:left="426"/>
        <w:rPr>
          <w:lang w:val="en-GB"/>
        </w:rPr>
      </w:pPr>
      <w:r w:rsidRPr="00662906">
        <w:rPr>
          <w:lang w:val="en-GB"/>
        </w:rPr>
        <w:t>Importance of integrated planning across sectors, across global agreements related to energy such as climate change, ESG etc. observing global compliances.</w:t>
      </w:r>
    </w:p>
    <w:p w14:paraId="4B13AC70" w14:textId="5BD96F51" w:rsidR="00F968C8" w:rsidRPr="00662906" w:rsidRDefault="002A4391" w:rsidP="00905876">
      <w:pPr>
        <w:rPr>
          <w:rFonts w:eastAsia="Arial" w:cs="Arial"/>
        </w:rPr>
      </w:pPr>
      <w:r w:rsidRPr="00662906">
        <w:rPr>
          <w:rFonts w:eastAsia="Arial" w:cs="Arial"/>
        </w:rPr>
        <w:t>These gaps have informed the formulation of the Pillars, which define the Scope</w:t>
      </w:r>
      <w:r w:rsidR="003B08D8" w:rsidRPr="00662906">
        <w:rPr>
          <w:rFonts w:eastAsia="Arial" w:cs="Arial"/>
        </w:rPr>
        <w:t xml:space="preserve"> of the ETSAP</w:t>
      </w:r>
      <w:r w:rsidRPr="00662906">
        <w:rPr>
          <w:rFonts w:eastAsia="Arial" w:cs="Arial"/>
        </w:rPr>
        <w:t>. From this foundation, Strategic Objectives have been developed for each Subsector, guiding the corresponding Action Plan</w:t>
      </w:r>
      <w:r w:rsidR="003B08D8" w:rsidRPr="00662906">
        <w:rPr>
          <w:rFonts w:eastAsia="Arial" w:cs="Arial"/>
        </w:rPr>
        <w:t>s</w:t>
      </w:r>
      <w:r w:rsidRPr="00662906">
        <w:rPr>
          <w:rFonts w:eastAsia="Arial" w:cs="Arial"/>
        </w:rPr>
        <w:t>.</w:t>
      </w:r>
    </w:p>
    <w:p w14:paraId="3312A2C2" w14:textId="637E1944" w:rsidR="00A733F1" w:rsidRPr="00662906" w:rsidRDefault="0005404D" w:rsidP="00475318">
      <w:pPr>
        <w:pStyle w:val="Heading1"/>
      </w:pPr>
      <w:bookmarkStart w:id="417" w:name="_Toc197433838"/>
      <w:bookmarkStart w:id="418" w:name="_Toc171955539"/>
      <w:bookmarkStart w:id="419" w:name="_Toc176190942"/>
      <w:bookmarkStart w:id="420" w:name="_Toc176191114"/>
      <w:bookmarkStart w:id="421" w:name="_Toc176341835"/>
      <w:bookmarkStart w:id="422" w:name="_Toc176430229"/>
      <w:bookmarkStart w:id="423" w:name="_Toc176430286"/>
      <w:bookmarkStart w:id="424" w:name="_Toc176441419"/>
      <w:bookmarkStart w:id="425" w:name="_Toc176442074"/>
      <w:bookmarkStart w:id="426" w:name="_Toc178937487"/>
      <w:r w:rsidRPr="00662906">
        <w:t>STRATEGY: A PATHWAY TO AFRICA’S ENERGY TRANSITION</w:t>
      </w:r>
      <w:bookmarkEnd w:id="417"/>
    </w:p>
    <w:p w14:paraId="0304704D" w14:textId="167418BF" w:rsidR="003729E9" w:rsidRPr="00662906" w:rsidRDefault="003729E9" w:rsidP="003729E9">
      <w:pPr>
        <w:pStyle w:val="Heading2"/>
      </w:pPr>
      <w:bookmarkStart w:id="427" w:name="_Toc197433839"/>
      <w:r w:rsidRPr="00662906">
        <w:t>Introduction</w:t>
      </w:r>
      <w:bookmarkEnd w:id="427"/>
    </w:p>
    <w:p w14:paraId="32AE18DA" w14:textId="5B34C410" w:rsidR="00E67269" w:rsidRPr="00662906" w:rsidRDefault="00E67269" w:rsidP="00E67269">
      <w:r w:rsidRPr="00662906">
        <w:t>Achieving a sustainable energy future in Africa necessitates a transformative approach rooted in a clear, actionable, and logical framework. The "theory of change" underpinning the ETSAP serves as a strategic pathway that bridges the present realities of Africa's energy sector with its long-term vision. This chapter provides a comprehensive roadmap that delineates the causal connections between targeted interventions, intermediate outcomes, and ultimate objectives, ensuring that each step of the energy transition is deliberate and impactful.</w:t>
      </w:r>
    </w:p>
    <w:p w14:paraId="7251C6E5" w14:textId="2B6AD720" w:rsidR="00E67269" w:rsidRPr="00662906" w:rsidRDefault="00E67269" w:rsidP="00E67269">
      <w:r w:rsidRPr="00662906">
        <w:t xml:space="preserve">The theory of change framework applied here emphasizes the interconnectedness of various sectors, stakeholders, and enabling factors, acknowledging that Africa's energy transition is more than a </w:t>
      </w:r>
      <w:r w:rsidRPr="00662906">
        <w:lastRenderedPageBreak/>
        <w:t xml:space="preserve">technical challenge. It requires addressing deeply entrenched systemic barriers, including socio-economic </w:t>
      </w:r>
      <w:r w:rsidR="00D913F8" w:rsidRPr="00662906">
        <w:t>inequalities</w:t>
      </w:r>
      <w:r w:rsidRPr="00662906">
        <w:t>, institutional capacity gaps, and limited access to financing. At the heart of this framework lies the understanding that a just and inclusive transition can simultaneously enhance energy access, drive economic growth, and build climate resilience across the continent.</w:t>
      </w:r>
    </w:p>
    <w:p w14:paraId="58C104F6" w14:textId="77777777" w:rsidR="00E67269" w:rsidRPr="00662906" w:rsidRDefault="00E67269" w:rsidP="00E67269">
      <w:r w:rsidRPr="00662906">
        <w:t>By mapping out a series of intermediate milestones—such as the widespread adoption of renewable energy technologies, substantial reductions in greenhouse gas emissions, and the achievement of universal energy access—this chapter translates high-level aspirations into measurable steps. These milestones are aligned with the overarching goals of the African Union’s Agenda 2063, the United Nations Sustainable Development Goals, and the Paris Agreement. Importantly, the chapter also integrates assumptions and risks, ensuring that the pathway remains adaptive to evolving circumstances and challenges.</w:t>
      </w:r>
    </w:p>
    <w:p w14:paraId="19158526" w14:textId="0AA5326C" w:rsidR="00A733F1" w:rsidRPr="00662906" w:rsidRDefault="00E67269" w:rsidP="00E67269">
      <w:r w:rsidRPr="00662906">
        <w:t xml:space="preserve">Through this structured and integrated approach, the ETSAP provides a robust framework for stakeholders to mobilize resources, align policies, and monitor progress. The ensuing sections will detail these </w:t>
      </w:r>
      <w:r w:rsidR="00B416B3" w:rsidRPr="00662906">
        <w:t>milestones,</w:t>
      </w:r>
      <w:r w:rsidRPr="00662906">
        <w:t xml:space="preserve"> and the foundational enablers required to achieve them, creating a clear and actionable vision for Africa’s energy future.</w:t>
      </w:r>
    </w:p>
    <w:p w14:paraId="2D00AE5B" w14:textId="176B3520" w:rsidR="003729E9" w:rsidRPr="00662906" w:rsidRDefault="003729E9" w:rsidP="003729E9">
      <w:pPr>
        <w:pStyle w:val="Heading2"/>
      </w:pPr>
      <w:bookmarkStart w:id="428" w:name="_Toc197433840"/>
      <w:r w:rsidRPr="00662906">
        <w:t>Vision and Mission</w:t>
      </w:r>
      <w:r w:rsidR="00564BF1" w:rsidRPr="00662906">
        <w:t xml:space="preserve"> and </w:t>
      </w:r>
      <w:r w:rsidR="00CC0C43" w:rsidRPr="00662906">
        <w:t>High-Level</w:t>
      </w:r>
      <w:r w:rsidR="00564BF1" w:rsidRPr="00662906">
        <w:t xml:space="preserve"> Target</w:t>
      </w:r>
      <w:bookmarkEnd w:id="428"/>
    </w:p>
    <w:p w14:paraId="0E2DA710" w14:textId="1B8EB527" w:rsidR="003729E9" w:rsidRPr="00662906" w:rsidRDefault="00F81A40" w:rsidP="003729E9">
      <w:r w:rsidRPr="00662906">
        <w:t>T</w:t>
      </w:r>
      <w:r w:rsidR="003729E9" w:rsidRPr="00662906">
        <w:t>he Vision, Mission</w:t>
      </w:r>
      <w:r w:rsidR="003A6D1E" w:rsidRPr="00662906">
        <w:t xml:space="preserve">, </w:t>
      </w:r>
      <w:r w:rsidR="003729E9" w:rsidRPr="00662906">
        <w:t xml:space="preserve">ETSAP time frame </w:t>
      </w:r>
      <w:r w:rsidR="003A6D1E" w:rsidRPr="00662906">
        <w:t>and High-Level Target</w:t>
      </w:r>
      <w:r w:rsidR="003729E9" w:rsidRPr="00662906">
        <w:t xml:space="preserve"> are specified below.</w:t>
      </w:r>
    </w:p>
    <w:p w14:paraId="086EC7AA" w14:textId="31D66031" w:rsidR="003729E9" w:rsidRPr="00662906" w:rsidRDefault="003729E9" w:rsidP="003A6D1E">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rPr>
          <w:i/>
          <w:iCs/>
        </w:rPr>
      </w:pPr>
      <w:r w:rsidRPr="00662906">
        <w:rPr>
          <w:b/>
          <w:bCs/>
          <w:i/>
          <w:iCs/>
        </w:rPr>
        <w:t>Vision:</w:t>
      </w:r>
      <w:r w:rsidRPr="00662906">
        <w:rPr>
          <w:i/>
          <w:iCs/>
        </w:rPr>
        <w:t xml:space="preserve"> </w:t>
      </w:r>
      <w:r w:rsidR="00F81A40" w:rsidRPr="00662906">
        <w:rPr>
          <w:i/>
          <w:iCs/>
        </w:rPr>
        <w:t>A just and inclusive transition to a sustainable and low carbon energy system in Africa by 2063</w:t>
      </w:r>
      <w:r w:rsidRPr="00662906">
        <w:rPr>
          <w:i/>
          <w:iCs/>
        </w:rPr>
        <w:t>.</w:t>
      </w:r>
    </w:p>
    <w:p w14:paraId="1CEE76BD" w14:textId="65F1E85C" w:rsidR="003729E9" w:rsidRPr="00662906" w:rsidRDefault="003729E9" w:rsidP="003A6D1E">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rPr>
          <w:i/>
          <w:iCs/>
        </w:rPr>
      </w:pPr>
      <w:r w:rsidRPr="00662906">
        <w:rPr>
          <w:b/>
          <w:bCs/>
          <w:i/>
          <w:iCs/>
        </w:rPr>
        <w:t>Mission:</w:t>
      </w:r>
      <w:r w:rsidR="002A7B9B" w:rsidRPr="00662906">
        <w:rPr>
          <w:b/>
          <w:bCs/>
          <w:i/>
          <w:iCs/>
        </w:rPr>
        <w:t xml:space="preserve"> </w:t>
      </w:r>
      <w:r w:rsidR="00564BF1" w:rsidRPr="00662906">
        <w:rPr>
          <w:i/>
          <w:iCs/>
        </w:rPr>
        <w:t>To explore and develop low carbon energy systems utilizing Africa's natural resources to</w:t>
      </w:r>
      <w:r w:rsidR="00604F8B" w:rsidRPr="00662906">
        <w:rPr>
          <w:i/>
          <w:iCs/>
        </w:rPr>
        <w:t>wards</w:t>
      </w:r>
      <w:r w:rsidR="00564BF1" w:rsidRPr="00662906">
        <w:rPr>
          <w:i/>
          <w:iCs/>
        </w:rPr>
        <w:t xml:space="preserve"> universal energy access for a sustainable socio-economic transformation.</w:t>
      </w:r>
    </w:p>
    <w:p w14:paraId="034DEA0F" w14:textId="3C3E946A" w:rsidR="003729E9" w:rsidRPr="00662906" w:rsidRDefault="003729E9" w:rsidP="003A6D1E">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pPr>
      <w:r w:rsidRPr="00662906">
        <w:rPr>
          <w:b/>
          <w:bCs/>
          <w:i/>
          <w:iCs/>
        </w:rPr>
        <w:t>Timeframe:</w:t>
      </w:r>
      <w:r w:rsidRPr="00662906">
        <w:t xml:space="preserve"> The ETSAP is structured to span from 2025 to 2063, segmented into three implementation phases: </w:t>
      </w:r>
      <w:r w:rsidRPr="00662906">
        <w:rPr>
          <w:i/>
          <w:iCs/>
        </w:rPr>
        <w:t>Short Term (2025-2030), Medium Term (2031-2040), and Long Term (2041-2063).</w:t>
      </w:r>
      <w:r w:rsidRPr="00662906">
        <w:t xml:space="preserve"> While the end dates for each phase set clear deadlines by which all AU Member States should complete specific actions, nations are encouraged to initiate activities as soon as they are ready, according to their unique circumstances. This flexible approach ensures that the strategy can adapt to the dynamic global energy landscape, incorporating new data, technological breakthroughs, especially during the critical period from 2041 onwards. Regular assessments and revisions will be integral to maintaining the strategy’s relevance and effectiveness in achieving its long-term goals.</w:t>
      </w:r>
    </w:p>
    <w:p w14:paraId="05CD3897" w14:textId="6CC0A823" w:rsidR="003729E9" w:rsidRPr="00662906" w:rsidRDefault="2C31A796" w:rsidP="003A6D1E">
      <w:pPr>
        <w:pBdr>
          <w:top w:val="single" w:sz="6" w:space="1" w:color="9F2241" w:themeColor="background1"/>
          <w:left w:val="single" w:sz="6" w:space="1" w:color="9F2241" w:themeColor="background1"/>
          <w:bottom w:val="single" w:sz="6" w:space="1" w:color="9F2241" w:themeColor="background1"/>
          <w:right w:val="single" w:sz="6" w:space="1" w:color="9F2241" w:themeColor="background1"/>
        </w:pBdr>
      </w:pPr>
      <w:r w:rsidRPr="00662906">
        <w:rPr>
          <w:b/>
          <w:bCs/>
          <w:i/>
          <w:iCs/>
        </w:rPr>
        <w:t>High-level target</w:t>
      </w:r>
      <w:r w:rsidRPr="00662906">
        <w:rPr>
          <w:i/>
          <w:iCs/>
        </w:rPr>
        <w:t>:</w:t>
      </w:r>
      <w:r w:rsidRPr="00662906">
        <w:t xml:space="preserve"> to achieve </w:t>
      </w:r>
      <w:bookmarkStart w:id="429" w:name="_Hlk189747589"/>
      <w:r w:rsidRPr="00662906">
        <w:t xml:space="preserve">a </w:t>
      </w:r>
      <w:r w:rsidR="003B4196" w:rsidRPr="00662906">
        <w:rPr>
          <w:b/>
          <w:bCs/>
          <w:i/>
          <w:iCs/>
        </w:rPr>
        <w:t>net zero greenhouse gas emissions economy by 2063</w:t>
      </w:r>
      <w:bookmarkEnd w:id="429"/>
      <w:r w:rsidRPr="00662906">
        <w:t xml:space="preserve">. This target reflects Africa’s commitment to a </w:t>
      </w:r>
      <w:r w:rsidR="21B87D8A" w:rsidRPr="00662906">
        <w:t>sustainable</w:t>
      </w:r>
      <w:r w:rsidRPr="00662906">
        <w:t xml:space="preserve"> future that drives sustainable development, enhances energy security, and strengthens climate resilience</w:t>
      </w:r>
      <w:r w:rsidR="0B844102" w:rsidRPr="00662906">
        <w:t xml:space="preserve"> while maintaining universal access to clean energy services</w:t>
      </w:r>
      <w:r w:rsidRPr="00662906">
        <w:t xml:space="preserve">. </w:t>
      </w:r>
      <w:r w:rsidR="21B87D8A" w:rsidRPr="00662906">
        <w:t>T</w:t>
      </w:r>
      <w:r w:rsidRPr="00662906">
        <w:t>his target serves as the unifying vision for the continent's energy transition.</w:t>
      </w:r>
    </w:p>
    <w:p w14:paraId="0F592F5F" w14:textId="3D740DBA" w:rsidR="00CD21DC" w:rsidRPr="00662906" w:rsidRDefault="00CC0C43" w:rsidP="00CC0C43">
      <w:pPr>
        <w:pStyle w:val="Heading2"/>
      </w:pPr>
      <w:bookmarkStart w:id="430" w:name="_Toc197433841"/>
      <w:r w:rsidRPr="00662906">
        <w:t>Pillars of the Strategy</w:t>
      </w:r>
      <w:bookmarkEnd w:id="430"/>
    </w:p>
    <w:p w14:paraId="18AF08DB" w14:textId="7DCCE2DC" w:rsidR="00CC0C43" w:rsidRPr="00662906" w:rsidRDefault="005A314D" w:rsidP="00CC0C43">
      <w:pPr>
        <w:rPr>
          <w:b/>
          <w:bCs/>
        </w:rPr>
      </w:pPr>
      <w:r w:rsidRPr="00662906">
        <w:rPr>
          <w:b/>
          <w:bCs/>
        </w:rPr>
        <w:t>Pillar 1: Universal and Secure Access to Clean Energy</w:t>
      </w:r>
    </w:p>
    <w:p w14:paraId="683EDE2C" w14:textId="560A6BCC" w:rsidR="00CC0C43" w:rsidRPr="00662906" w:rsidRDefault="00552345" w:rsidP="00CC0C43">
      <w:r w:rsidRPr="00662906">
        <w:t xml:space="preserve">Africa’s energy future must be built on solutions that are simultaneously clean, inclusive, and secure. This pillar therefore combines the accelerated deployment of renewable resources—solar, wind, hydro, geothermal—and other low-carbon fuels such as natural gas with explicit security-of-supply measures to guarantee universal uninterrupted, affordable power for every household, enterprise, and social service. Universal access now encompasses reliability targets (e.g., SAIDI/SAIFI reductions), climate-resilient grid expansion, and diversified cross-border interconnections that lower vulnerability to local shocks. Off-grid and mini-grid systems are designed with storage and islanding capabilities, while clean-cooking initiatives incorporate sustainable biofuel supply chains to stabilise fuel availability. By </w:t>
      </w:r>
      <w:r w:rsidR="002C7967" w:rsidRPr="00662906">
        <w:t>integrating</w:t>
      </w:r>
      <w:r w:rsidRPr="00662906">
        <w:t xml:space="preserve"> access ambitions with robust energy-security protocols, this pillar ensures that the continent’s march toward 100 % electrification and modern energy services is underpinned by a system that is dependable, affordable, and resilient to climatic, geopolitical, and market disruptions.</w:t>
      </w:r>
    </w:p>
    <w:p w14:paraId="4EDE3652" w14:textId="77777777" w:rsidR="00CC0C43" w:rsidRPr="00662906" w:rsidRDefault="00CC0C43" w:rsidP="00CC0C43">
      <w:pPr>
        <w:rPr>
          <w:b/>
          <w:bCs/>
        </w:rPr>
      </w:pPr>
      <w:r w:rsidRPr="00662906">
        <w:rPr>
          <w:b/>
          <w:bCs/>
        </w:rPr>
        <w:t>Pillar 2: Energy Efficiency</w:t>
      </w:r>
    </w:p>
    <w:p w14:paraId="14D20E38" w14:textId="08041B06" w:rsidR="00CC0C43" w:rsidRPr="00662906" w:rsidRDefault="1653A628" w:rsidP="00CC0C43">
      <w:r w:rsidRPr="00662906">
        <w:rPr>
          <w:i/>
          <w:iCs/>
        </w:rPr>
        <w:t>Efficiency is fundamental to achieving a sustainable energy transition.</w:t>
      </w:r>
      <w:r w:rsidRPr="00662906">
        <w:t xml:space="preserve"> This pillar emphasizes improving</w:t>
      </w:r>
      <w:r w:rsidR="55D346B8" w:rsidRPr="00662906">
        <w:t xml:space="preserve"> </w:t>
      </w:r>
      <w:r w:rsidRPr="00662906">
        <w:t xml:space="preserve">energy </w:t>
      </w:r>
      <w:r w:rsidR="003532D7" w:rsidRPr="00662906">
        <w:t xml:space="preserve">productivity </w:t>
      </w:r>
      <w:r w:rsidRPr="00662906">
        <w:t>across sectors such as industry, transport, buildings, and agriculture</w:t>
      </w:r>
      <w:r w:rsidR="00FE5188" w:rsidRPr="00662906">
        <w:t xml:space="preserve"> </w:t>
      </w:r>
      <w:r w:rsidR="00DE3E5B" w:rsidRPr="00662906">
        <w:t xml:space="preserve">by 70% </w:t>
      </w:r>
      <w:r w:rsidR="003532D7" w:rsidRPr="00662906">
        <w:t>in 2063</w:t>
      </w:r>
      <w:r w:rsidRPr="00662906">
        <w:t>. By promoting advanced</w:t>
      </w:r>
      <w:r w:rsidR="55D346B8" w:rsidRPr="00662906">
        <w:t xml:space="preserve"> </w:t>
      </w:r>
      <w:r w:rsidRPr="00662906">
        <w:t xml:space="preserve">technologies, enforceable standards, and best practices, energy </w:t>
      </w:r>
      <w:r w:rsidRPr="00662906">
        <w:lastRenderedPageBreak/>
        <w:t>efficiency reduces waste, lowers costs,</w:t>
      </w:r>
      <w:r w:rsidR="55D346B8" w:rsidRPr="00662906">
        <w:t xml:space="preserve"> </w:t>
      </w:r>
      <w:r w:rsidRPr="00662906">
        <w:t>and supports economic growth while minimizing environmental impacts.</w:t>
      </w:r>
    </w:p>
    <w:p w14:paraId="59783623" w14:textId="77777777" w:rsidR="00CC0C43" w:rsidRPr="00662906" w:rsidRDefault="00CC0C43" w:rsidP="00CC0C43">
      <w:pPr>
        <w:rPr>
          <w:b/>
          <w:bCs/>
        </w:rPr>
      </w:pPr>
      <w:r w:rsidRPr="00662906">
        <w:rPr>
          <w:b/>
          <w:bCs/>
        </w:rPr>
        <w:t>Pillar 3: Carbon Management for Fossil Derived Energy</w:t>
      </w:r>
    </w:p>
    <w:p w14:paraId="11E372E7" w14:textId="702C78C4" w:rsidR="00CC0C43" w:rsidRPr="00662906" w:rsidRDefault="1653A628" w:rsidP="00CC0C43">
      <w:r w:rsidRPr="00662906">
        <w:rPr>
          <w:i/>
          <w:iCs/>
        </w:rPr>
        <w:t>Managing fossil-derived energy is essential for a balanced transition</w:t>
      </w:r>
      <w:r w:rsidRPr="00662906">
        <w:t>. This pillar addresses aspects like</w:t>
      </w:r>
      <w:r w:rsidR="55D346B8" w:rsidRPr="00662906">
        <w:t xml:space="preserve"> </w:t>
      </w:r>
      <w:r w:rsidRPr="00662906">
        <w:t>methane emissions, gas flaring, and the responsible use of fossil fuels through policies and technologies</w:t>
      </w:r>
      <w:r w:rsidR="55D346B8" w:rsidRPr="00662906">
        <w:t xml:space="preserve"> </w:t>
      </w:r>
      <w:r w:rsidRPr="00662906">
        <w:t>that reduce their environmental impact. It promotes CCUS</w:t>
      </w:r>
      <w:r w:rsidR="00950B91" w:rsidRPr="00662906">
        <w:t xml:space="preserve"> </w:t>
      </w:r>
      <w:r w:rsidRPr="00662906">
        <w:t>alongside targeted decarbonization efforts in the oil and gas sector. These strategies ensure the</w:t>
      </w:r>
      <w:r w:rsidR="55D346B8" w:rsidRPr="00662906">
        <w:t xml:space="preserve"> </w:t>
      </w:r>
      <w:r w:rsidRPr="00662906">
        <w:t>continued viability of necessary fossil energy resources during the transition while supporting Africa’s</w:t>
      </w:r>
      <w:r w:rsidR="55D346B8" w:rsidRPr="00662906">
        <w:t xml:space="preserve"> </w:t>
      </w:r>
      <w:r w:rsidRPr="00662906">
        <w:t xml:space="preserve">long-term </w:t>
      </w:r>
      <w:r w:rsidR="1C746468" w:rsidRPr="00662906">
        <w:t xml:space="preserve">low carbon trajectory and </w:t>
      </w:r>
      <w:r w:rsidRPr="00662906">
        <w:t>climate commitments.</w:t>
      </w:r>
    </w:p>
    <w:p w14:paraId="5DBBB818" w14:textId="2E352801" w:rsidR="00CC0C43" w:rsidRPr="00662906" w:rsidRDefault="00CC0C43" w:rsidP="00CC0C43">
      <w:pPr>
        <w:rPr>
          <w:b/>
          <w:bCs/>
        </w:rPr>
      </w:pPr>
      <w:bookmarkStart w:id="431" w:name="_Hlk196472852"/>
      <w:r w:rsidRPr="00662906">
        <w:rPr>
          <w:b/>
          <w:bCs/>
        </w:rPr>
        <w:t>Pillar 4: Policy and Regulatory Harmonization</w:t>
      </w:r>
    </w:p>
    <w:p w14:paraId="1C4335DC" w14:textId="4036B23D" w:rsidR="0060118A" w:rsidRPr="00662906" w:rsidRDefault="1653A628" w:rsidP="00CC0C43">
      <w:pPr>
        <w:rPr>
          <w:i/>
          <w:iCs/>
        </w:rPr>
      </w:pPr>
      <w:r w:rsidRPr="00662906">
        <w:rPr>
          <w:i/>
          <w:iCs/>
        </w:rPr>
        <w:t>A cohesive energy strategy requires aligned policies and regulations across the continent</w:t>
      </w:r>
      <w:r w:rsidRPr="00662906">
        <w:t>. This pillar</w:t>
      </w:r>
      <w:r w:rsidR="295A3A45" w:rsidRPr="00662906">
        <w:t xml:space="preserve"> </w:t>
      </w:r>
      <w:r w:rsidRPr="00662906">
        <w:t>emphasizes the integration of national energy policies with regional frameworks developed by the</w:t>
      </w:r>
      <w:r w:rsidR="295A3A45" w:rsidRPr="00662906">
        <w:t xml:space="preserve"> </w:t>
      </w:r>
      <w:r w:rsidRPr="00662906">
        <w:t>RECs, and broader continental strategies. A combined top-down and</w:t>
      </w:r>
      <w:r w:rsidR="295A3A45" w:rsidRPr="00662906">
        <w:t xml:space="preserve"> </w:t>
      </w:r>
      <w:r w:rsidRPr="00662906">
        <w:t>bottom-up approach will guide member states in adopting and tailoring continental strategies, while</w:t>
      </w:r>
      <w:r w:rsidR="295A3A45" w:rsidRPr="00662906">
        <w:t xml:space="preserve"> </w:t>
      </w:r>
      <w:r w:rsidRPr="00662906">
        <w:t xml:space="preserve">regional frameworks facilitate coordination and harmonization among </w:t>
      </w:r>
      <w:r w:rsidR="295A3A45" w:rsidRPr="00662906">
        <w:t>neighbouring</w:t>
      </w:r>
      <w:r w:rsidRPr="00662906">
        <w:t xml:space="preserve"> countries. This</w:t>
      </w:r>
      <w:r w:rsidR="295A3A45" w:rsidRPr="00662906">
        <w:t xml:space="preserve"> </w:t>
      </w:r>
      <w:r w:rsidRPr="00662906">
        <w:t>ensures efficient energy transitions that reflect both local priorities and regional synergies under the</w:t>
      </w:r>
      <w:r w:rsidR="295A3A45" w:rsidRPr="00662906">
        <w:t xml:space="preserve"> </w:t>
      </w:r>
      <w:r w:rsidRPr="00662906">
        <w:t>common continental pursuits.</w:t>
      </w:r>
    </w:p>
    <w:p w14:paraId="647D24EC" w14:textId="4FD409D8" w:rsidR="0086525C" w:rsidRPr="00662906" w:rsidRDefault="0086525C" w:rsidP="0086525C">
      <w:pPr>
        <w:rPr>
          <w:b/>
          <w:bCs/>
        </w:rPr>
      </w:pPr>
      <w:r w:rsidRPr="00662906">
        <w:rPr>
          <w:b/>
          <w:bCs/>
        </w:rPr>
        <w:t>Pillar 5: Innovation</w:t>
      </w:r>
      <w:r w:rsidR="005C5003" w:rsidRPr="00662906">
        <w:rPr>
          <w:b/>
          <w:bCs/>
        </w:rPr>
        <w:t>,</w:t>
      </w:r>
      <w:r w:rsidRPr="00662906">
        <w:rPr>
          <w:b/>
          <w:bCs/>
        </w:rPr>
        <w:t xml:space="preserve"> Technology and Human Capacity</w:t>
      </w:r>
    </w:p>
    <w:p w14:paraId="152C992D" w14:textId="73A8B977" w:rsidR="00010E7F" w:rsidRPr="00662906" w:rsidRDefault="005312A8" w:rsidP="0086525C">
      <w:r w:rsidRPr="00662906">
        <w:t>This pillar focuses on fostering innovation, technology development, and capacity building to drive Africa’s sustainable energy transition. It emphasizes the development and transfer of clean energy technologies, the establishment of local manufacturing industries for energy solutions, and skills development programs to build a skilled workforce. By investing in research, innovation ecosystems, and human capital, this pillar ensures long-term sustainability, economic growth, and Africa's leadership in the global energy transition</w:t>
      </w:r>
      <w:r w:rsidR="0086525C" w:rsidRPr="00662906">
        <w:t>.</w:t>
      </w:r>
    </w:p>
    <w:p w14:paraId="3C3D6E31" w14:textId="211CC250" w:rsidR="00444AED" w:rsidRPr="00662906" w:rsidRDefault="00444AED" w:rsidP="0086525C">
      <w:pPr>
        <w:rPr>
          <w:b/>
          <w:bCs/>
        </w:rPr>
      </w:pPr>
      <w:r w:rsidRPr="00662906">
        <w:rPr>
          <w:b/>
          <w:bCs/>
        </w:rPr>
        <w:t xml:space="preserve">Pillar 6: </w:t>
      </w:r>
      <w:r w:rsidR="0060118A" w:rsidRPr="00662906">
        <w:rPr>
          <w:b/>
          <w:bCs/>
        </w:rPr>
        <w:t>Sustainable Economic Development, Industrialization &amp; Prosperity</w:t>
      </w:r>
    </w:p>
    <w:p w14:paraId="2911C381" w14:textId="5922EE98" w:rsidR="002C7B24" w:rsidRPr="00662906" w:rsidRDefault="002C7B24" w:rsidP="002C7B24">
      <w:r w:rsidRPr="00662906">
        <w:rPr>
          <w:i/>
          <w:iCs/>
        </w:rPr>
        <w:t>Achieving a just and inclusive energy transition requires targeted efforts to maximize economic opportunities throughout the continent.</w:t>
      </w:r>
      <w:r w:rsidRPr="00662906">
        <w:t xml:space="preserve"> This pillar focuses on leveraging Africa’s extensive natural resources, innovative energy solutions, and expanding markets to foster robust growth in key industries, particularly those that benefit from expanded energy access, such as</w:t>
      </w:r>
      <w:r w:rsidR="0060118A" w:rsidRPr="00662906">
        <w:t xml:space="preserve"> heavy industry, mining,</w:t>
      </w:r>
      <w:r w:rsidRPr="00662906">
        <w:t xml:space="preserve"> manufacturing, agriculture and services</w:t>
      </w:r>
      <w:r w:rsidR="0060118A" w:rsidRPr="00662906">
        <w:t xml:space="preserve"> bridging the traditional industry sector with industries without </w:t>
      </w:r>
      <w:r w:rsidR="00662906" w:rsidRPr="00662906">
        <w:t>smokestacks.</w:t>
      </w:r>
      <w:r w:rsidRPr="00662906">
        <w:t xml:space="preserve"> Central to this approach is ensuring that newly created value chains remain equitable, transparent, and capable of stimulating local economies in ways that uplift communities and build regional resilience. Under this pillar, strategic investments in infrastructure, job creation, and value addition will intertwine with energy development to promote shared prosperity. By prioritizing local content, workforce training, and the establishment of vibrant SMEs, the continent can accelerate the emergence of new industries while maintaining existing sectors’ competitiveness. Beyond direct economic gains, the pillar also encourages collaboration with financial institutions, leveraging innovative financing mechanisms to spur entrepreneur-driven solutions and attract private-sector participation.</w:t>
      </w:r>
      <w:r w:rsidR="000E0D3D" w:rsidRPr="00662906">
        <w:t xml:space="preserve"> </w:t>
      </w:r>
      <w:r w:rsidR="0060118A" w:rsidRPr="00662906">
        <w:t xml:space="preserve">By intertwining industrial policy with sustainable energy deployment, the pillar maximizes job creation, enhances export potential, and embeds Africa more deeply in global clean-tech supply networks. </w:t>
      </w:r>
      <w:r w:rsidR="000E0D3D" w:rsidRPr="00662906">
        <w:t>Synergistically</w:t>
      </w:r>
      <w:r w:rsidRPr="00662906">
        <w:t xml:space="preserve"> with the other pillars, th</w:t>
      </w:r>
      <w:r w:rsidR="000E0D3D" w:rsidRPr="00662906">
        <w:t>is</w:t>
      </w:r>
      <w:r w:rsidRPr="00662906">
        <w:t xml:space="preserve"> pillar ensures that Africa’s transition to a low-carbon energy system delivers tangible benefits for households, businesses, and entire economies</w:t>
      </w:r>
      <w:r w:rsidR="000E0D3D" w:rsidRPr="00662906">
        <w:t xml:space="preserve">, </w:t>
      </w:r>
      <w:r w:rsidRPr="00662906">
        <w:t>ultimately enabling more inclusive and sustainable socio-economic transformation consistent with Africa’s long-term vision for 2063.</w:t>
      </w:r>
    </w:p>
    <w:p w14:paraId="059EEC26" w14:textId="77777777" w:rsidR="00010E7F" w:rsidRPr="00662906" w:rsidRDefault="00010E7F" w:rsidP="00010E7F">
      <w:pPr>
        <w:pStyle w:val="Heading2"/>
      </w:pPr>
      <w:bookmarkStart w:id="432" w:name="_Toc178937422"/>
      <w:bookmarkStart w:id="433" w:name="_Toc197433842"/>
      <w:bookmarkEnd w:id="431"/>
      <w:r w:rsidRPr="00662906">
        <w:t>ETSAP Scope</w:t>
      </w:r>
      <w:bookmarkEnd w:id="432"/>
      <w:bookmarkEnd w:id="433"/>
    </w:p>
    <w:p w14:paraId="3CD621CE" w14:textId="6437EB91" w:rsidR="00010E7F" w:rsidRPr="00662906" w:rsidRDefault="36FE1C9D" w:rsidP="00010E7F">
      <w:r w:rsidRPr="00662906">
        <w:t xml:space="preserve">The Scope presents what is being covered by the ETSAP in relation to the relevant subsectors, namely </w:t>
      </w:r>
      <w:r w:rsidR="45BCABFF" w:rsidRPr="00662906">
        <w:t xml:space="preserve">the </w:t>
      </w:r>
      <w:r w:rsidRPr="00662906">
        <w:t>following energy subsectors:</w:t>
      </w:r>
    </w:p>
    <w:p w14:paraId="7DDBB7EB" w14:textId="77777777" w:rsidR="00010E7F" w:rsidRPr="00662906" w:rsidRDefault="00010E7F" w:rsidP="00010E7F">
      <w:pPr>
        <w:pStyle w:val="Bullets"/>
        <w:ind w:left="851" w:hanging="425"/>
        <w:rPr>
          <w:lang w:val="en-GB"/>
        </w:rPr>
      </w:pPr>
      <w:r w:rsidRPr="00662906">
        <w:rPr>
          <w:lang w:val="en-GB"/>
        </w:rPr>
        <w:t>Electricity sector.</w:t>
      </w:r>
    </w:p>
    <w:p w14:paraId="712BBBA3" w14:textId="77777777" w:rsidR="00010E7F" w:rsidRPr="00662906" w:rsidRDefault="00010E7F" w:rsidP="00010E7F">
      <w:pPr>
        <w:pStyle w:val="Bullets"/>
        <w:ind w:left="851" w:hanging="425"/>
        <w:rPr>
          <w:lang w:val="en-GB"/>
        </w:rPr>
      </w:pPr>
      <w:r w:rsidRPr="00662906">
        <w:rPr>
          <w:lang w:val="en-GB"/>
        </w:rPr>
        <w:t>Transport sector.</w:t>
      </w:r>
    </w:p>
    <w:p w14:paraId="35CA536D" w14:textId="77777777" w:rsidR="00010E7F" w:rsidRPr="00662906" w:rsidRDefault="00010E7F" w:rsidP="00010E7F">
      <w:pPr>
        <w:pStyle w:val="Bullets"/>
        <w:ind w:left="851" w:hanging="425"/>
        <w:rPr>
          <w:lang w:val="en-GB"/>
        </w:rPr>
      </w:pPr>
      <w:r w:rsidRPr="00662906">
        <w:rPr>
          <w:lang w:val="en-GB"/>
        </w:rPr>
        <w:t>Buildings sector.</w:t>
      </w:r>
    </w:p>
    <w:p w14:paraId="2DEF5623" w14:textId="77777777" w:rsidR="00010E7F" w:rsidRPr="00662906" w:rsidRDefault="00010E7F" w:rsidP="00010E7F">
      <w:pPr>
        <w:pStyle w:val="Bullets"/>
        <w:ind w:left="851" w:hanging="425"/>
        <w:rPr>
          <w:lang w:val="en-GB"/>
        </w:rPr>
      </w:pPr>
      <w:r w:rsidRPr="00662906">
        <w:rPr>
          <w:lang w:val="en-GB"/>
        </w:rPr>
        <w:lastRenderedPageBreak/>
        <w:t>Industry sector.</w:t>
      </w:r>
    </w:p>
    <w:p w14:paraId="51C858E0" w14:textId="77777777" w:rsidR="00010E7F" w:rsidRPr="00662906" w:rsidRDefault="00010E7F" w:rsidP="00010E7F">
      <w:pPr>
        <w:pStyle w:val="Bullets"/>
        <w:ind w:left="851" w:hanging="425"/>
        <w:rPr>
          <w:lang w:val="en-GB"/>
        </w:rPr>
      </w:pPr>
      <w:r w:rsidRPr="00662906">
        <w:rPr>
          <w:lang w:val="en-GB"/>
        </w:rPr>
        <w:t>Oil and Gas sector.</w:t>
      </w:r>
    </w:p>
    <w:p w14:paraId="0E067341" w14:textId="77777777" w:rsidR="00010E7F" w:rsidRPr="00662906" w:rsidRDefault="00010E7F" w:rsidP="00010E7F">
      <w:pPr>
        <w:pStyle w:val="Bullets"/>
        <w:ind w:left="851" w:hanging="425"/>
        <w:rPr>
          <w:lang w:val="en-GB"/>
        </w:rPr>
      </w:pPr>
      <w:r w:rsidRPr="00662906">
        <w:rPr>
          <w:lang w:val="en-GB"/>
        </w:rPr>
        <w:t>Agriculture sector.</w:t>
      </w:r>
    </w:p>
    <w:p w14:paraId="28802AFA" w14:textId="77777777" w:rsidR="00010E7F" w:rsidRPr="00662906" w:rsidRDefault="00010E7F" w:rsidP="00010E7F">
      <w:pPr>
        <w:pStyle w:val="Bullets"/>
        <w:ind w:left="851" w:hanging="425"/>
        <w:rPr>
          <w:lang w:val="en-GB"/>
        </w:rPr>
      </w:pPr>
      <w:r w:rsidRPr="00662906">
        <w:rPr>
          <w:lang w:val="en-GB"/>
        </w:rPr>
        <w:t>Clean Cooking.</w:t>
      </w:r>
    </w:p>
    <w:p w14:paraId="57FD92A8" w14:textId="675745E3" w:rsidR="00010E7F" w:rsidRPr="00662906" w:rsidRDefault="00010E7F" w:rsidP="00010E7F">
      <w:r w:rsidRPr="00662906">
        <w:t xml:space="preserve">The strategic objectives </w:t>
      </w:r>
      <w:r w:rsidR="003532D7" w:rsidRPr="00662906">
        <w:t xml:space="preserve">in </w:t>
      </w:r>
      <w:r w:rsidRPr="00662906">
        <w:t>Table 1</w:t>
      </w:r>
      <w:r w:rsidR="003C4B5B" w:rsidRPr="00662906">
        <w:t>4</w:t>
      </w:r>
      <w:r w:rsidRPr="00662906">
        <w:t xml:space="preserve"> were then formulated along those pre-determined subsectors as indicated in Figure 1</w:t>
      </w:r>
      <w:r w:rsidR="003532D7" w:rsidRPr="00662906">
        <w:t xml:space="preserve">. </w:t>
      </w:r>
    </w:p>
    <w:p w14:paraId="35F02F11" w14:textId="208A92A0" w:rsidR="00010E7F" w:rsidRPr="00662906" w:rsidRDefault="00010E7F" w:rsidP="00010E7F">
      <w:pPr>
        <w:pStyle w:val="Caption"/>
      </w:pPr>
      <w:bookmarkStart w:id="434" w:name="_Toc197433902"/>
      <w:r w:rsidRPr="00662906">
        <w:t xml:space="preserve">Table </w:t>
      </w:r>
      <w:fldSimple w:instr=" SEQ Table \* ARABIC ">
        <w:r w:rsidR="00610F61">
          <w:rPr>
            <w:noProof/>
          </w:rPr>
          <w:t>14</w:t>
        </w:r>
      </w:fldSimple>
      <w:r w:rsidRPr="00662906">
        <w:t>: Subsector Strategic Objectives for the ETSAP</w:t>
      </w:r>
      <w:bookmarkEnd w:id="434"/>
    </w:p>
    <w:tbl>
      <w:tblPr>
        <w:tblW w:w="0" w:type="auto"/>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ook w:val="06A0" w:firstRow="1" w:lastRow="0" w:firstColumn="1" w:lastColumn="0" w:noHBand="1" w:noVBand="1"/>
      </w:tblPr>
      <w:tblGrid>
        <w:gridCol w:w="1746"/>
        <w:gridCol w:w="7274"/>
      </w:tblGrid>
      <w:tr w:rsidR="00010E7F" w:rsidRPr="00662906" w14:paraId="7DFB09AB" w14:textId="77777777" w:rsidTr="2D9E25B5">
        <w:trPr>
          <w:trHeight w:val="454"/>
        </w:trPr>
        <w:tc>
          <w:tcPr>
            <w:tcW w:w="1746" w:type="dxa"/>
            <w:shd w:val="clear" w:color="auto" w:fill="B4A269" w:themeFill="text2"/>
            <w:vAlign w:val="center"/>
          </w:tcPr>
          <w:p w14:paraId="5A4A7890" w14:textId="77777777" w:rsidR="00010E7F" w:rsidRPr="00662906" w:rsidRDefault="00010E7F" w:rsidP="003A6D1E">
            <w:pPr>
              <w:spacing w:before="0" w:after="0" w:line="240" w:lineRule="auto"/>
              <w:jc w:val="center"/>
              <w:rPr>
                <w:rFonts w:eastAsia="Arial" w:cs="Arial"/>
                <w:b/>
                <w:bCs/>
                <w:color w:val="FFFFFF" w:themeColor="background2"/>
                <w:sz w:val="18"/>
                <w:szCs w:val="18"/>
              </w:rPr>
            </w:pPr>
            <w:r w:rsidRPr="00662906">
              <w:rPr>
                <w:rFonts w:eastAsia="Arial" w:cs="Arial"/>
                <w:b/>
                <w:bCs/>
                <w:color w:val="FFFFFF" w:themeColor="background2"/>
                <w:sz w:val="18"/>
                <w:szCs w:val="18"/>
              </w:rPr>
              <w:t>Sub sector</w:t>
            </w:r>
          </w:p>
        </w:tc>
        <w:tc>
          <w:tcPr>
            <w:tcW w:w="7274" w:type="dxa"/>
            <w:shd w:val="clear" w:color="auto" w:fill="B4A269" w:themeFill="text2"/>
            <w:vAlign w:val="center"/>
          </w:tcPr>
          <w:p w14:paraId="760020E6" w14:textId="77777777" w:rsidR="00010E7F" w:rsidRPr="00662906" w:rsidRDefault="00010E7F" w:rsidP="003A6D1E">
            <w:pPr>
              <w:spacing w:before="0" w:after="0" w:line="240" w:lineRule="auto"/>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Objective</w:t>
            </w:r>
          </w:p>
        </w:tc>
      </w:tr>
      <w:tr w:rsidR="00010E7F" w:rsidRPr="00662906" w14:paraId="25C8A608" w14:textId="77777777" w:rsidTr="00B20027">
        <w:trPr>
          <w:trHeight w:val="300"/>
        </w:trPr>
        <w:tc>
          <w:tcPr>
            <w:tcW w:w="1746" w:type="dxa"/>
            <w:vAlign w:val="center"/>
          </w:tcPr>
          <w:p w14:paraId="22AED78A"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Electricity subsector</w:t>
            </w:r>
          </w:p>
        </w:tc>
        <w:tc>
          <w:tcPr>
            <w:tcW w:w="7274" w:type="dxa"/>
          </w:tcPr>
          <w:p w14:paraId="288F8AB2" w14:textId="71AF8538" w:rsidR="00010E7F" w:rsidRPr="00662906" w:rsidRDefault="00B2402B" w:rsidP="003A6D1E">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Strengthen and Modernize Energy Infrastructure and Systems in the Electricity Supply </w:t>
            </w:r>
            <w:r w:rsidR="003532D7" w:rsidRPr="00662906">
              <w:rPr>
                <w:rFonts w:eastAsia="Arial" w:cs="Arial"/>
                <w:color w:val="394A58"/>
                <w:sz w:val="18"/>
                <w:szCs w:val="18"/>
              </w:rPr>
              <w:t>Sector</w:t>
            </w:r>
          </w:p>
        </w:tc>
      </w:tr>
      <w:tr w:rsidR="00010E7F" w:rsidRPr="00662906" w14:paraId="5839F76D" w14:textId="77777777" w:rsidTr="00B20027">
        <w:trPr>
          <w:trHeight w:val="345"/>
        </w:trPr>
        <w:tc>
          <w:tcPr>
            <w:tcW w:w="1746" w:type="dxa"/>
            <w:vAlign w:val="center"/>
          </w:tcPr>
          <w:p w14:paraId="1D9652CE"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Transport</w:t>
            </w:r>
          </w:p>
        </w:tc>
        <w:tc>
          <w:tcPr>
            <w:tcW w:w="7274" w:type="dxa"/>
          </w:tcPr>
          <w:p w14:paraId="2AF370C5" w14:textId="77777777" w:rsidR="00010E7F" w:rsidRPr="00662906" w:rsidRDefault="00010E7F" w:rsidP="003A6D1E">
            <w:pPr>
              <w:spacing w:before="0" w:after="0" w:line="240" w:lineRule="auto"/>
              <w:jc w:val="left"/>
              <w:rPr>
                <w:rFonts w:eastAsia="Arial" w:cs="Arial"/>
                <w:color w:val="394A58"/>
                <w:sz w:val="18"/>
                <w:szCs w:val="18"/>
              </w:rPr>
            </w:pPr>
            <w:r w:rsidRPr="00662906">
              <w:rPr>
                <w:rFonts w:eastAsia="Arial" w:cs="Arial"/>
                <w:color w:val="394A58"/>
                <w:sz w:val="18"/>
                <w:szCs w:val="18"/>
              </w:rPr>
              <w:t>Advance Sustainable Transport Solutions</w:t>
            </w:r>
          </w:p>
        </w:tc>
      </w:tr>
      <w:tr w:rsidR="00010E7F" w:rsidRPr="00662906" w14:paraId="5EAC87BF" w14:textId="77777777" w:rsidTr="00B20027">
        <w:trPr>
          <w:trHeight w:val="300"/>
        </w:trPr>
        <w:tc>
          <w:tcPr>
            <w:tcW w:w="1746" w:type="dxa"/>
            <w:vAlign w:val="center"/>
          </w:tcPr>
          <w:p w14:paraId="42D603D6"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Buildings</w:t>
            </w:r>
          </w:p>
        </w:tc>
        <w:tc>
          <w:tcPr>
            <w:tcW w:w="7274" w:type="dxa"/>
          </w:tcPr>
          <w:p w14:paraId="275E1085" w14:textId="77777777" w:rsidR="00010E7F" w:rsidRPr="00662906" w:rsidRDefault="00010E7F" w:rsidP="003A6D1E">
            <w:pPr>
              <w:spacing w:before="0" w:after="0" w:line="240" w:lineRule="auto"/>
              <w:jc w:val="left"/>
              <w:rPr>
                <w:rFonts w:eastAsia="Arial" w:cs="Arial"/>
                <w:color w:val="394A58"/>
                <w:sz w:val="18"/>
                <w:szCs w:val="18"/>
              </w:rPr>
            </w:pPr>
            <w:r w:rsidRPr="00662906">
              <w:rPr>
                <w:rFonts w:eastAsia="Arial" w:cs="Arial"/>
                <w:color w:val="394A58"/>
                <w:sz w:val="18"/>
                <w:szCs w:val="18"/>
              </w:rPr>
              <w:t>Elevate Building Standards for Energy</w:t>
            </w:r>
          </w:p>
        </w:tc>
      </w:tr>
      <w:tr w:rsidR="00010E7F" w:rsidRPr="00662906" w14:paraId="7D1AD7F9" w14:textId="77777777" w:rsidTr="00B20027">
        <w:trPr>
          <w:trHeight w:val="300"/>
        </w:trPr>
        <w:tc>
          <w:tcPr>
            <w:tcW w:w="1746" w:type="dxa"/>
            <w:vAlign w:val="center"/>
          </w:tcPr>
          <w:p w14:paraId="1BE08487"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Industry</w:t>
            </w:r>
          </w:p>
        </w:tc>
        <w:tc>
          <w:tcPr>
            <w:tcW w:w="7274" w:type="dxa"/>
          </w:tcPr>
          <w:p w14:paraId="0F48F63A" w14:textId="7596B099" w:rsidR="00010E7F" w:rsidRPr="00662906" w:rsidRDefault="00010E7F" w:rsidP="003A6D1E">
            <w:pPr>
              <w:spacing w:before="0" w:after="0" w:line="240" w:lineRule="auto"/>
              <w:jc w:val="left"/>
              <w:rPr>
                <w:rFonts w:eastAsia="Arial" w:cs="Arial"/>
                <w:color w:val="394A58"/>
                <w:sz w:val="18"/>
                <w:szCs w:val="18"/>
              </w:rPr>
            </w:pPr>
            <w:r w:rsidRPr="00662906">
              <w:rPr>
                <w:rFonts w:eastAsia="Arial" w:cs="Arial"/>
                <w:color w:val="394A58"/>
                <w:sz w:val="18"/>
                <w:szCs w:val="18"/>
              </w:rPr>
              <w:t>Foster Sustainable and transformative Industrial Development</w:t>
            </w:r>
          </w:p>
        </w:tc>
      </w:tr>
      <w:tr w:rsidR="00010E7F" w:rsidRPr="00662906" w14:paraId="48560253" w14:textId="77777777" w:rsidTr="00B20027">
        <w:trPr>
          <w:trHeight w:val="300"/>
        </w:trPr>
        <w:tc>
          <w:tcPr>
            <w:tcW w:w="1746" w:type="dxa"/>
            <w:vAlign w:val="center"/>
          </w:tcPr>
          <w:p w14:paraId="09DC618C"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Oil and Gas</w:t>
            </w:r>
          </w:p>
        </w:tc>
        <w:tc>
          <w:tcPr>
            <w:tcW w:w="7274" w:type="dxa"/>
          </w:tcPr>
          <w:p w14:paraId="6696F586" w14:textId="77777777" w:rsidR="00010E7F" w:rsidRPr="00662906" w:rsidRDefault="00010E7F" w:rsidP="003A6D1E">
            <w:pPr>
              <w:spacing w:before="0" w:after="0" w:line="240" w:lineRule="auto"/>
              <w:jc w:val="left"/>
              <w:rPr>
                <w:rFonts w:eastAsia="Arial" w:cs="Arial"/>
                <w:color w:val="394A58"/>
                <w:sz w:val="18"/>
                <w:szCs w:val="18"/>
              </w:rPr>
            </w:pPr>
            <w:r w:rsidRPr="00662906">
              <w:rPr>
                <w:rFonts w:eastAsia="Arial" w:cs="Arial"/>
                <w:color w:val="394A58"/>
                <w:sz w:val="18"/>
                <w:szCs w:val="18"/>
              </w:rPr>
              <w:t>Optimize Oil and Gas Sector Transition</w:t>
            </w:r>
          </w:p>
        </w:tc>
      </w:tr>
      <w:tr w:rsidR="00010E7F" w:rsidRPr="00662906" w14:paraId="456C7418" w14:textId="77777777" w:rsidTr="00B20027">
        <w:trPr>
          <w:trHeight w:val="300"/>
        </w:trPr>
        <w:tc>
          <w:tcPr>
            <w:tcW w:w="1746" w:type="dxa"/>
            <w:vAlign w:val="center"/>
          </w:tcPr>
          <w:p w14:paraId="26A41288" w14:textId="77777777" w:rsidR="00010E7F" w:rsidRPr="00662906" w:rsidRDefault="00010E7F"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Agriculture</w:t>
            </w:r>
          </w:p>
        </w:tc>
        <w:tc>
          <w:tcPr>
            <w:tcW w:w="7274" w:type="dxa"/>
          </w:tcPr>
          <w:p w14:paraId="7F679FDA" w14:textId="3FD9D5B4" w:rsidR="00010E7F" w:rsidRPr="00662906" w:rsidRDefault="00AF67FE" w:rsidP="003A6D1E">
            <w:pPr>
              <w:spacing w:before="0" w:after="0" w:line="240" w:lineRule="auto"/>
              <w:jc w:val="left"/>
              <w:rPr>
                <w:rFonts w:eastAsia="Arial" w:cs="Arial"/>
                <w:color w:val="394A58"/>
                <w:sz w:val="18"/>
                <w:szCs w:val="18"/>
              </w:rPr>
            </w:pPr>
            <w:r w:rsidRPr="00662906">
              <w:rPr>
                <w:rFonts w:eastAsia="Arial" w:cs="Arial"/>
                <w:color w:val="394A58"/>
                <w:sz w:val="18"/>
                <w:szCs w:val="18"/>
              </w:rPr>
              <w:t>Increase the Use of Modern and Efficient Energy Technologies in Agriculture</w:t>
            </w:r>
          </w:p>
        </w:tc>
      </w:tr>
      <w:tr w:rsidR="2D9E25B5" w:rsidRPr="00662906" w14:paraId="69C11481" w14:textId="77777777" w:rsidTr="00B20027">
        <w:trPr>
          <w:trHeight w:val="300"/>
        </w:trPr>
        <w:tc>
          <w:tcPr>
            <w:tcW w:w="1746" w:type="dxa"/>
            <w:vAlign w:val="center"/>
          </w:tcPr>
          <w:p w14:paraId="4E258240" w14:textId="22E834D5" w:rsidR="16DA8E38" w:rsidRPr="00662906" w:rsidRDefault="16DA8E38" w:rsidP="00B20027">
            <w:pPr>
              <w:spacing w:before="0" w:after="0" w:line="240" w:lineRule="auto"/>
              <w:jc w:val="center"/>
              <w:rPr>
                <w:rFonts w:eastAsia="Arial" w:cs="Arial"/>
                <w:color w:val="394A58"/>
                <w:sz w:val="18"/>
                <w:szCs w:val="18"/>
              </w:rPr>
            </w:pPr>
            <w:r w:rsidRPr="00662906">
              <w:rPr>
                <w:rFonts w:eastAsia="Arial" w:cs="Arial"/>
                <w:color w:val="394A58"/>
                <w:sz w:val="18"/>
                <w:szCs w:val="18"/>
              </w:rPr>
              <w:t>Clean Cookin</w:t>
            </w:r>
            <w:r w:rsidR="00E22995" w:rsidRPr="00662906">
              <w:rPr>
                <w:rFonts w:eastAsia="Arial" w:cs="Arial"/>
                <w:color w:val="394A58"/>
                <w:sz w:val="18"/>
                <w:szCs w:val="18"/>
              </w:rPr>
              <w:t>g</w:t>
            </w:r>
          </w:p>
        </w:tc>
        <w:tc>
          <w:tcPr>
            <w:tcW w:w="7274" w:type="dxa"/>
          </w:tcPr>
          <w:p w14:paraId="6699F4DE" w14:textId="7AA7CBE6" w:rsidR="2D9E25B5" w:rsidRPr="00662906" w:rsidRDefault="00E22995" w:rsidP="003A6D1E">
            <w:pPr>
              <w:spacing w:before="0" w:after="0" w:line="240" w:lineRule="auto"/>
              <w:jc w:val="left"/>
              <w:rPr>
                <w:rFonts w:eastAsia="Arial" w:cs="Arial"/>
                <w:color w:val="394A58"/>
                <w:sz w:val="18"/>
                <w:szCs w:val="18"/>
              </w:rPr>
            </w:pPr>
            <w:r w:rsidRPr="00662906">
              <w:rPr>
                <w:rFonts w:eastAsia="Arial" w:cs="Arial"/>
                <w:color w:val="394A58"/>
                <w:sz w:val="18"/>
                <w:szCs w:val="18"/>
              </w:rPr>
              <w:t>Promote the Adoption of Clean Cooking Technologies</w:t>
            </w:r>
          </w:p>
        </w:tc>
      </w:tr>
    </w:tbl>
    <w:p w14:paraId="62CAC44D"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5E34D49" w14:textId="77777777" w:rsidR="00B20027" w:rsidRPr="00662906" w:rsidRDefault="36FE1C9D" w:rsidP="00010E7F">
      <w:r w:rsidRPr="00662906">
        <w:t xml:space="preserve">In the context of the strategic objectives, strategic interventions were derived that were translated into Action Plans depending on the issues, gaps/challenges and opportunities identified for these subsectors. The Action Plans define what is to be implemented at continental, regional and national levels in the context of the ETSAP. Horizontal Action plans are also included that would be encompassing like collective support </w:t>
      </w:r>
      <w:r w:rsidR="3745D24F" w:rsidRPr="00662906">
        <w:t>to AU MS to develop their</w:t>
      </w:r>
      <w:r w:rsidRPr="00662906">
        <w:t xml:space="preserve"> DDPs</w:t>
      </w:r>
      <w:r w:rsidR="7C9DE1FF" w:rsidRPr="00662906">
        <w:t>;</w:t>
      </w:r>
      <w:r w:rsidR="0005404D" w:rsidRPr="00662906">
        <w:t xml:space="preserve"> </w:t>
      </w:r>
      <w:r w:rsidR="43A09B71" w:rsidRPr="00662906">
        <w:t xml:space="preserve">Creating </w:t>
      </w:r>
      <w:r w:rsidR="16629F33" w:rsidRPr="00662906">
        <w:t>comprehensive</w:t>
      </w:r>
      <w:r w:rsidR="43A09B71" w:rsidRPr="00662906">
        <w:t xml:space="preserve"> data and information system for undertaking ET for the </w:t>
      </w:r>
      <w:r w:rsidR="1B91F582" w:rsidRPr="00662906">
        <w:t>continent</w:t>
      </w:r>
      <w:r w:rsidR="43A09B71" w:rsidRPr="00662906">
        <w:t xml:space="preserve"> avoiding dependence on other international sources; </w:t>
      </w:r>
      <w:r w:rsidRPr="00662906">
        <w:t xml:space="preserve">Capacity Building </w:t>
      </w:r>
      <w:r w:rsidR="3AC517EF" w:rsidRPr="00662906">
        <w:t xml:space="preserve">of relevant continental, regional </w:t>
      </w:r>
      <w:r w:rsidR="006D6AE3" w:rsidRPr="00662906">
        <w:t>and national</w:t>
      </w:r>
      <w:r w:rsidR="3AC517EF" w:rsidRPr="00662906">
        <w:t xml:space="preserve"> stakeholders to develop and implement ET strategies</w:t>
      </w:r>
      <w:r w:rsidRPr="00662906">
        <w:t>. Relevant Cross cutting and cross sectoral issues related to implementation of the ETSAP are included.</w:t>
      </w:r>
    </w:p>
    <w:p w14:paraId="38BB1F08" w14:textId="036C1EB9" w:rsidR="00B20027" w:rsidRPr="00662906" w:rsidRDefault="36FE1C9D" w:rsidP="00010E7F">
      <w:r w:rsidRPr="00662906">
        <w:lastRenderedPageBreak/>
        <w:t>An implementation</w:t>
      </w:r>
      <w:r w:rsidR="00B20027" w:rsidRPr="00662906">
        <w:t xml:space="preserve"> plan presenting guiding principles, Institutional roles, and resource mobilization</w:t>
      </w:r>
      <w:r w:rsidR="00B20027" w:rsidRPr="00662906">
        <w:rPr>
          <w:rStyle w:val="FootnoteReference"/>
        </w:rPr>
        <w:footnoteReference w:id="30"/>
      </w:r>
      <w:r w:rsidR="00B20027" w:rsidRPr="00662906">
        <w:t xml:space="preserve"> for implementation of ETSAP is provided. As part of the Implementation Plan, a M&amp;E framework has been developed to track achievement of the ETSAP strategic objectives and interventions. A communication plan accompanies the ETSAP to support dissemination of the ETSAP to the various stakeholders that will include decision makers, implementers, consumers, funders, and investors.</w:t>
      </w:r>
    </w:p>
    <w:p w14:paraId="6B6D5BB7" w14:textId="7C460766" w:rsidR="00CD21DC" w:rsidRPr="00662906" w:rsidRDefault="005312A8" w:rsidP="00F564DF">
      <w:pPr>
        <w:pStyle w:val="Heading2"/>
      </w:pPr>
      <w:bookmarkStart w:id="435" w:name="_Toc197433843"/>
      <w:r w:rsidRPr="00662906">
        <w:t>Synergies with Past-adopted AU Strategies</w:t>
      </w:r>
      <w:bookmarkEnd w:id="435"/>
    </w:p>
    <w:p w14:paraId="70155AE9" w14:textId="3292F6EB" w:rsidR="00CD21DC" w:rsidRPr="00662906" w:rsidRDefault="003241C8" w:rsidP="00E67269">
      <w:r w:rsidRPr="00662906">
        <w:t>The</w:t>
      </w:r>
      <w:r w:rsidR="006D6AE3" w:rsidRPr="00662906">
        <w:t xml:space="preserve"> ETSAP</w:t>
      </w:r>
      <w:r w:rsidRPr="00662906">
        <w:t xml:space="preserve"> builds upon a solid foundation of existing AU strategies and frameworks. These strategies address critical components of Africa’s energy sector, and ETSAP leverages them to avoid duplication, ensure alignment, and provide a cohesive approach</w:t>
      </w:r>
      <w:r w:rsidR="003C4B5B" w:rsidRPr="00662906">
        <w:t xml:space="preserve"> (Table 15)</w:t>
      </w:r>
      <w:r w:rsidRPr="00662906">
        <w:t>. For detailed guidance on sector-specific interventions, stakeholders are encouraged to refer to these documents</w:t>
      </w:r>
      <w:r w:rsidR="006C1EB9" w:rsidRPr="00662906">
        <w:t xml:space="preserve"> </w:t>
      </w:r>
      <w:r w:rsidR="00A77E86" w:rsidRPr="00662906">
        <w:t>provided in Annex</w:t>
      </w:r>
      <w:r w:rsidR="003329C8" w:rsidRPr="00662906">
        <w:t xml:space="preserve"> </w:t>
      </w:r>
      <w:r w:rsidR="003329C8" w:rsidRPr="00662906">
        <w:fldChar w:fldCharType="begin"/>
      </w:r>
      <w:r w:rsidR="003329C8" w:rsidRPr="00662906">
        <w:instrText xml:space="preserve"> REF _Ref189754423 \r \h </w:instrText>
      </w:r>
      <w:r w:rsidR="003329C8" w:rsidRPr="00662906">
        <w:fldChar w:fldCharType="separate"/>
      </w:r>
      <w:r w:rsidR="00610F61">
        <w:t>6.3</w:t>
      </w:r>
      <w:r w:rsidR="003329C8" w:rsidRPr="00662906">
        <w:fldChar w:fldCharType="end"/>
      </w:r>
      <w:r w:rsidR="00A77E86" w:rsidRPr="00662906">
        <w:t>.</w:t>
      </w:r>
    </w:p>
    <w:p w14:paraId="055632A0" w14:textId="5DE3F0C2" w:rsidR="008B1525" w:rsidRPr="00662906" w:rsidRDefault="008B1525" w:rsidP="008B1525">
      <w:pPr>
        <w:pStyle w:val="Caption"/>
      </w:pPr>
      <w:bookmarkStart w:id="436" w:name="_Toc197433903"/>
      <w:r w:rsidRPr="00662906">
        <w:t xml:space="preserve">Table </w:t>
      </w:r>
      <w:fldSimple w:instr=" SEQ Table \* ARABIC ">
        <w:r w:rsidR="00610F61">
          <w:rPr>
            <w:noProof/>
          </w:rPr>
          <w:t>15</w:t>
        </w:r>
      </w:fldSimple>
      <w:r w:rsidRPr="00662906">
        <w:t xml:space="preserve">: </w:t>
      </w:r>
      <w:r w:rsidR="00BE01DE" w:rsidRPr="00662906">
        <w:t>Synergies with Past-adopted AU Strategies</w:t>
      </w:r>
      <w:bookmarkEnd w:id="436"/>
    </w:p>
    <w:tbl>
      <w:tblPr>
        <w:tblStyle w:val="TableGrid"/>
        <w:tblpPr w:leftFromText="180" w:rightFromText="180" w:vertAnchor="text" w:tblpY="1"/>
        <w:tblOverlap w:val="never"/>
        <w:tblW w:w="9069"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423"/>
        <w:gridCol w:w="2409"/>
        <w:gridCol w:w="6237"/>
      </w:tblGrid>
      <w:tr w:rsidR="00F7457B" w:rsidRPr="00662906" w14:paraId="72F5FFB9" w14:textId="77777777" w:rsidTr="00B20027">
        <w:trPr>
          <w:trHeight w:val="143"/>
        </w:trPr>
        <w:tc>
          <w:tcPr>
            <w:tcW w:w="423" w:type="dxa"/>
            <w:shd w:val="clear" w:color="auto" w:fill="B4A269" w:themeFill="text2"/>
            <w:tcMar>
              <w:left w:w="57" w:type="dxa"/>
              <w:right w:w="57" w:type="dxa"/>
            </w:tcMar>
            <w:vAlign w:val="center"/>
          </w:tcPr>
          <w:p w14:paraId="648C813E" w14:textId="2AA05D07" w:rsidR="00F7457B" w:rsidRPr="00662906" w:rsidRDefault="008B555E" w:rsidP="00B20027">
            <w:pPr>
              <w:ind w:left="-57" w:right="-57"/>
              <w:jc w:val="center"/>
              <w:rPr>
                <w:rFonts w:eastAsia="Arial" w:cs="Arial"/>
                <w:b/>
                <w:bCs/>
                <w:color w:val="FFFFFF" w:themeColor="background2"/>
                <w:sz w:val="16"/>
                <w:szCs w:val="16"/>
              </w:rPr>
            </w:pPr>
            <w:r w:rsidRPr="00662906">
              <w:rPr>
                <w:rFonts w:eastAsia="Arial" w:cs="Arial"/>
                <w:b/>
                <w:bCs/>
                <w:color w:val="FFFFFF" w:themeColor="background2"/>
                <w:sz w:val="16"/>
                <w:szCs w:val="16"/>
              </w:rPr>
              <w:t>No</w:t>
            </w:r>
          </w:p>
        </w:tc>
        <w:tc>
          <w:tcPr>
            <w:tcW w:w="2409" w:type="dxa"/>
            <w:shd w:val="clear" w:color="auto" w:fill="B4A269" w:themeFill="text2"/>
            <w:tcMar>
              <w:left w:w="57" w:type="dxa"/>
              <w:right w:w="57" w:type="dxa"/>
            </w:tcMar>
            <w:vAlign w:val="center"/>
          </w:tcPr>
          <w:p w14:paraId="7D47076E" w14:textId="51F5B4E5" w:rsidR="00F7457B" w:rsidRPr="00662906" w:rsidRDefault="008B555E" w:rsidP="00B20027">
            <w:pPr>
              <w:spacing w:before="60" w:after="60"/>
              <w:ind w:left="-57" w:right="-57"/>
              <w:jc w:val="center"/>
              <w:rPr>
                <w:rFonts w:eastAsia="Arial" w:cs="Arial"/>
                <w:b/>
                <w:color w:val="FFFFFF" w:themeColor="background2"/>
                <w:sz w:val="16"/>
                <w:szCs w:val="16"/>
              </w:rPr>
            </w:pPr>
            <w:r w:rsidRPr="00662906">
              <w:rPr>
                <w:rFonts w:eastAsia="Arial" w:cs="Arial"/>
                <w:b/>
                <w:color w:val="FFFFFF" w:themeColor="background2"/>
                <w:sz w:val="16"/>
                <w:szCs w:val="16"/>
              </w:rPr>
              <w:t>Name of Strategy / Framework</w:t>
            </w:r>
          </w:p>
        </w:tc>
        <w:tc>
          <w:tcPr>
            <w:tcW w:w="6237" w:type="dxa"/>
            <w:shd w:val="clear" w:color="auto" w:fill="B4A269" w:themeFill="text2"/>
            <w:tcMar>
              <w:left w:w="57" w:type="dxa"/>
              <w:right w:w="57" w:type="dxa"/>
            </w:tcMar>
            <w:vAlign w:val="center"/>
          </w:tcPr>
          <w:p w14:paraId="28F4F3FC" w14:textId="57316F5D" w:rsidR="00F7457B" w:rsidRPr="00662906" w:rsidRDefault="0097085A" w:rsidP="002E08DF">
            <w:pPr>
              <w:spacing w:before="60" w:after="60"/>
              <w:ind w:left="-57" w:right="-57"/>
              <w:jc w:val="center"/>
              <w:rPr>
                <w:rFonts w:cs="Arial"/>
                <w:color w:val="FFFFFF" w:themeColor="background2"/>
                <w:sz w:val="16"/>
                <w:szCs w:val="16"/>
              </w:rPr>
            </w:pPr>
            <w:r w:rsidRPr="00662906">
              <w:rPr>
                <w:rFonts w:eastAsia="Arial" w:cs="Arial"/>
                <w:b/>
                <w:color w:val="FFFFFF" w:themeColor="background2"/>
                <w:sz w:val="16"/>
                <w:szCs w:val="16"/>
              </w:rPr>
              <w:t>Synergies with ETSAP</w:t>
            </w:r>
          </w:p>
        </w:tc>
      </w:tr>
      <w:tr w:rsidR="00F7457B" w:rsidRPr="00662906" w14:paraId="7CD7973E" w14:textId="77777777" w:rsidTr="00B20027">
        <w:trPr>
          <w:trHeight w:val="63"/>
        </w:trPr>
        <w:tc>
          <w:tcPr>
            <w:tcW w:w="423" w:type="dxa"/>
            <w:shd w:val="clear" w:color="auto" w:fill="FFFFFF" w:themeFill="background2"/>
            <w:tcMar>
              <w:left w:w="57" w:type="dxa"/>
              <w:right w:w="57" w:type="dxa"/>
            </w:tcMar>
            <w:vAlign w:val="center"/>
          </w:tcPr>
          <w:p w14:paraId="5E3A0068" w14:textId="1E8A22C5" w:rsidR="00F7457B"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1</w:t>
            </w:r>
          </w:p>
        </w:tc>
        <w:tc>
          <w:tcPr>
            <w:tcW w:w="2409" w:type="dxa"/>
            <w:shd w:val="clear" w:color="auto" w:fill="FFFFFF" w:themeFill="background2"/>
            <w:tcMar>
              <w:left w:w="57" w:type="dxa"/>
              <w:right w:w="57" w:type="dxa"/>
            </w:tcMar>
            <w:vAlign w:val="center"/>
          </w:tcPr>
          <w:p w14:paraId="722E807A" w14:textId="31AD182B" w:rsidR="00F7457B" w:rsidRPr="00662906" w:rsidRDefault="004452D5" w:rsidP="00B20027">
            <w:pPr>
              <w:spacing w:before="40" w:after="40"/>
              <w:jc w:val="center"/>
              <w:rPr>
                <w:rFonts w:eastAsia="Arial" w:cs="Arial"/>
                <w:sz w:val="16"/>
                <w:szCs w:val="16"/>
              </w:rPr>
            </w:pPr>
            <w:r w:rsidRPr="00662906">
              <w:rPr>
                <w:rFonts w:eastAsia="Arial" w:cs="Arial"/>
                <w:sz w:val="16"/>
                <w:szCs w:val="16"/>
              </w:rPr>
              <w:t>AfSEM</w:t>
            </w:r>
          </w:p>
        </w:tc>
        <w:tc>
          <w:tcPr>
            <w:tcW w:w="6237" w:type="dxa"/>
            <w:shd w:val="clear" w:color="auto" w:fill="FFFFFF" w:themeFill="background2"/>
            <w:tcMar>
              <w:left w:w="57" w:type="dxa"/>
              <w:right w:w="57" w:type="dxa"/>
            </w:tcMar>
          </w:tcPr>
          <w:p w14:paraId="22281D3E" w14:textId="77777777" w:rsidR="008B1525" w:rsidRPr="00662906" w:rsidRDefault="004452D5"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 xml:space="preserve">Facilitates regional power market integration in view of a </w:t>
            </w:r>
            <w:r w:rsidR="00C417BC" w:rsidRPr="00662906">
              <w:rPr>
                <w:rFonts w:eastAsia="Arial" w:cs="Arial"/>
                <w:sz w:val="16"/>
                <w:szCs w:val="16"/>
              </w:rPr>
              <w:t>Continental market</w:t>
            </w:r>
            <w:r w:rsidRPr="00662906">
              <w:rPr>
                <w:rFonts w:eastAsia="Arial" w:cs="Arial"/>
                <w:sz w:val="16"/>
                <w:szCs w:val="16"/>
              </w:rPr>
              <w:t xml:space="preserve"> </w:t>
            </w:r>
          </w:p>
          <w:p w14:paraId="3CC0C1B4" w14:textId="490AD972" w:rsidR="008B1525" w:rsidRPr="00662906" w:rsidRDefault="004452D5"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Supports cross-border trade of</w:t>
            </w:r>
            <w:r w:rsidR="00911F61" w:rsidRPr="00662906">
              <w:rPr>
                <w:rFonts w:eastAsia="Arial" w:cs="Arial"/>
                <w:sz w:val="16"/>
                <w:szCs w:val="16"/>
              </w:rPr>
              <w:t xml:space="preserve"> energy including</w:t>
            </w:r>
            <w:r w:rsidRPr="00662906">
              <w:rPr>
                <w:rFonts w:eastAsia="Arial" w:cs="Arial"/>
                <w:sz w:val="16"/>
                <w:szCs w:val="16"/>
              </w:rPr>
              <w:t xml:space="preserve"> clean energy.</w:t>
            </w:r>
          </w:p>
          <w:p w14:paraId="7D03BB55" w14:textId="360018B6" w:rsidR="00F7457B" w:rsidRPr="00662906" w:rsidRDefault="00C417B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Drives</w:t>
            </w:r>
            <w:r w:rsidR="004452D5" w:rsidRPr="00662906">
              <w:rPr>
                <w:rFonts w:eastAsia="Arial" w:cs="Arial"/>
                <w:sz w:val="16"/>
                <w:szCs w:val="16"/>
              </w:rPr>
              <w:t xml:space="preserve"> policy frameworks for electricity markets.</w:t>
            </w:r>
          </w:p>
        </w:tc>
      </w:tr>
      <w:tr w:rsidR="00F7457B" w:rsidRPr="00662906" w14:paraId="4D8702AE" w14:textId="77777777" w:rsidTr="00B20027">
        <w:trPr>
          <w:trHeight w:val="300"/>
        </w:trPr>
        <w:tc>
          <w:tcPr>
            <w:tcW w:w="423" w:type="dxa"/>
            <w:shd w:val="clear" w:color="auto" w:fill="FFFFFF" w:themeFill="background2"/>
            <w:tcMar>
              <w:left w:w="57" w:type="dxa"/>
              <w:right w:w="57" w:type="dxa"/>
            </w:tcMar>
            <w:vAlign w:val="center"/>
          </w:tcPr>
          <w:p w14:paraId="161E64D5" w14:textId="3464AD31" w:rsidR="00F7457B"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2</w:t>
            </w:r>
          </w:p>
        </w:tc>
        <w:tc>
          <w:tcPr>
            <w:tcW w:w="2409" w:type="dxa"/>
            <w:shd w:val="clear" w:color="auto" w:fill="FFFFFF" w:themeFill="background2"/>
            <w:tcMar>
              <w:left w:w="57" w:type="dxa"/>
              <w:right w:w="57" w:type="dxa"/>
            </w:tcMar>
            <w:vAlign w:val="center"/>
          </w:tcPr>
          <w:p w14:paraId="04CC5E9F" w14:textId="5884EBDB" w:rsidR="00F7457B" w:rsidRPr="00662906" w:rsidRDefault="00C417BC" w:rsidP="00B20027">
            <w:pPr>
              <w:spacing w:before="40" w:after="40"/>
              <w:jc w:val="center"/>
              <w:rPr>
                <w:rFonts w:eastAsia="Arial" w:cs="Arial"/>
                <w:sz w:val="16"/>
                <w:szCs w:val="16"/>
              </w:rPr>
            </w:pPr>
            <w:r w:rsidRPr="00662906">
              <w:rPr>
                <w:rFonts w:eastAsia="Arial" w:cs="Arial"/>
                <w:sz w:val="16"/>
                <w:szCs w:val="16"/>
              </w:rPr>
              <w:t>CMP</w:t>
            </w:r>
          </w:p>
        </w:tc>
        <w:tc>
          <w:tcPr>
            <w:tcW w:w="6237" w:type="dxa"/>
            <w:shd w:val="clear" w:color="auto" w:fill="FFFFFF" w:themeFill="background2"/>
            <w:tcMar>
              <w:left w:w="57" w:type="dxa"/>
              <w:right w:w="57" w:type="dxa"/>
            </w:tcMar>
          </w:tcPr>
          <w:p w14:paraId="28E2A8E7" w14:textId="2A80CFD7" w:rsidR="008326BE" w:rsidRPr="00662906" w:rsidRDefault="008326BE"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Provides infrastructure planning for regional interconnections and centralized generation.</w:t>
            </w:r>
          </w:p>
          <w:p w14:paraId="1A767F03" w14:textId="3C23EDB9" w:rsidR="008326BE" w:rsidRPr="00662906" w:rsidRDefault="008326BE"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Identifies priority transmission projects.</w:t>
            </w:r>
          </w:p>
          <w:p w14:paraId="62807DA5" w14:textId="0C59A1BD" w:rsidR="00F7457B" w:rsidRPr="00662906" w:rsidRDefault="008326BE"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Supports scaling up renewable energy deployment.</w:t>
            </w:r>
          </w:p>
          <w:p w14:paraId="2F56A778" w14:textId="0B51965D" w:rsidR="00EB2833" w:rsidRPr="00662906" w:rsidRDefault="00EB283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 xml:space="preserve">The Specific Support Studies </w:t>
            </w:r>
            <w:r w:rsidR="00771004" w:rsidRPr="00662906">
              <w:rPr>
                <w:rFonts w:eastAsia="Arial" w:cs="Arial"/>
                <w:sz w:val="16"/>
                <w:szCs w:val="16"/>
              </w:rPr>
              <w:t xml:space="preserve">of the CMP </w:t>
            </w:r>
            <w:r w:rsidRPr="00662906">
              <w:rPr>
                <w:rFonts w:eastAsia="Arial" w:cs="Arial"/>
                <w:sz w:val="16"/>
                <w:szCs w:val="16"/>
              </w:rPr>
              <w:t>provide actionable insights for multiple different technologies able to be included in the Electricity mix</w:t>
            </w:r>
            <w:r w:rsidR="006E5611" w:rsidRPr="00662906">
              <w:rPr>
                <w:rStyle w:val="FootnoteReference"/>
                <w:rFonts w:eastAsia="Arial" w:cs="Arial"/>
                <w:sz w:val="16"/>
                <w:szCs w:val="16"/>
              </w:rPr>
              <w:footnoteReference w:id="31"/>
            </w:r>
            <w:r w:rsidRPr="00662906">
              <w:rPr>
                <w:rFonts w:eastAsia="Arial" w:cs="Arial"/>
                <w:sz w:val="16"/>
                <w:szCs w:val="16"/>
              </w:rPr>
              <w:t>.</w:t>
            </w:r>
          </w:p>
        </w:tc>
      </w:tr>
      <w:tr w:rsidR="00F7457B" w:rsidRPr="00662906" w14:paraId="16E895BB" w14:textId="77777777" w:rsidTr="00B20027">
        <w:trPr>
          <w:trHeight w:val="300"/>
        </w:trPr>
        <w:tc>
          <w:tcPr>
            <w:tcW w:w="423" w:type="dxa"/>
            <w:shd w:val="clear" w:color="auto" w:fill="FFFFFF" w:themeFill="background2"/>
            <w:tcMar>
              <w:left w:w="57" w:type="dxa"/>
              <w:right w:w="57" w:type="dxa"/>
            </w:tcMar>
            <w:vAlign w:val="center"/>
          </w:tcPr>
          <w:p w14:paraId="1EFD115B" w14:textId="15551189" w:rsidR="00F7457B"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3</w:t>
            </w:r>
          </w:p>
        </w:tc>
        <w:tc>
          <w:tcPr>
            <w:tcW w:w="2409" w:type="dxa"/>
            <w:shd w:val="clear" w:color="auto" w:fill="FFFFFF" w:themeFill="background2"/>
            <w:tcMar>
              <w:left w:w="57" w:type="dxa"/>
              <w:right w:w="57" w:type="dxa"/>
            </w:tcMar>
            <w:vAlign w:val="center"/>
          </w:tcPr>
          <w:p w14:paraId="6D8FA2DA" w14:textId="7E592046" w:rsidR="00F7457B" w:rsidRPr="00662906" w:rsidRDefault="008326BE" w:rsidP="00B20027">
            <w:pPr>
              <w:spacing w:before="40" w:after="40"/>
              <w:jc w:val="center"/>
              <w:rPr>
                <w:rFonts w:eastAsia="Arial" w:cs="Arial"/>
                <w:sz w:val="16"/>
                <w:szCs w:val="16"/>
              </w:rPr>
            </w:pPr>
            <w:r w:rsidRPr="00662906">
              <w:rPr>
                <w:rFonts w:eastAsia="Arial" w:cs="Arial"/>
                <w:sz w:val="16"/>
                <w:szCs w:val="16"/>
              </w:rPr>
              <w:t>AfEES</w:t>
            </w:r>
          </w:p>
        </w:tc>
        <w:tc>
          <w:tcPr>
            <w:tcW w:w="6237" w:type="dxa"/>
            <w:shd w:val="clear" w:color="auto" w:fill="FFFFFF" w:themeFill="background2"/>
            <w:tcMar>
              <w:left w:w="57" w:type="dxa"/>
              <w:right w:w="57" w:type="dxa"/>
            </w:tcMar>
          </w:tcPr>
          <w:p w14:paraId="6E1406B8" w14:textId="12BAD45E" w:rsidR="00F92438" w:rsidRPr="00662906" w:rsidRDefault="00F92438"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Establishes energy efficiency goals.</w:t>
            </w:r>
          </w:p>
          <w:p w14:paraId="1152B2E3" w14:textId="6B8EA9EF" w:rsidR="00F92438" w:rsidRPr="00662906" w:rsidRDefault="00F92438"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Promotes adoption of Minimum Energy Performance Standards (MEPS).</w:t>
            </w:r>
          </w:p>
          <w:p w14:paraId="3A677A62" w14:textId="3020B475" w:rsidR="00F7457B" w:rsidRPr="00662906" w:rsidRDefault="00911F61"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Outlines sector specific energy efficiency interventions</w:t>
            </w:r>
            <w:r w:rsidR="00F92438" w:rsidRPr="00662906">
              <w:rPr>
                <w:rFonts w:eastAsia="Arial" w:cs="Arial"/>
                <w:sz w:val="16"/>
                <w:szCs w:val="16"/>
              </w:rPr>
              <w:t xml:space="preserve"> in industry, buildings, agriculture and transport.</w:t>
            </w:r>
          </w:p>
        </w:tc>
      </w:tr>
      <w:tr w:rsidR="00F7457B" w:rsidRPr="00662906" w14:paraId="5F1C1B4F" w14:textId="77777777" w:rsidTr="00B20027">
        <w:trPr>
          <w:trHeight w:val="300"/>
        </w:trPr>
        <w:tc>
          <w:tcPr>
            <w:tcW w:w="423" w:type="dxa"/>
            <w:shd w:val="clear" w:color="auto" w:fill="FFFFFF" w:themeFill="background2"/>
            <w:tcMar>
              <w:left w:w="57" w:type="dxa"/>
              <w:right w:w="57" w:type="dxa"/>
            </w:tcMar>
            <w:vAlign w:val="center"/>
          </w:tcPr>
          <w:p w14:paraId="05984D3B" w14:textId="7B8E7B59" w:rsidR="00F7457B"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4</w:t>
            </w:r>
          </w:p>
        </w:tc>
        <w:tc>
          <w:tcPr>
            <w:tcW w:w="2409" w:type="dxa"/>
            <w:shd w:val="clear" w:color="auto" w:fill="FFFFFF" w:themeFill="background2"/>
            <w:tcMar>
              <w:left w:w="57" w:type="dxa"/>
              <w:right w:w="57" w:type="dxa"/>
            </w:tcMar>
            <w:vAlign w:val="center"/>
          </w:tcPr>
          <w:p w14:paraId="3ED78509" w14:textId="3C3816F7" w:rsidR="00F7457B" w:rsidRPr="00662906" w:rsidRDefault="004E5314" w:rsidP="00B20027">
            <w:pPr>
              <w:spacing w:before="40" w:after="40"/>
              <w:jc w:val="center"/>
              <w:rPr>
                <w:rFonts w:eastAsia="Arial" w:cs="Arial"/>
                <w:sz w:val="16"/>
                <w:szCs w:val="16"/>
              </w:rPr>
            </w:pPr>
            <w:r w:rsidRPr="00662906">
              <w:rPr>
                <w:rFonts w:eastAsia="Arial" w:cs="Arial"/>
                <w:sz w:val="16"/>
                <w:szCs w:val="16"/>
              </w:rPr>
              <w:t xml:space="preserve">African </w:t>
            </w:r>
            <w:r w:rsidR="00F92438" w:rsidRPr="00662906">
              <w:rPr>
                <w:rFonts w:eastAsia="Arial" w:cs="Arial"/>
                <w:sz w:val="16"/>
                <w:szCs w:val="16"/>
              </w:rPr>
              <w:t>Hydrogen Strategy</w:t>
            </w:r>
          </w:p>
        </w:tc>
        <w:tc>
          <w:tcPr>
            <w:tcW w:w="6237" w:type="dxa"/>
            <w:shd w:val="clear" w:color="auto" w:fill="FFFFFF" w:themeFill="background2"/>
            <w:tcMar>
              <w:left w:w="57" w:type="dxa"/>
              <w:right w:w="57" w:type="dxa"/>
            </w:tcMar>
          </w:tcPr>
          <w:p w14:paraId="10670CF4" w14:textId="436863E4" w:rsidR="00EB2833" w:rsidRPr="00662906" w:rsidRDefault="00EB283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Explores green hydrogen as a transitional and future fuel.</w:t>
            </w:r>
          </w:p>
          <w:p w14:paraId="5C689B3F" w14:textId="4EBD795D" w:rsidR="00EB2833" w:rsidRPr="00662906" w:rsidRDefault="00EB283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Supports industrial decarbonization.</w:t>
            </w:r>
          </w:p>
          <w:p w14:paraId="6D177160" w14:textId="6C193769" w:rsidR="00F7457B" w:rsidRPr="00662906" w:rsidRDefault="00EB283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Promotes hydrogen for energy storage and clean transport.</w:t>
            </w:r>
          </w:p>
        </w:tc>
      </w:tr>
      <w:tr w:rsidR="008B555E" w:rsidRPr="00662906" w14:paraId="11CA05BA" w14:textId="77777777" w:rsidTr="00B20027">
        <w:trPr>
          <w:trHeight w:val="300"/>
        </w:trPr>
        <w:tc>
          <w:tcPr>
            <w:tcW w:w="423" w:type="dxa"/>
            <w:shd w:val="clear" w:color="auto" w:fill="FFFFFF" w:themeFill="background2"/>
            <w:tcMar>
              <w:left w:w="57" w:type="dxa"/>
              <w:right w:w="57" w:type="dxa"/>
            </w:tcMar>
            <w:vAlign w:val="center"/>
          </w:tcPr>
          <w:p w14:paraId="169AC212" w14:textId="241F0995" w:rsidR="008B555E"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5</w:t>
            </w:r>
          </w:p>
        </w:tc>
        <w:tc>
          <w:tcPr>
            <w:tcW w:w="2409" w:type="dxa"/>
            <w:shd w:val="clear" w:color="auto" w:fill="FFFFFF" w:themeFill="background2"/>
            <w:tcMar>
              <w:left w:w="57" w:type="dxa"/>
              <w:right w:w="57" w:type="dxa"/>
            </w:tcMar>
            <w:vAlign w:val="center"/>
          </w:tcPr>
          <w:p w14:paraId="4A13EB2E" w14:textId="16F97211" w:rsidR="008B555E" w:rsidRPr="00662906" w:rsidRDefault="00CE4CF0" w:rsidP="00B20027">
            <w:pPr>
              <w:spacing w:before="40" w:after="40"/>
              <w:jc w:val="center"/>
              <w:rPr>
                <w:rFonts w:eastAsia="Arial" w:cs="Arial"/>
                <w:sz w:val="16"/>
                <w:szCs w:val="16"/>
              </w:rPr>
            </w:pPr>
            <w:r w:rsidRPr="00662906">
              <w:rPr>
                <w:rFonts w:eastAsia="Arial" w:cs="Arial"/>
                <w:sz w:val="16"/>
                <w:szCs w:val="16"/>
              </w:rPr>
              <w:t>Guidelines for</w:t>
            </w:r>
            <w:r w:rsidR="006C4FF8" w:rsidRPr="00662906">
              <w:rPr>
                <w:rFonts w:eastAsia="Arial" w:cs="Arial"/>
                <w:sz w:val="16"/>
                <w:szCs w:val="16"/>
              </w:rPr>
              <w:t xml:space="preserve"> </w:t>
            </w:r>
            <w:r w:rsidRPr="00662906">
              <w:rPr>
                <w:rFonts w:eastAsia="Arial" w:cs="Arial"/>
                <w:sz w:val="16"/>
                <w:szCs w:val="16"/>
              </w:rPr>
              <w:t>MEPS, Labelling, and Eco-Design</w:t>
            </w:r>
          </w:p>
        </w:tc>
        <w:tc>
          <w:tcPr>
            <w:tcW w:w="6237" w:type="dxa"/>
            <w:shd w:val="clear" w:color="auto" w:fill="FFFFFF" w:themeFill="background2"/>
            <w:tcMar>
              <w:left w:w="57" w:type="dxa"/>
              <w:right w:w="57" w:type="dxa"/>
            </w:tcMar>
          </w:tcPr>
          <w:p w14:paraId="4DB51B25" w14:textId="7D8DF435" w:rsidR="00CE4CF0" w:rsidRPr="00662906" w:rsidRDefault="00911F61"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 xml:space="preserve">Provides a framework for setting </w:t>
            </w:r>
            <w:r w:rsidR="00CE4CF0" w:rsidRPr="00662906">
              <w:rPr>
                <w:rFonts w:eastAsia="Arial" w:cs="Arial"/>
                <w:sz w:val="16"/>
                <w:szCs w:val="16"/>
              </w:rPr>
              <w:t>benchmarks for energy-efficient appliances.</w:t>
            </w:r>
          </w:p>
          <w:p w14:paraId="37DF28E5" w14:textId="19806C44" w:rsidR="00CE4CF0" w:rsidRPr="00662906" w:rsidRDefault="5436C4A2" w:rsidP="2D9E25B5">
            <w:pPr>
              <w:pStyle w:val="ListParagraph"/>
              <w:spacing w:before="40" w:after="40"/>
              <w:ind w:left="231" w:hanging="142"/>
              <w:jc w:val="left"/>
              <w:rPr>
                <w:rFonts w:eastAsia="Arial" w:cs="Arial"/>
                <w:sz w:val="16"/>
                <w:szCs w:val="16"/>
              </w:rPr>
            </w:pPr>
            <w:r w:rsidRPr="00662906">
              <w:rPr>
                <w:rFonts w:eastAsia="Arial" w:cs="Arial"/>
                <w:sz w:val="16"/>
                <w:szCs w:val="16"/>
              </w:rPr>
              <w:t>Promotes MEPS and Energy Labels adoption across Member States.</w:t>
            </w:r>
          </w:p>
          <w:p w14:paraId="51530107" w14:textId="7155A506" w:rsidR="6740E40C" w:rsidRPr="00662906" w:rsidRDefault="6740E40C" w:rsidP="2D9E25B5">
            <w:pPr>
              <w:pStyle w:val="ListParagraph"/>
              <w:spacing w:before="40" w:after="40"/>
              <w:ind w:left="231" w:hanging="142"/>
              <w:jc w:val="left"/>
              <w:rPr>
                <w:rFonts w:eastAsia="Arial" w:cs="Arial"/>
                <w:sz w:val="16"/>
                <w:szCs w:val="16"/>
              </w:rPr>
            </w:pPr>
            <w:r w:rsidRPr="00662906">
              <w:rPr>
                <w:rFonts w:eastAsia="Arial" w:cs="Arial"/>
                <w:sz w:val="16"/>
                <w:szCs w:val="16"/>
              </w:rPr>
              <w:t>Monitoring and Evaluation Framework for adoption of MEPS in Africa</w:t>
            </w:r>
            <w:r w:rsidR="00776A4A" w:rsidRPr="00662906">
              <w:rPr>
                <w:rFonts w:eastAsia="Arial" w:cs="Arial"/>
                <w:sz w:val="16"/>
                <w:szCs w:val="16"/>
              </w:rPr>
              <w:t>.</w:t>
            </w:r>
          </w:p>
          <w:p w14:paraId="793217DA" w14:textId="3118321E" w:rsidR="008B555E" w:rsidRPr="00662906" w:rsidRDefault="008B555E" w:rsidP="00CE4CF0">
            <w:pPr>
              <w:spacing w:before="40" w:after="40"/>
              <w:jc w:val="left"/>
              <w:rPr>
                <w:rFonts w:eastAsia="Arial" w:cs="Arial"/>
                <w:sz w:val="16"/>
                <w:szCs w:val="16"/>
              </w:rPr>
            </w:pPr>
          </w:p>
        </w:tc>
      </w:tr>
      <w:tr w:rsidR="008B555E" w:rsidRPr="00662906" w14:paraId="4987A00E" w14:textId="77777777" w:rsidTr="00B20027">
        <w:trPr>
          <w:trHeight w:val="300"/>
        </w:trPr>
        <w:tc>
          <w:tcPr>
            <w:tcW w:w="423" w:type="dxa"/>
            <w:shd w:val="clear" w:color="auto" w:fill="FFFFFF" w:themeFill="background2"/>
            <w:tcMar>
              <w:left w:w="57" w:type="dxa"/>
              <w:right w:w="57" w:type="dxa"/>
            </w:tcMar>
            <w:vAlign w:val="center"/>
          </w:tcPr>
          <w:p w14:paraId="0E4A6A0B" w14:textId="55BF6388" w:rsidR="008B555E"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6</w:t>
            </w:r>
          </w:p>
        </w:tc>
        <w:tc>
          <w:tcPr>
            <w:tcW w:w="2409" w:type="dxa"/>
            <w:shd w:val="clear" w:color="auto" w:fill="FFFFFF" w:themeFill="background2"/>
            <w:tcMar>
              <w:left w:w="57" w:type="dxa"/>
              <w:right w:w="57" w:type="dxa"/>
            </w:tcMar>
            <w:vAlign w:val="center"/>
          </w:tcPr>
          <w:p w14:paraId="57D2E7AF" w14:textId="7841686D" w:rsidR="008B555E" w:rsidRPr="00662906" w:rsidRDefault="00CE4CF0" w:rsidP="00B20027">
            <w:pPr>
              <w:spacing w:before="40" w:after="40"/>
              <w:jc w:val="center"/>
              <w:rPr>
                <w:rFonts w:eastAsia="Arial" w:cs="Arial"/>
                <w:sz w:val="16"/>
                <w:szCs w:val="16"/>
              </w:rPr>
            </w:pPr>
            <w:r w:rsidRPr="00662906">
              <w:rPr>
                <w:rFonts w:eastAsia="Arial" w:cs="Arial"/>
                <w:sz w:val="16"/>
                <w:szCs w:val="16"/>
              </w:rPr>
              <w:t>Market Surveillance Strategy and Action Plan</w:t>
            </w:r>
          </w:p>
        </w:tc>
        <w:tc>
          <w:tcPr>
            <w:tcW w:w="6237" w:type="dxa"/>
            <w:shd w:val="clear" w:color="auto" w:fill="FFFFFF" w:themeFill="background2"/>
            <w:tcMar>
              <w:left w:w="57" w:type="dxa"/>
              <w:right w:w="57" w:type="dxa"/>
            </w:tcMar>
          </w:tcPr>
          <w:p w14:paraId="096070A2" w14:textId="14225894" w:rsidR="00C60884" w:rsidRPr="00662906" w:rsidRDefault="00C60884"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Ensures compliance with MEPS and energy labelling frameworks.</w:t>
            </w:r>
          </w:p>
          <w:p w14:paraId="53CDBAA9" w14:textId="6F663B38" w:rsidR="00C60884" w:rsidRPr="00662906" w:rsidRDefault="00C60884"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Protects consumers from low-efficiency products.</w:t>
            </w:r>
          </w:p>
          <w:p w14:paraId="510F0D8C" w14:textId="53BB8DA4" w:rsidR="008B555E" w:rsidRPr="00662906" w:rsidRDefault="00C60884"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Strengthens regional market monitoring systems.</w:t>
            </w:r>
          </w:p>
        </w:tc>
      </w:tr>
      <w:tr w:rsidR="008B555E" w:rsidRPr="00662906" w14:paraId="61D5DFFA" w14:textId="77777777" w:rsidTr="00B20027">
        <w:trPr>
          <w:trHeight w:val="300"/>
        </w:trPr>
        <w:tc>
          <w:tcPr>
            <w:tcW w:w="423" w:type="dxa"/>
            <w:shd w:val="clear" w:color="auto" w:fill="FFFFFF" w:themeFill="background2"/>
            <w:tcMar>
              <w:left w:w="57" w:type="dxa"/>
              <w:right w:w="57" w:type="dxa"/>
            </w:tcMar>
            <w:vAlign w:val="center"/>
          </w:tcPr>
          <w:p w14:paraId="73141E03" w14:textId="2A5A4069" w:rsidR="008B555E"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7</w:t>
            </w:r>
          </w:p>
        </w:tc>
        <w:tc>
          <w:tcPr>
            <w:tcW w:w="2409" w:type="dxa"/>
            <w:shd w:val="clear" w:color="auto" w:fill="FFFFFF" w:themeFill="background2"/>
            <w:tcMar>
              <w:left w:w="57" w:type="dxa"/>
              <w:right w:w="57" w:type="dxa"/>
            </w:tcMar>
            <w:vAlign w:val="center"/>
          </w:tcPr>
          <w:p w14:paraId="65D04CA1" w14:textId="69D5FA5E" w:rsidR="008B555E" w:rsidRPr="00662906" w:rsidRDefault="00C60884" w:rsidP="00B20027">
            <w:pPr>
              <w:spacing w:before="40" w:after="40"/>
              <w:jc w:val="center"/>
              <w:rPr>
                <w:rFonts w:eastAsia="Arial" w:cs="Arial"/>
                <w:sz w:val="16"/>
                <w:szCs w:val="16"/>
              </w:rPr>
            </w:pPr>
            <w:r w:rsidRPr="00662906">
              <w:rPr>
                <w:rFonts w:eastAsia="Arial" w:cs="Arial"/>
                <w:sz w:val="16"/>
                <w:szCs w:val="16"/>
              </w:rPr>
              <w:t>Report on Existing Test Laboratories, Procedures, and Facilities and Roadmap for Strategic Test Laboratories</w:t>
            </w:r>
          </w:p>
        </w:tc>
        <w:tc>
          <w:tcPr>
            <w:tcW w:w="6237" w:type="dxa"/>
            <w:shd w:val="clear" w:color="auto" w:fill="FFFFFF" w:themeFill="background2"/>
            <w:tcMar>
              <w:left w:w="57" w:type="dxa"/>
              <w:right w:w="57" w:type="dxa"/>
            </w:tcMar>
          </w:tcPr>
          <w:p w14:paraId="40122ACC" w14:textId="7B209DCC" w:rsidR="008B1525" w:rsidRPr="00662906" w:rsidRDefault="008A100F"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Identifies gaps in energy efficiency testing infrastructure.</w:t>
            </w:r>
          </w:p>
          <w:p w14:paraId="64413AB6" w14:textId="2A7E0853" w:rsidR="008B555E" w:rsidRPr="00662906" w:rsidRDefault="008A100F"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Guides capacity building for testing compliance.</w:t>
            </w:r>
          </w:p>
          <w:p w14:paraId="031899EE" w14:textId="12E1ADC7" w:rsidR="008A100F" w:rsidRPr="00662906" w:rsidRDefault="008A100F"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Presents a roadmap for the deployment of continental-level laboratory networks.</w:t>
            </w:r>
          </w:p>
        </w:tc>
      </w:tr>
      <w:tr w:rsidR="008B555E" w:rsidRPr="00662906" w14:paraId="1C3A58B7" w14:textId="77777777" w:rsidTr="00B20027">
        <w:trPr>
          <w:trHeight w:val="300"/>
        </w:trPr>
        <w:tc>
          <w:tcPr>
            <w:tcW w:w="423" w:type="dxa"/>
            <w:shd w:val="clear" w:color="auto" w:fill="FFFFFF" w:themeFill="background2"/>
            <w:tcMar>
              <w:left w:w="57" w:type="dxa"/>
              <w:right w:w="57" w:type="dxa"/>
            </w:tcMar>
            <w:vAlign w:val="center"/>
          </w:tcPr>
          <w:p w14:paraId="64FE7394" w14:textId="6365B41D" w:rsidR="008B555E"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8</w:t>
            </w:r>
          </w:p>
        </w:tc>
        <w:tc>
          <w:tcPr>
            <w:tcW w:w="2409" w:type="dxa"/>
            <w:shd w:val="clear" w:color="auto" w:fill="FFFFFF" w:themeFill="background2"/>
            <w:tcMar>
              <w:left w:w="57" w:type="dxa"/>
              <w:right w:w="57" w:type="dxa"/>
            </w:tcMar>
            <w:vAlign w:val="center"/>
          </w:tcPr>
          <w:p w14:paraId="10A4EBFB" w14:textId="0242FD36" w:rsidR="008B555E" w:rsidRPr="00662906" w:rsidRDefault="002C7063" w:rsidP="00B20027">
            <w:pPr>
              <w:spacing w:before="40" w:after="40"/>
              <w:jc w:val="center"/>
              <w:rPr>
                <w:rFonts w:eastAsia="Arial" w:cs="Arial"/>
                <w:sz w:val="16"/>
                <w:szCs w:val="16"/>
              </w:rPr>
            </w:pPr>
            <w:r w:rsidRPr="00662906">
              <w:rPr>
                <w:rFonts w:eastAsia="Arial" w:cs="Arial"/>
                <w:sz w:val="16"/>
                <w:szCs w:val="16"/>
              </w:rPr>
              <w:t>Strategy and Roadmap for Establishing a Market for Energy Efficient Appliances in Africa</w:t>
            </w:r>
          </w:p>
        </w:tc>
        <w:tc>
          <w:tcPr>
            <w:tcW w:w="6237" w:type="dxa"/>
            <w:shd w:val="clear" w:color="auto" w:fill="FFFFFF" w:themeFill="background2"/>
            <w:tcMar>
              <w:left w:w="57" w:type="dxa"/>
              <w:right w:w="57" w:type="dxa"/>
            </w:tcMar>
          </w:tcPr>
          <w:p w14:paraId="6F8A0FAF" w14:textId="4B8097CA" w:rsidR="002C7063" w:rsidRPr="00662906" w:rsidRDefault="002C706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Facilitates market development for energy-efficient products under the AfCFTA.</w:t>
            </w:r>
          </w:p>
          <w:p w14:paraId="1E889C85" w14:textId="19602A3D" w:rsidR="002C7063" w:rsidRPr="00662906" w:rsidRDefault="002C706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Supports demand creation for efficient appliances.</w:t>
            </w:r>
          </w:p>
          <w:p w14:paraId="21FDAF49" w14:textId="0A024338" w:rsidR="008B555E" w:rsidRPr="00662906" w:rsidRDefault="002C706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Promotes regional manufacturing opportunities.</w:t>
            </w:r>
          </w:p>
        </w:tc>
      </w:tr>
      <w:tr w:rsidR="008B555E" w:rsidRPr="00662906" w14:paraId="5803C29C" w14:textId="77777777" w:rsidTr="00B20027">
        <w:trPr>
          <w:trHeight w:val="300"/>
        </w:trPr>
        <w:tc>
          <w:tcPr>
            <w:tcW w:w="423" w:type="dxa"/>
            <w:shd w:val="clear" w:color="auto" w:fill="FFFFFF" w:themeFill="background2"/>
            <w:tcMar>
              <w:left w:w="57" w:type="dxa"/>
              <w:right w:w="57" w:type="dxa"/>
            </w:tcMar>
            <w:vAlign w:val="center"/>
          </w:tcPr>
          <w:p w14:paraId="061661EF" w14:textId="4FBBB0AC" w:rsidR="008B555E" w:rsidRPr="00662906" w:rsidRDefault="0097085A" w:rsidP="00B20027">
            <w:pPr>
              <w:spacing w:before="40" w:after="40"/>
              <w:jc w:val="center"/>
              <w:rPr>
                <w:rFonts w:eastAsia="Arial" w:cs="Arial"/>
                <w:color w:val="394A58"/>
                <w:sz w:val="16"/>
                <w:szCs w:val="16"/>
              </w:rPr>
            </w:pPr>
            <w:r w:rsidRPr="00662906">
              <w:rPr>
                <w:rFonts w:eastAsia="Arial" w:cs="Arial"/>
                <w:color w:val="394A58"/>
                <w:sz w:val="16"/>
                <w:szCs w:val="16"/>
              </w:rPr>
              <w:t>9</w:t>
            </w:r>
          </w:p>
        </w:tc>
        <w:tc>
          <w:tcPr>
            <w:tcW w:w="2409" w:type="dxa"/>
            <w:shd w:val="clear" w:color="auto" w:fill="FFFFFF" w:themeFill="background2"/>
            <w:tcMar>
              <w:left w:w="57" w:type="dxa"/>
              <w:right w:w="57" w:type="dxa"/>
            </w:tcMar>
            <w:vAlign w:val="center"/>
          </w:tcPr>
          <w:p w14:paraId="23B7BF0E" w14:textId="2E9BE354" w:rsidR="008B555E" w:rsidRPr="00662906" w:rsidRDefault="006F751C" w:rsidP="00B20027">
            <w:pPr>
              <w:spacing w:before="40" w:after="40"/>
              <w:jc w:val="center"/>
              <w:rPr>
                <w:rFonts w:eastAsia="Arial" w:cs="Arial"/>
                <w:sz w:val="16"/>
                <w:szCs w:val="16"/>
              </w:rPr>
            </w:pPr>
            <w:r w:rsidRPr="00662906">
              <w:rPr>
                <w:rFonts w:eastAsia="Arial" w:cs="Arial"/>
                <w:sz w:val="16"/>
                <w:szCs w:val="16"/>
              </w:rPr>
              <w:t>Guide for Policymakers on Developing Quality Assurance Frameworks for Off-Grid Appliances</w:t>
            </w:r>
          </w:p>
        </w:tc>
        <w:tc>
          <w:tcPr>
            <w:tcW w:w="6237" w:type="dxa"/>
            <w:shd w:val="clear" w:color="auto" w:fill="FFFFFF" w:themeFill="background2"/>
            <w:tcMar>
              <w:left w:w="57" w:type="dxa"/>
              <w:right w:w="57" w:type="dxa"/>
            </w:tcMar>
          </w:tcPr>
          <w:p w14:paraId="45A44AD4" w14:textId="3924DF4D"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Ensures reliability of off-grid energy solutions.</w:t>
            </w:r>
          </w:p>
          <w:p w14:paraId="4AD77C35" w14:textId="43685ABE"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Promotes the development and adoption of testing protocols for quality assurance.</w:t>
            </w:r>
          </w:p>
          <w:p w14:paraId="5B293C86" w14:textId="08B06639" w:rsidR="008B555E"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Supports rural and peri-urban energy access.</w:t>
            </w:r>
          </w:p>
        </w:tc>
      </w:tr>
      <w:tr w:rsidR="006F751C" w:rsidRPr="00662906" w14:paraId="5265F421" w14:textId="77777777" w:rsidTr="00B20027">
        <w:trPr>
          <w:trHeight w:val="300"/>
        </w:trPr>
        <w:tc>
          <w:tcPr>
            <w:tcW w:w="423" w:type="dxa"/>
            <w:shd w:val="clear" w:color="auto" w:fill="FFFFFF" w:themeFill="background2"/>
            <w:tcMar>
              <w:left w:w="57" w:type="dxa"/>
              <w:right w:w="57" w:type="dxa"/>
            </w:tcMar>
            <w:vAlign w:val="center"/>
          </w:tcPr>
          <w:p w14:paraId="234DC406" w14:textId="324DADDF" w:rsidR="006F751C" w:rsidRPr="00662906" w:rsidRDefault="006F751C" w:rsidP="00B20027">
            <w:pPr>
              <w:spacing w:before="40" w:after="40"/>
              <w:jc w:val="center"/>
              <w:rPr>
                <w:rFonts w:eastAsia="Arial" w:cs="Arial"/>
                <w:color w:val="394A58"/>
                <w:sz w:val="16"/>
                <w:szCs w:val="16"/>
              </w:rPr>
            </w:pPr>
            <w:r w:rsidRPr="00662906">
              <w:rPr>
                <w:rFonts w:eastAsia="Arial" w:cs="Arial"/>
                <w:color w:val="394A58"/>
                <w:sz w:val="16"/>
                <w:szCs w:val="16"/>
              </w:rPr>
              <w:t>10</w:t>
            </w:r>
          </w:p>
        </w:tc>
        <w:tc>
          <w:tcPr>
            <w:tcW w:w="2409" w:type="dxa"/>
            <w:shd w:val="clear" w:color="auto" w:fill="FFFFFF" w:themeFill="background2"/>
            <w:tcMar>
              <w:left w:w="57" w:type="dxa"/>
              <w:right w:w="57" w:type="dxa"/>
            </w:tcMar>
            <w:vAlign w:val="center"/>
          </w:tcPr>
          <w:p w14:paraId="7965DC7D" w14:textId="5BFBA974" w:rsidR="006F751C" w:rsidRPr="00662906" w:rsidRDefault="006F751C" w:rsidP="00B20027">
            <w:pPr>
              <w:spacing w:before="40" w:after="40"/>
              <w:jc w:val="center"/>
              <w:rPr>
                <w:rFonts w:eastAsia="Arial" w:cs="Arial"/>
                <w:sz w:val="16"/>
                <w:szCs w:val="16"/>
              </w:rPr>
            </w:pPr>
            <w:r w:rsidRPr="00662906">
              <w:rPr>
                <w:rFonts w:eastAsia="Arial" w:cs="Arial"/>
                <w:sz w:val="16"/>
                <w:szCs w:val="16"/>
              </w:rPr>
              <w:t>Guidelines and Strategies for the Reduction of Technical Losses of Transmission and Distribution Lines</w:t>
            </w:r>
          </w:p>
        </w:tc>
        <w:tc>
          <w:tcPr>
            <w:tcW w:w="6237" w:type="dxa"/>
            <w:shd w:val="clear" w:color="auto" w:fill="FFFFFF" w:themeFill="background2"/>
            <w:tcMar>
              <w:left w:w="57" w:type="dxa"/>
              <w:right w:w="57" w:type="dxa"/>
            </w:tcMar>
          </w:tcPr>
          <w:p w14:paraId="60A0BD4D" w14:textId="25F3C916"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Targets efficiency improvements in the transmission and distribution grids.</w:t>
            </w:r>
          </w:p>
          <w:p w14:paraId="53C89E18" w14:textId="0FB5B456"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Provides specific guidelines for the reduction.</w:t>
            </w:r>
          </w:p>
        </w:tc>
      </w:tr>
      <w:tr w:rsidR="006F751C" w:rsidRPr="00662906" w14:paraId="28313C3C" w14:textId="77777777" w:rsidTr="00B20027">
        <w:trPr>
          <w:trHeight w:val="300"/>
        </w:trPr>
        <w:tc>
          <w:tcPr>
            <w:tcW w:w="423" w:type="dxa"/>
            <w:shd w:val="clear" w:color="auto" w:fill="FFFFFF" w:themeFill="background2"/>
            <w:tcMar>
              <w:left w:w="57" w:type="dxa"/>
              <w:right w:w="57" w:type="dxa"/>
            </w:tcMar>
            <w:vAlign w:val="center"/>
          </w:tcPr>
          <w:p w14:paraId="2C538808" w14:textId="4481FD97" w:rsidR="006F751C" w:rsidRPr="00662906" w:rsidRDefault="006F751C" w:rsidP="00B20027">
            <w:pPr>
              <w:spacing w:before="40" w:after="40"/>
              <w:jc w:val="center"/>
              <w:rPr>
                <w:rFonts w:eastAsia="Arial" w:cs="Arial"/>
                <w:color w:val="394A58"/>
                <w:sz w:val="16"/>
                <w:szCs w:val="16"/>
              </w:rPr>
            </w:pPr>
            <w:r w:rsidRPr="00662906">
              <w:rPr>
                <w:rFonts w:eastAsia="Arial" w:cs="Arial"/>
                <w:color w:val="394A58"/>
                <w:sz w:val="16"/>
                <w:szCs w:val="16"/>
              </w:rPr>
              <w:t>11</w:t>
            </w:r>
          </w:p>
        </w:tc>
        <w:tc>
          <w:tcPr>
            <w:tcW w:w="2409" w:type="dxa"/>
            <w:shd w:val="clear" w:color="auto" w:fill="FFFFFF" w:themeFill="background2"/>
            <w:tcMar>
              <w:left w:w="57" w:type="dxa"/>
              <w:right w:w="57" w:type="dxa"/>
            </w:tcMar>
            <w:vAlign w:val="center"/>
          </w:tcPr>
          <w:p w14:paraId="1B965FEB" w14:textId="21099B9F" w:rsidR="006F751C" w:rsidRPr="00662906" w:rsidRDefault="006F751C" w:rsidP="00B20027">
            <w:pPr>
              <w:spacing w:before="40" w:after="40"/>
              <w:jc w:val="center"/>
              <w:rPr>
                <w:rFonts w:eastAsia="Arial" w:cs="Arial"/>
                <w:sz w:val="16"/>
                <w:szCs w:val="16"/>
              </w:rPr>
            </w:pPr>
            <w:r w:rsidRPr="00662906">
              <w:rPr>
                <w:rFonts w:eastAsia="Arial" w:cs="Arial"/>
                <w:sz w:val="16"/>
                <w:szCs w:val="16"/>
              </w:rPr>
              <w:t>Strategy and Roadmap for Evolving Distribution Systems to Smart Distribution Grids</w:t>
            </w:r>
          </w:p>
        </w:tc>
        <w:tc>
          <w:tcPr>
            <w:tcW w:w="6237" w:type="dxa"/>
            <w:shd w:val="clear" w:color="auto" w:fill="FFFFFF" w:themeFill="background2"/>
            <w:tcMar>
              <w:left w:w="57" w:type="dxa"/>
              <w:right w:w="57" w:type="dxa"/>
            </w:tcMar>
          </w:tcPr>
          <w:p w14:paraId="08A3E527" w14:textId="45D039D3"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Facilitates the integration of renewable energy and storage into modern grid systems.</w:t>
            </w:r>
          </w:p>
          <w:p w14:paraId="129ABA19" w14:textId="2575C774"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Develops smart technologies for distribution grid optimization.</w:t>
            </w:r>
          </w:p>
          <w:p w14:paraId="72EA7902" w14:textId="3167FF16" w:rsidR="006F751C" w:rsidRPr="00662906" w:rsidRDefault="006F751C"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Facilitates the integration of previously off-grid systems to the main grid.</w:t>
            </w:r>
          </w:p>
        </w:tc>
      </w:tr>
      <w:tr w:rsidR="006F751C" w:rsidRPr="00662906" w14:paraId="525E4429" w14:textId="77777777" w:rsidTr="00B20027">
        <w:trPr>
          <w:trHeight w:val="300"/>
        </w:trPr>
        <w:tc>
          <w:tcPr>
            <w:tcW w:w="423" w:type="dxa"/>
            <w:shd w:val="clear" w:color="auto" w:fill="FFFFFF" w:themeFill="background2"/>
            <w:tcMar>
              <w:left w:w="57" w:type="dxa"/>
              <w:right w:w="57" w:type="dxa"/>
            </w:tcMar>
            <w:vAlign w:val="center"/>
          </w:tcPr>
          <w:p w14:paraId="03E0A30A" w14:textId="40A62DD6" w:rsidR="006F751C" w:rsidRPr="00662906" w:rsidRDefault="006F751C" w:rsidP="00B20027">
            <w:pPr>
              <w:spacing w:before="40" w:after="40"/>
              <w:jc w:val="center"/>
              <w:rPr>
                <w:rFonts w:eastAsia="Arial" w:cs="Arial"/>
                <w:color w:val="394A58"/>
                <w:sz w:val="16"/>
                <w:szCs w:val="16"/>
              </w:rPr>
            </w:pPr>
            <w:r w:rsidRPr="00662906">
              <w:rPr>
                <w:rFonts w:eastAsia="Arial" w:cs="Arial"/>
                <w:color w:val="394A58"/>
                <w:sz w:val="16"/>
                <w:szCs w:val="16"/>
              </w:rPr>
              <w:lastRenderedPageBreak/>
              <w:t>12</w:t>
            </w:r>
          </w:p>
        </w:tc>
        <w:tc>
          <w:tcPr>
            <w:tcW w:w="2409" w:type="dxa"/>
            <w:shd w:val="clear" w:color="auto" w:fill="FFFFFF" w:themeFill="background2"/>
            <w:tcMar>
              <w:left w:w="57" w:type="dxa"/>
              <w:right w:w="57" w:type="dxa"/>
            </w:tcMar>
            <w:vAlign w:val="center"/>
          </w:tcPr>
          <w:p w14:paraId="5BDB76EB" w14:textId="60165852" w:rsidR="006F751C" w:rsidRPr="00662906" w:rsidRDefault="006F751C" w:rsidP="00B20027">
            <w:pPr>
              <w:spacing w:before="40" w:after="40"/>
              <w:jc w:val="center"/>
              <w:rPr>
                <w:rFonts w:eastAsia="Arial" w:cs="Arial"/>
                <w:sz w:val="16"/>
                <w:szCs w:val="16"/>
              </w:rPr>
            </w:pPr>
            <w:r w:rsidRPr="00662906">
              <w:rPr>
                <w:rFonts w:eastAsia="Arial" w:cs="Arial"/>
                <w:sz w:val="16"/>
                <w:szCs w:val="16"/>
              </w:rPr>
              <w:t>AU Digital Agriculture Strategy (DAS) and Implementation Plan (2024–2030)</w:t>
            </w:r>
          </w:p>
        </w:tc>
        <w:tc>
          <w:tcPr>
            <w:tcW w:w="6237" w:type="dxa"/>
            <w:shd w:val="clear" w:color="auto" w:fill="FFFFFF" w:themeFill="background2"/>
            <w:tcMar>
              <w:left w:w="57" w:type="dxa"/>
              <w:right w:w="57" w:type="dxa"/>
            </w:tcMar>
          </w:tcPr>
          <w:p w14:paraId="3C0E901B" w14:textId="364C6D42" w:rsidR="00F509A3" w:rsidRPr="00662906" w:rsidRDefault="00F509A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Also promotes energy solutions for modernizing agriculture.</w:t>
            </w:r>
          </w:p>
          <w:p w14:paraId="0D6E0FBB" w14:textId="1F140F9B" w:rsidR="006F751C" w:rsidRPr="00662906" w:rsidRDefault="00F509A3" w:rsidP="005C5546">
            <w:pPr>
              <w:pStyle w:val="ListParagraph"/>
              <w:numPr>
                <w:ilvl w:val="0"/>
                <w:numId w:val="50"/>
              </w:numPr>
              <w:spacing w:before="40" w:after="40"/>
              <w:ind w:left="231" w:hanging="142"/>
              <w:jc w:val="left"/>
              <w:rPr>
                <w:rFonts w:eastAsia="Arial" w:cs="Arial"/>
                <w:sz w:val="16"/>
                <w:szCs w:val="16"/>
              </w:rPr>
            </w:pPr>
            <w:r w:rsidRPr="00662906">
              <w:rPr>
                <w:rFonts w:eastAsia="Arial" w:cs="Arial"/>
                <w:sz w:val="16"/>
                <w:szCs w:val="16"/>
              </w:rPr>
              <w:t>Aligns with the energy-water-food nexus for rural development.</w:t>
            </w:r>
          </w:p>
        </w:tc>
      </w:tr>
      <w:tr w:rsidR="004E5314" w:rsidRPr="00662906" w14:paraId="4D64AF77" w14:textId="77777777" w:rsidTr="00B20027">
        <w:trPr>
          <w:trHeight w:val="300"/>
        </w:trPr>
        <w:tc>
          <w:tcPr>
            <w:tcW w:w="423" w:type="dxa"/>
            <w:shd w:val="clear" w:color="auto" w:fill="FFFFFF" w:themeFill="background2"/>
            <w:tcMar>
              <w:left w:w="57" w:type="dxa"/>
              <w:right w:w="57" w:type="dxa"/>
            </w:tcMar>
            <w:vAlign w:val="center"/>
          </w:tcPr>
          <w:p w14:paraId="56F0979F" w14:textId="0971B9D5" w:rsidR="004E5314" w:rsidRPr="00662906" w:rsidRDefault="004E5314" w:rsidP="00B20027">
            <w:pPr>
              <w:spacing w:before="40" w:after="40"/>
              <w:jc w:val="center"/>
              <w:rPr>
                <w:rFonts w:eastAsia="Arial" w:cs="Arial"/>
                <w:color w:val="394A58"/>
                <w:sz w:val="16"/>
                <w:szCs w:val="16"/>
              </w:rPr>
            </w:pPr>
            <w:r w:rsidRPr="00662906">
              <w:rPr>
                <w:rFonts w:eastAsia="Arial" w:cs="Arial"/>
                <w:color w:val="394A58"/>
                <w:sz w:val="16"/>
                <w:szCs w:val="16"/>
              </w:rPr>
              <w:t>13</w:t>
            </w:r>
          </w:p>
        </w:tc>
        <w:tc>
          <w:tcPr>
            <w:tcW w:w="2409" w:type="dxa"/>
            <w:shd w:val="clear" w:color="auto" w:fill="FFFFFF" w:themeFill="background2"/>
            <w:tcMar>
              <w:left w:w="57" w:type="dxa"/>
              <w:right w:w="57" w:type="dxa"/>
            </w:tcMar>
            <w:vAlign w:val="center"/>
          </w:tcPr>
          <w:p w14:paraId="66F5926A" w14:textId="5D0C9607" w:rsidR="004E5314" w:rsidRPr="00662906" w:rsidRDefault="00DB46D5" w:rsidP="00B20027">
            <w:pPr>
              <w:spacing w:before="40" w:after="40"/>
              <w:jc w:val="center"/>
              <w:rPr>
                <w:rFonts w:eastAsia="Arial" w:cs="Arial"/>
                <w:sz w:val="16"/>
                <w:szCs w:val="16"/>
              </w:rPr>
            </w:pPr>
            <w:r w:rsidRPr="00662906">
              <w:rPr>
                <w:rFonts w:eastAsia="Arial" w:cs="Arial"/>
                <w:sz w:val="16"/>
                <w:szCs w:val="16"/>
              </w:rPr>
              <w:t>African</w:t>
            </w:r>
            <w:r w:rsidR="004E5314" w:rsidRPr="00662906">
              <w:rPr>
                <w:rFonts w:eastAsia="Arial" w:cs="Arial"/>
                <w:sz w:val="16"/>
                <w:szCs w:val="16"/>
              </w:rPr>
              <w:t xml:space="preserve"> Green Minerals Strategy</w:t>
            </w:r>
          </w:p>
        </w:tc>
        <w:tc>
          <w:tcPr>
            <w:tcW w:w="6237" w:type="dxa"/>
            <w:shd w:val="clear" w:color="auto" w:fill="FFFFFF" w:themeFill="background2"/>
            <w:tcMar>
              <w:left w:w="57" w:type="dxa"/>
              <w:right w:w="57" w:type="dxa"/>
            </w:tcMar>
          </w:tcPr>
          <w:p w14:paraId="44A25C1A" w14:textId="66533BF2" w:rsidR="004E5314" w:rsidRPr="00662906" w:rsidRDefault="004E5314" w:rsidP="004E5314">
            <w:pPr>
              <w:pStyle w:val="ListParagraph"/>
              <w:numPr>
                <w:ilvl w:val="0"/>
                <w:numId w:val="0"/>
              </w:numPr>
              <w:spacing w:before="40" w:after="40"/>
              <w:ind w:left="231"/>
              <w:jc w:val="left"/>
              <w:rPr>
                <w:rFonts w:eastAsia="Arial" w:cs="Arial"/>
                <w:sz w:val="16"/>
                <w:szCs w:val="16"/>
              </w:rPr>
            </w:pPr>
            <w:r w:rsidRPr="00662906">
              <w:rPr>
                <w:rFonts w:eastAsia="Arial" w:cs="Arial"/>
                <w:sz w:val="16"/>
                <w:szCs w:val="16"/>
              </w:rPr>
              <w:t>Rich untapped critical mineral and clean energy resources</w:t>
            </w:r>
          </w:p>
          <w:p w14:paraId="29B17232" w14:textId="263DE36D" w:rsidR="004E5314" w:rsidRPr="00662906" w:rsidRDefault="004E5314" w:rsidP="004E5314">
            <w:pPr>
              <w:pStyle w:val="ListParagraph"/>
              <w:numPr>
                <w:ilvl w:val="0"/>
                <w:numId w:val="0"/>
              </w:numPr>
              <w:spacing w:before="40" w:after="40"/>
              <w:ind w:left="231"/>
              <w:jc w:val="left"/>
              <w:rPr>
                <w:rFonts w:eastAsia="Arial" w:cs="Arial"/>
                <w:sz w:val="16"/>
                <w:szCs w:val="16"/>
              </w:rPr>
            </w:pPr>
            <w:r w:rsidRPr="00662906">
              <w:rPr>
                <w:rFonts w:eastAsia="Arial" w:cs="Arial"/>
                <w:sz w:val="16"/>
                <w:szCs w:val="16"/>
              </w:rPr>
              <w:t>Linkages of green minerals, abundant RE with aspired transformative industrialization</w:t>
            </w:r>
          </w:p>
          <w:p w14:paraId="75FEDCAC" w14:textId="2A05C4C7" w:rsidR="004E5314" w:rsidRPr="00662906" w:rsidRDefault="004E5314" w:rsidP="00F7188C">
            <w:pPr>
              <w:pStyle w:val="ListParagraph"/>
              <w:numPr>
                <w:ilvl w:val="0"/>
                <w:numId w:val="0"/>
              </w:numPr>
              <w:spacing w:before="40" w:after="40"/>
              <w:ind w:left="231"/>
              <w:jc w:val="left"/>
              <w:rPr>
                <w:rFonts w:eastAsia="Arial" w:cs="Arial"/>
                <w:sz w:val="16"/>
                <w:szCs w:val="16"/>
              </w:rPr>
            </w:pPr>
            <w:r w:rsidRPr="00662906">
              <w:rPr>
                <w:rFonts w:eastAsia="Arial" w:cs="Arial"/>
                <w:sz w:val="16"/>
                <w:szCs w:val="16"/>
              </w:rPr>
              <w:t>Balancing the social inclusivity dimension and governance</w:t>
            </w:r>
          </w:p>
        </w:tc>
      </w:tr>
    </w:tbl>
    <w:p w14:paraId="3FEB228E" w14:textId="77777777" w:rsidR="00A146E5" w:rsidRPr="00662906" w:rsidRDefault="00A146E5" w:rsidP="00A146E5">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16F0CA4" w14:textId="7EC99BDF" w:rsidR="006352D0" w:rsidRPr="00662906" w:rsidRDefault="006352D0" w:rsidP="004D1F77">
      <w:pPr>
        <w:pStyle w:val="Heading2"/>
      </w:pPr>
      <w:bookmarkStart w:id="437" w:name="_Toc197433844"/>
      <w:r w:rsidRPr="00662906">
        <w:t>Intermediate Outcomes (Milestones)</w:t>
      </w:r>
      <w:bookmarkEnd w:id="437"/>
    </w:p>
    <w:p w14:paraId="7C44E7FC" w14:textId="7A55040B" w:rsidR="006352D0" w:rsidRPr="00662906" w:rsidRDefault="006352D0" w:rsidP="006352D0">
      <w:r w:rsidRPr="00662906">
        <w:t xml:space="preserve">Intermediate outcomes serve as crucial waypoints on Africa's path toward achieving its energy transition goals, linking short- and medium-term actions with long-term aspirations. These milestones focus on sectoral transformation, socio-economic development, and environmental sustainability, emphasizing qualitative progress over prescriptive quantitative measures where consensus is challenging. The outcomes align with existing frameworks, such as the CMP, AfSEM and AfEES, while supporting the overarching target of achieving a </w:t>
      </w:r>
      <w:r w:rsidR="003B4196" w:rsidRPr="00662906">
        <w:t>net zero greenhouse gas emissions economy by 2063</w:t>
      </w:r>
      <w:r w:rsidRPr="00662906">
        <w:t>.</w:t>
      </w:r>
    </w:p>
    <w:p w14:paraId="4E98746D" w14:textId="2A89060B" w:rsidR="006352D0" w:rsidRPr="00662906" w:rsidRDefault="000D5ECF" w:rsidP="009A0D6A">
      <w:pPr>
        <w:pStyle w:val="Heading3"/>
        <w:ind w:left="567"/>
      </w:pPr>
      <w:bookmarkStart w:id="438" w:name="_Toc197433845"/>
      <w:r w:rsidRPr="00662906">
        <w:t>Transition Toward a Clean Energy Mix with Accelerated Infrastructure Development</w:t>
      </w:r>
      <w:bookmarkEnd w:id="438"/>
    </w:p>
    <w:p w14:paraId="0BD59EBC" w14:textId="77777777" w:rsidR="008C32AC" w:rsidRPr="00662906" w:rsidRDefault="008C32AC" w:rsidP="008C32AC">
      <w:r w:rsidRPr="00662906">
        <w:t>Africa’s energy transition requires both the expansion of renewable energy infrastructure and the gradual phase-out of high-carbon fuels to achieve a 100% clean energy mix by 2063. The intermediate outcome by 2030 is to ensure that renewable energy dominates new energy capacity additions while simultaneously integrating clean energy into key sectors such as electricity, transport, industry, and agriculture. Strengthening transmission and distribution infrastructure is critical to accommodate the rising share of renewable energy sources and ensure grid reliability.</w:t>
      </w:r>
    </w:p>
    <w:p w14:paraId="7572996A" w14:textId="28B823D6" w:rsidR="008C32AC" w:rsidRPr="00662906" w:rsidRDefault="008C32AC" w:rsidP="008C32AC">
      <w:r w:rsidRPr="00662906">
        <w:rPr>
          <w:i/>
        </w:rPr>
        <w:t>Milestones:</w:t>
      </w:r>
    </w:p>
    <w:p w14:paraId="48746EB8" w14:textId="77777777" w:rsidR="008C32AC" w:rsidRPr="00662906" w:rsidRDefault="008C32AC" w:rsidP="005C5546">
      <w:pPr>
        <w:numPr>
          <w:ilvl w:val="0"/>
          <w:numId w:val="24"/>
        </w:numPr>
      </w:pPr>
      <w:r w:rsidRPr="00662906">
        <w:t>Renewable energy technologies widely adopted, guided by the CMP projections for installed capacity and technology mix.</w:t>
      </w:r>
    </w:p>
    <w:p w14:paraId="35C86262" w14:textId="77777777" w:rsidR="008C32AC" w:rsidRPr="00662906" w:rsidRDefault="008C32AC" w:rsidP="005C5546">
      <w:pPr>
        <w:numPr>
          <w:ilvl w:val="0"/>
          <w:numId w:val="24"/>
        </w:numPr>
      </w:pPr>
      <w:r w:rsidRPr="00662906">
        <w:t>Enhanced resilience and reliability of electricity grids to support the growing share of variable renewable energy.</w:t>
      </w:r>
    </w:p>
    <w:p w14:paraId="637325C3" w14:textId="77777777" w:rsidR="008C32AC" w:rsidRPr="00662906" w:rsidRDefault="008C32AC" w:rsidP="005C5546">
      <w:pPr>
        <w:numPr>
          <w:ilvl w:val="0"/>
          <w:numId w:val="24"/>
        </w:numPr>
      </w:pPr>
      <w:r w:rsidRPr="00662906">
        <w:t>Increased use of renewable energy in transport systems, including biofuels and electric mobility solutions.</w:t>
      </w:r>
    </w:p>
    <w:p w14:paraId="15E3D43F" w14:textId="537C93B6" w:rsidR="008C32AC" w:rsidRPr="00662906" w:rsidRDefault="008C32AC" w:rsidP="005C5546">
      <w:pPr>
        <w:numPr>
          <w:ilvl w:val="0"/>
          <w:numId w:val="24"/>
        </w:numPr>
      </w:pPr>
      <w:r w:rsidRPr="00662906">
        <w:t>Expanded deployment of renewable energy-based mini-grids to serve off-grid communities.</w:t>
      </w:r>
    </w:p>
    <w:p w14:paraId="2D10B973" w14:textId="15FED9C5" w:rsidR="006352D0" w:rsidRPr="00662906" w:rsidRDefault="006352D0" w:rsidP="009A0D6A">
      <w:pPr>
        <w:pStyle w:val="Heading3"/>
        <w:ind w:left="567"/>
      </w:pPr>
      <w:bookmarkStart w:id="439" w:name="_Toc189754855"/>
      <w:bookmarkStart w:id="440" w:name="_Toc189754856"/>
      <w:bookmarkStart w:id="441" w:name="_Toc189754857"/>
      <w:bookmarkStart w:id="442" w:name="_Toc189754858"/>
      <w:bookmarkStart w:id="443" w:name="_Toc197433846"/>
      <w:bookmarkEnd w:id="439"/>
      <w:bookmarkEnd w:id="440"/>
      <w:bookmarkEnd w:id="441"/>
      <w:bookmarkEnd w:id="442"/>
      <w:r w:rsidRPr="00662906">
        <w:t>Establishment of a Functioning Continental Energy Market</w:t>
      </w:r>
      <w:bookmarkEnd w:id="443"/>
    </w:p>
    <w:p w14:paraId="75A731E3" w14:textId="516CB6C7" w:rsidR="006352D0" w:rsidRPr="00662906" w:rsidRDefault="006352D0" w:rsidP="006352D0">
      <w:r w:rsidRPr="00662906">
        <w:t>Building on AfSEM, an intermediate outcome is the operationalization of a harmonized, functioning continental energy market by 2030. This market will enhance cross-border trade, attract investment, and optimize resource use.</w:t>
      </w:r>
    </w:p>
    <w:p w14:paraId="2A31CBC0" w14:textId="77777777" w:rsidR="006352D0" w:rsidRPr="00662906" w:rsidRDefault="006352D0" w:rsidP="006352D0">
      <w:pPr>
        <w:rPr>
          <w:i/>
        </w:rPr>
      </w:pPr>
      <w:r w:rsidRPr="00662906">
        <w:rPr>
          <w:i/>
        </w:rPr>
        <w:t>Milestones:</w:t>
      </w:r>
    </w:p>
    <w:p w14:paraId="53624902" w14:textId="77777777" w:rsidR="006352D0" w:rsidRPr="00662906" w:rsidRDefault="006352D0" w:rsidP="005C5546">
      <w:pPr>
        <w:numPr>
          <w:ilvl w:val="0"/>
          <w:numId w:val="25"/>
        </w:numPr>
      </w:pPr>
      <w:r w:rsidRPr="00662906">
        <w:t>Harmonized regulations and operational rules established for cross-border electricity trade.</w:t>
      </w:r>
    </w:p>
    <w:p w14:paraId="7C97BDC5" w14:textId="77777777" w:rsidR="006352D0" w:rsidRPr="00662906" w:rsidRDefault="006352D0" w:rsidP="005C5546">
      <w:pPr>
        <w:numPr>
          <w:ilvl w:val="0"/>
          <w:numId w:val="25"/>
        </w:numPr>
      </w:pPr>
      <w:r w:rsidRPr="00662906">
        <w:t>Enhanced regional interconnections and energy trade agreements to support AfSEM objectives.</w:t>
      </w:r>
    </w:p>
    <w:p w14:paraId="2599D23B" w14:textId="62B6DA55" w:rsidR="006352D0" w:rsidRPr="00662906" w:rsidRDefault="006352D0" w:rsidP="009A0D6A">
      <w:pPr>
        <w:pStyle w:val="Heading3"/>
        <w:ind w:left="567"/>
      </w:pPr>
      <w:bookmarkStart w:id="444" w:name="_Toc197433847"/>
      <w:r w:rsidRPr="00662906">
        <w:t>Increased Energy Efficiency Across All Sectors</w:t>
      </w:r>
      <w:bookmarkEnd w:id="444"/>
    </w:p>
    <w:p w14:paraId="1922DE94" w14:textId="3686FFA7" w:rsidR="006352D0" w:rsidRPr="00662906" w:rsidRDefault="006352D0" w:rsidP="006352D0">
      <w:r w:rsidRPr="00662906">
        <w:t>Energy efficiency measures are integral to reducing demand growth and enhancing energy productivity. By 2030, all AU Member States should have implemented energy efficiency policies aligned with AfEES recommendations, driving sectoral transformations in</w:t>
      </w:r>
      <w:r w:rsidR="00974317" w:rsidRPr="00662906">
        <w:t xml:space="preserve"> electricity,</w:t>
      </w:r>
      <w:r w:rsidRPr="00662906">
        <w:t xml:space="preserve"> transport, buildings, </w:t>
      </w:r>
      <w:r w:rsidR="00B17E8D" w:rsidRPr="00662906">
        <w:t xml:space="preserve">agriculture </w:t>
      </w:r>
      <w:r w:rsidRPr="00662906">
        <w:t>and industry</w:t>
      </w:r>
      <w:r w:rsidR="00CC58FD" w:rsidRPr="00662906">
        <w:t xml:space="preserve"> ultimately leading to a 12% increase in energy productivity</w:t>
      </w:r>
      <w:r w:rsidRPr="00662906">
        <w:t>.</w:t>
      </w:r>
    </w:p>
    <w:p w14:paraId="69C18FA2" w14:textId="77777777" w:rsidR="006352D0" w:rsidRPr="00662906" w:rsidRDefault="006352D0" w:rsidP="006352D0">
      <w:pPr>
        <w:rPr>
          <w:i/>
        </w:rPr>
      </w:pPr>
      <w:r w:rsidRPr="00662906">
        <w:rPr>
          <w:i/>
        </w:rPr>
        <w:t>Milestones:</w:t>
      </w:r>
    </w:p>
    <w:p w14:paraId="41B018B6" w14:textId="77777777" w:rsidR="006352D0" w:rsidRPr="00662906" w:rsidRDefault="006352D0" w:rsidP="005C5546">
      <w:pPr>
        <w:numPr>
          <w:ilvl w:val="0"/>
          <w:numId w:val="26"/>
        </w:numPr>
      </w:pPr>
      <w:r w:rsidRPr="00662906">
        <w:t>Implementation of energy efficiency standards and regulations, including MEPS for appliances and equipment.</w:t>
      </w:r>
    </w:p>
    <w:p w14:paraId="6A1A6685" w14:textId="62C59180" w:rsidR="006352D0" w:rsidRPr="00662906" w:rsidRDefault="006352D0" w:rsidP="005C5546">
      <w:pPr>
        <w:numPr>
          <w:ilvl w:val="0"/>
          <w:numId w:val="26"/>
        </w:numPr>
      </w:pPr>
      <w:r w:rsidRPr="00662906">
        <w:lastRenderedPageBreak/>
        <w:t>Adoption of energy-efficient practices and technologies in industrial, building, and transport sectors.</w:t>
      </w:r>
    </w:p>
    <w:p w14:paraId="35AA8DF4" w14:textId="00E3CBFE" w:rsidR="006352D0" w:rsidRPr="00662906" w:rsidRDefault="006352D0" w:rsidP="009A0D6A">
      <w:pPr>
        <w:pStyle w:val="Heading3"/>
        <w:ind w:left="567"/>
      </w:pPr>
      <w:bookmarkStart w:id="445" w:name="_Toc189754861"/>
      <w:bookmarkStart w:id="446" w:name="_Toc189754862"/>
      <w:bookmarkStart w:id="447" w:name="_Toc189754863"/>
      <w:bookmarkStart w:id="448" w:name="_Toc189754864"/>
      <w:bookmarkStart w:id="449" w:name="_Toc189754865"/>
      <w:bookmarkStart w:id="450" w:name="_Toc197433848"/>
      <w:bookmarkEnd w:id="445"/>
      <w:bookmarkEnd w:id="446"/>
      <w:bookmarkEnd w:id="447"/>
      <w:bookmarkEnd w:id="448"/>
      <w:bookmarkEnd w:id="449"/>
      <w:r w:rsidRPr="00662906">
        <w:t>Strengthened Governance and Institutional Capacity</w:t>
      </w:r>
      <w:bookmarkEnd w:id="450"/>
    </w:p>
    <w:p w14:paraId="6B14ACEB" w14:textId="58EC5820" w:rsidR="006352D0" w:rsidRPr="00662906" w:rsidRDefault="006352D0" w:rsidP="006352D0">
      <w:r w:rsidRPr="00662906">
        <w:t>A robust institutional and governance framework is essential to support Africa's energy transition. By 2030, AU Member States should have established national energy transition frameworks</w:t>
      </w:r>
      <w:r w:rsidR="005F5B40" w:rsidRPr="00662906">
        <w:t xml:space="preserve"> and DDPs</w:t>
      </w:r>
      <w:r w:rsidRPr="00662906">
        <w:t xml:space="preserve"> aligned with the ETSAP, fostering coherence across regional and continental efforts.</w:t>
      </w:r>
    </w:p>
    <w:p w14:paraId="133AA710" w14:textId="77777777" w:rsidR="006352D0" w:rsidRPr="00662906" w:rsidRDefault="006352D0" w:rsidP="006352D0">
      <w:pPr>
        <w:rPr>
          <w:i/>
        </w:rPr>
      </w:pPr>
      <w:r w:rsidRPr="00662906">
        <w:rPr>
          <w:i/>
        </w:rPr>
        <w:t>Milestones:</w:t>
      </w:r>
    </w:p>
    <w:p w14:paraId="4C27D5AC" w14:textId="5D576F3C" w:rsidR="006352D0" w:rsidRPr="00662906" w:rsidRDefault="006352D0" w:rsidP="005C5546">
      <w:pPr>
        <w:numPr>
          <w:ilvl w:val="0"/>
          <w:numId w:val="27"/>
        </w:numPr>
      </w:pPr>
      <w:r w:rsidRPr="00662906">
        <w:t>Development of national energy transition strategies</w:t>
      </w:r>
      <w:r w:rsidR="005F5B40" w:rsidRPr="00662906">
        <w:t xml:space="preserve"> / DDPs</w:t>
      </w:r>
      <w:r w:rsidRPr="00662906">
        <w:t xml:space="preserve"> in all AU Member States.</w:t>
      </w:r>
    </w:p>
    <w:p w14:paraId="2F3CFE8D" w14:textId="3370AB2E" w:rsidR="006352D0" w:rsidRPr="00662906" w:rsidRDefault="53491F1B" w:rsidP="005C5546">
      <w:pPr>
        <w:numPr>
          <w:ilvl w:val="0"/>
          <w:numId w:val="27"/>
        </w:numPr>
      </w:pPr>
      <w:r w:rsidRPr="00662906">
        <w:t>Institutional strengthening of regional power pools and regulatory bodies to support coordinated energy planning</w:t>
      </w:r>
      <w:r w:rsidR="132B71CA" w:rsidRPr="00662906">
        <w:t>, ET transition strategies and R&amp;</w:t>
      </w:r>
      <w:r w:rsidR="070AA283" w:rsidRPr="00662906">
        <w:t>D, and</w:t>
      </w:r>
      <w:r w:rsidRPr="00662906">
        <w:t xml:space="preserve"> operations.</w:t>
      </w:r>
    </w:p>
    <w:p w14:paraId="22749017" w14:textId="628C1ED5" w:rsidR="006352D0" w:rsidRPr="00662906" w:rsidRDefault="006352D0" w:rsidP="009A0D6A">
      <w:pPr>
        <w:pStyle w:val="Heading3"/>
        <w:ind w:left="567"/>
      </w:pPr>
      <w:bookmarkStart w:id="451" w:name="_Toc197433849"/>
      <w:r w:rsidRPr="00662906">
        <w:t>Inclusive Economic and Social Development</w:t>
      </w:r>
      <w:bookmarkEnd w:id="451"/>
    </w:p>
    <w:p w14:paraId="6CC882B7" w14:textId="77777777" w:rsidR="006352D0" w:rsidRPr="00662906" w:rsidRDefault="006352D0" w:rsidP="006352D0">
      <w:r w:rsidRPr="00662906">
        <w:t>Energy transition must be inclusive, ensuring that no one is left behind. By 2030, the intermediate outcome is to mainstream gender equity, youth empowerment, and community participation in energy transition policies and programs.</w:t>
      </w:r>
    </w:p>
    <w:p w14:paraId="634BA7CE" w14:textId="77777777" w:rsidR="006352D0" w:rsidRPr="00662906" w:rsidRDefault="006352D0" w:rsidP="006352D0">
      <w:pPr>
        <w:rPr>
          <w:i/>
        </w:rPr>
      </w:pPr>
      <w:r w:rsidRPr="00662906">
        <w:rPr>
          <w:i/>
        </w:rPr>
        <w:t>Milestones:</w:t>
      </w:r>
    </w:p>
    <w:p w14:paraId="68717774" w14:textId="77777777" w:rsidR="006352D0" w:rsidRPr="00662906" w:rsidRDefault="006352D0" w:rsidP="005C5546">
      <w:pPr>
        <w:numPr>
          <w:ilvl w:val="0"/>
          <w:numId w:val="28"/>
        </w:numPr>
      </w:pPr>
      <w:r w:rsidRPr="00662906">
        <w:t>Institutionalized mechanisms for gender equity in energy decision-making processes.</w:t>
      </w:r>
    </w:p>
    <w:p w14:paraId="64009360" w14:textId="77777777" w:rsidR="006352D0" w:rsidRPr="00662906" w:rsidRDefault="006352D0" w:rsidP="005C5546">
      <w:pPr>
        <w:numPr>
          <w:ilvl w:val="0"/>
          <w:numId w:val="28"/>
        </w:numPr>
      </w:pPr>
      <w:r w:rsidRPr="00662906">
        <w:t>Expanded training and capacity-building programs to empower youth and local communities in clean energy technologies.</w:t>
      </w:r>
    </w:p>
    <w:p w14:paraId="208D0B83" w14:textId="39AB9914" w:rsidR="006352D0" w:rsidRPr="00662906" w:rsidRDefault="006352D0" w:rsidP="009A0D6A">
      <w:pPr>
        <w:pStyle w:val="Heading3"/>
        <w:ind w:left="567"/>
      </w:pPr>
      <w:bookmarkStart w:id="452" w:name="_Toc197433850"/>
      <w:r w:rsidRPr="00662906">
        <w:t>Sustainable Development of the Oil and Gas Industry</w:t>
      </w:r>
      <w:bookmarkEnd w:id="452"/>
    </w:p>
    <w:p w14:paraId="5DFF6359" w14:textId="52515471" w:rsidR="006352D0" w:rsidRPr="00662906" w:rsidRDefault="006352D0" w:rsidP="006352D0">
      <w:r w:rsidRPr="00662906">
        <w:t>Africa’s oil and gas sector will undergo a strategic transition, ensuring compliance with international ESG standards. By 2030, the sector will align with global decarbonization goals while leveraging natural gas as a transitional fuel.</w:t>
      </w:r>
    </w:p>
    <w:p w14:paraId="29934778" w14:textId="77777777" w:rsidR="006352D0" w:rsidRPr="00662906" w:rsidRDefault="006352D0" w:rsidP="006352D0">
      <w:pPr>
        <w:rPr>
          <w:i/>
        </w:rPr>
      </w:pPr>
      <w:r w:rsidRPr="00662906">
        <w:rPr>
          <w:i/>
        </w:rPr>
        <w:t>Milestones:</w:t>
      </w:r>
    </w:p>
    <w:p w14:paraId="12297CEB" w14:textId="77777777" w:rsidR="006352D0" w:rsidRPr="00662906" w:rsidRDefault="006352D0" w:rsidP="005C5546">
      <w:pPr>
        <w:numPr>
          <w:ilvl w:val="0"/>
          <w:numId w:val="29"/>
        </w:numPr>
      </w:pPr>
      <w:r w:rsidRPr="00662906">
        <w:t>Adoption of ESG frameworks by national oil companies and international oil companies operating in Africa.</w:t>
      </w:r>
    </w:p>
    <w:p w14:paraId="5CAA114C" w14:textId="77777777" w:rsidR="006352D0" w:rsidRPr="00662906" w:rsidRDefault="006352D0" w:rsidP="005C5546">
      <w:pPr>
        <w:numPr>
          <w:ilvl w:val="0"/>
          <w:numId w:val="29"/>
        </w:numPr>
      </w:pPr>
      <w:r w:rsidRPr="00662906">
        <w:t>Development of regional strategies for natural gas utilization to support the energy transition.</w:t>
      </w:r>
    </w:p>
    <w:p w14:paraId="559B8FAB" w14:textId="320C2732" w:rsidR="003736DF" w:rsidRPr="00662906" w:rsidRDefault="003736DF" w:rsidP="003736DF">
      <w:pPr>
        <w:pStyle w:val="Heading2"/>
      </w:pPr>
      <w:bookmarkStart w:id="453" w:name="_Toc197433851"/>
      <w:r w:rsidRPr="00662906">
        <w:t>Key Assumptions</w:t>
      </w:r>
      <w:bookmarkEnd w:id="453"/>
    </w:p>
    <w:p w14:paraId="0707BF79" w14:textId="77777777" w:rsidR="00743653" w:rsidRPr="00662906" w:rsidRDefault="00743653" w:rsidP="00743653">
      <w:r w:rsidRPr="00662906">
        <w:t>The ETSAP’s design is based on several key assumptions that reflect the current and projected realities of Africa’s energy transition. These assumptions highlight the conditions that must hold true to facilitate the desired outcomes:</w:t>
      </w:r>
    </w:p>
    <w:p w14:paraId="4F494B77" w14:textId="77777777" w:rsidR="00743653" w:rsidRPr="00662906" w:rsidRDefault="00743653" w:rsidP="005C5546">
      <w:pPr>
        <w:numPr>
          <w:ilvl w:val="0"/>
          <w:numId w:val="30"/>
        </w:numPr>
        <w:tabs>
          <w:tab w:val="num" w:pos="720"/>
        </w:tabs>
        <w:rPr>
          <w:b/>
          <w:bCs/>
        </w:rPr>
      </w:pPr>
      <w:r w:rsidRPr="00662906">
        <w:rPr>
          <w:b/>
          <w:bCs/>
        </w:rPr>
        <w:t>Political Commitment and Policy Coherence</w:t>
      </w:r>
    </w:p>
    <w:p w14:paraId="49E0EB26" w14:textId="6B7B948E" w:rsidR="00743653" w:rsidRPr="00662906" w:rsidRDefault="00743653" w:rsidP="005C5546">
      <w:pPr>
        <w:numPr>
          <w:ilvl w:val="0"/>
          <w:numId w:val="31"/>
        </w:numPr>
      </w:pPr>
      <w:r w:rsidRPr="00662906">
        <w:rPr>
          <w:i/>
          <w:iCs/>
        </w:rPr>
        <w:t>Assumption:</w:t>
      </w:r>
      <w:r w:rsidRPr="00662906">
        <w:t xml:space="preserve"> Member States remain committed to implementing energy transition policies and aligning them with regional and continental </w:t>
      </w:r>
      <w:r w:rsidR="00EF1C9B" w:rsidRPr="00662906">
        <w:t xml:space="preserve">programmes and </w:t>
      </w:r>
      <w:r w:rsidRPr="00662906">
        <w:t xml:space="preserve">frameworks such as the </w:t>
      </w:r>
      <w:r w:rsidRPr="00662906">
        <w:rPr>
          <w:b/>
          <w:bCs/>
        </w:rPr>
        <w:t>AfSEM</w:t>
      </w:r>
      <w:r w:rsidRPr="00662906">
        <w:t xml:space="preserve">, the </w:t>
      </w:r>
      <w:r w:rsidRPr="00662906">
        <w:rPr>
          <w:b/>
          <w:bCs/>
        </w:rPr>
        <w:t>CMP</w:t>
      </w:r>
      <w:r w:rsidRPr="00662906">
        <w:t xml:space="preserve">, and the </w:t>
      </w:r>
      <w:r w:rsidRPr="00662906">
        <w:rPr>
          <w:b/>
          <w:bCs/>
        </w:rPr>
        <w:t>AfEES</w:t>
      </w:r>
      <w:r w:rsidR="006F6814" w:rsidRPr="00662906">
        <w:t>, along with relevant strategies like the Hydrogen and Bioenergy strategy as well as programmes like the clean cooking programme.</w:t>
      </w:r>
    </w:p>
    <w:p w14:paraId="54A9DF41" w14:textId="77777777" w:rsidR="00743653" w:rsidRPr="00662906" w:rsidRDefault="00743653" w:rsidP="005C5546">
      <w:pPr>
        <w:numPr>
          <w:ilvl w:val="0"/>
          <w:numId w:val="31"/>
        </w:numPr>
      </w:pPr>
      <w:r w:rsidRPr="00662906">
        <w:rPr>
          <w:i/>
          <w:iCs/>
        </w:rPr>
        <w:t>Justification</w:t>
      </w:r>
      <w:r w:rsidRPr="00662906">
        <w:t>: Political will is critical for harmonized energy policy implementation, enabling regional integration and resource mobilization.</w:t>
      </w:r>
    </w:p>
    <w:p w14:paraId="13E6A146" w14:textId="77777777" w:rsidR="00743653" w:rsidRPr="00662906" w:rsidRDefault="00743653" w:rsidP="005C5546">
      <w:pPr>
        <w:numPr>
          <w:ilvl w:val="0"/>
          <w:numId w:val="31"/>
        </w:numPr>
      </w:pPr>
      <w:r w:rsidRPr="00662906">
        <w:rPr>
          <w:i/>
          <w:iCs/>
        </w:rPr>
        <w:t>Example:</w:t>
      </w:r>
      <w:r w:rsidRPr="00662906">
        <w:t xml:space="preserve"> The success of regional power pools relies on Member States’ cooperation and adherence to shared market rules.</w:t>
      </w:r>
    </w:p>
    <w:p w14:paraId="11C5BA0C" w14:textId="77777777" w:rsidR="00743653" w:rsidRPr="00662906" w:rsidRDefault="00743653" w:rsidP="005C5546">
      <w:pPr>
        <w:numPr>
          <w:ilvl w:val="0"/>
          <w:numId w:val="30"/>
        </w:numPr>
        <w:tabs>
          <w:tab w:val="num" w:pos="720"/>
        </w:tabs>
      </w:pPr>
      <w:r w:rsidRPr="00662906">
        <w:rPr>
          <w:b/>
          <w:bCs/>
        </w:rPr>
        <w:t>Economic Growth and Investment Stability</w:t>
      </w:r>
    </w:p>
    <w:p w14:paraId="697F1A00" w14:textId="33F3982D" w:rsidR="00743653" w:rsidRPr="00662906" w:rsidRDefault="00743653" w:rsidP="005C5546">
      <w:pPr>
        <w:numPr>
          <w:ilvl w:val="0"/>
          <w:numId w:val="32"/>
        </w:numPr>
      </w:pPr>
      <w:r w:rsidRPr="00662906">
        <w:rPr>
          <w:i/>
          <w:iCs/>
        </w:rPr>
        <w:t>Assumption:</w:t>
      </w:r>
      <w:r w:rsidRPr="00662906">
        <w:t xml:space="preserve"> Africa will experience </w:t>
      </w:r>
      <w:r w:rsidR="008B4AD9" w:rsidRPr="00662906">
        <w:t xml:space="preserve">relatively </w:t>
      </w:r>
      <w:r w:rsidRPr="00662906">
        <w:t xml:space="preserve">steady economic growth, supported by </w:t>
      </w:r>
      <w:r w:rsidR="008B4AD9" w:rsidRPr="00662906">
        <w:t xml:space="preserve">increasingly </w:t>
      </w:r>
      <w:r w:rsidRPr="00662906">
        <w:t>stable macroeconomic conditions and increasing private and public investments in clean energy infrastructure.</w:t>
      </w:r>
    </w:p>
    <w:p w14:paraId="4C156251" w14:textId="77777777" w:rsidR="00743653" w:rsidRPr="00662906" w:rsidRDefault="00743653" w:rsidP="005C5546">
      <w:pPr>
        <w:numPr>
          <w:ilvl w:val="0"/>
          <w:numId w:val="32"/>
        </w:numPr>
      </w:pPr>
      <w:r w:rsidRPr="00662906">
        <w:rPr>
          <w:i/>
          <w:iCs/>
        </w:rPr>
        <w:lastRenderedPageBreak/>
        <w:t>Justification:</w:t>
      </w:r>
      <w:r w:rsidRPr="00662906">
        <w:t xml:space="preserve"> Economic stability is essential to attract long-term financing and ensure a return on energy investments.</w:t>
      </w:r>
    </w:p>
    <w:p w14:paraId="6B69A1FA" w14:textId="77777777" w:rsidR="00743653" w:rsidRPr="00662906" w:rsidRDefault="00743653" w:rsidP="005C5546">
      <w:pPr>
        <w:numPr>
          <w:ilvl w:val="0"/>
          <w:numId w:val="32"/>
        </w:numPr>
      </w:pPr>
      <w:r w:rsidRPr="00662906">
        <w:rPr>
          <w:i/>
          <w:iCs/>
        </w:rPr>
        <w:t>Example:</w:t>
      </w:r>
      <w:r w:rsidRPr="00662906">
        <w:t xml:space="preserve"> Investments in renewable energy projects will depend on predictable economic policies and investor-friendly environments.</w:t>
      </w:r>
    </w:p>
    <w:p w14:paraId="4E77EAE1" w14:textId="77777777" w:rsidR="00743653" w:rsidRPr="00662906" w:rsidRDefault="00743653" w:rsidP="005C5546">
      <w:pPr>
        <w:numPr>
          <w:ilvl w:val="0"/>
          <w:numId w:val="30"/>
        </w:numPr>
        <w:tabs>
          <w:tab w:val="num" w:pos="720"/>
        </w:tabs>
      </w:pPr>
      <w:r w:rsidRPr="00662906">
        <w:rPr>
          <w:b/>
          <w:bCs/>
        </w:rPr>
        <w:t>Technological Advancements and Affordability</w:t>
      </w:r>
    </w:p>
    <w:p w14:paraId="697AABB4" w14:textId="556B480C" w:rsidR="00743653" w:rsidRPr="00662906" w:rsidRDefault="2FFD47F8" w:rsidP="005C5546">
      <w:pPr>
        <w:numPr>
          <w:ilvl w:val="0"/>
          <w:numId w:val="33"/>
        </w:numPr>
      </w:pPr>
      <w:r w:rsidRPr="00662906">
        <w:rPr>
          <w:i/>
          <w:iCs/>
        </w:rPr>
        <w:t>Assumption:</w:t>
      </w:r>
      <w:r w:rsidRPr="00662906">
        <w:t xml:space="preserve"> Advances in clean energy technologies will continue to lower costs, making renewable energy solutions and energy-efficient systems more accessible</w:t>
      </w:r>
      <w:r w:rsidR="6E134BCB" w:rsidRPr="00662906">
        <w:t xml:space="preserve"> and affordable</w:t>
      </w:r>
      <w:r w:rsidRPr="00662906">
        <w:t>.</w:t>
      </w:r>
    </w:p>
    <w:p w14:paraId="2219FCCC" w14:textId="77777777" w:rsidR="00743653" w:rsidRPr="00662906" w:rsidRDefault="00743653" w:rsidP="005C5546">
      <w:pPr>
        <w:numPr>
          <w:ilvl w:val="0"/>
          <w:numId w:val="33"/>
        </w:numPr>
      </w:pPr>
      <w:r w:rsidRPr="00662906">
        <w:rPr>
          <w:i/>
          <w:iCs/>
        </w:rPr>
        <w:t>Justification:</w:t>
      </w:r>
      <w:r w:rsidRPr="00662906">
        <w:t xml:space="preserve"> Falling technology costs are critical for enabling large-scale adoption of renewables, clean cooking solutions, and energy-efficient appliances.</w:t>
      </w:r>
    </w:p>
    <w:p w14:paraId="5A03E0DF" w14:textId="17C44B3A" w:rsidR="00743653" w:rsidRPr="00662906" w:rsidRDefault="2FFD47F8" w:rsidP="005C5546">
      <w:pPr>
        <w:numPr>
          <w:ilvl w:val="0"/>
          <w:numId w:val="33"/>
        </w:numPr>
      </w:pPr>
      <w:r w:rsidRPr="00662906">
        <w:rPr>
          <w:i/>
          <w:iCs/>
        </w:rPr>
        <w:t>Example:</w:t>
      </w:r>
      <w:r w:rsidRPr="00662906">
        <w:t xml:space="preserve"> Declining costs of solar PV</w:t>
      </w:r>
      <w:r w:rsidR="7D8834E5" w:rsidRPr="00662906">
        <w:t xml:space="preserve"> and</w:t>
      </w:r>
      <w:r w:rsidRPr="00662906">
        <w:t xml:space="preserve"> battery storage</w:t>
      </w:r>
      <w:r w:rsidR="7D8834E5" w:rsidRPr="00662906">
        <w:t xml:space="preserve"> can drive rural </w:t>
      </w:r>
      <w:r w:rsidR="00527FBF" w:rsidRPr="00662906">
        <w:t>electrification also</w:t>
      </w:r>
      <w:r w:rsidR="7D8834E5" w:rsidRPr="00662906">
        <w:t>.</w:t>
      </w:r>
    </w:p>
    <w:p w14:paraId="61D69EC8" w14:textId="77777777" w:rsidR="00743653" w:rsidRPr="00662906" w:rsidRDefault="00743653" w:rsidP="005C5546">
      <w:pPr>
        <w:numPr>
          <w:ilvl w:val="0"/>
          <w:numId w:val="30"/>
        </w:numPr>
        <w:tabs>
          <w:tab w:val="num" w:pos="720"/>
        </w:tabs>
      </w:pPr>
      <w:r w:rsidRPr="00662906">
        <w:rPr>
          <w:b/>
          <w:bCs/>
        </w:rPr>
        <w:t>Availability of Financing Mechanisms</w:t>
      </w:r>
    </w:p>
    <w:p w14:paraId="01963B59" w14:textId="437F3E74" w:rsidR="00743653" w:rsidRPr="00662906" w:rsidRDefault="00743653" w:rsidP="005C5546">
      <w:pPr>
        <w:numPr>
          <w:ilvl w:val="0"/>
          <w:numId w:val="34"/>
        </w:numPr>
      </w:pPr>
      <w:r w:rsidRPr="00662906">
        <w:rPr>
          <w:i/>
          <w:iCs/>
        </w:rPr>
        <w:t>Assumption:</w:t>
      </w:r>
      <w:r w:rsidRPr="00662906">
        <w:t xml:space="preserve"> Adequate financing, including international climate finance, public-private partnerships, and</w:t>
      </w:r>
      <w:r w:rsidR="009A66B7" w:rsidRPr="00662906">
        <w:t xml:space="preserve"> other</w:t>
      </w:r>
      <w:r w:rsidRPr="00662906">
        <w:t xml:space="preserve"> innovative </w:t>
      </w:r>
      <w:r w:rsidR="009A66B7" w:rsidRPr="00662906">
        <w:t xml:space="preserve">financing </w:t>
      </w:r>
      <w:r w:rsidRPr="00662906">
        <w:t>mechanisms, will be accessible to fund energy transition projects.</w:t>
      </w:r>
    </w:p>
    <w:p w14:paraId="7B6F6CE4" w14:textId="77777777" w:rsidR="00743653" w:rsidRPr="00662906" w:rsidRDefault="00743653" w:rsidP="005C5546">
      <w:pPr>
        <w:numPr>
          <w:ilvl w:val="0"/>
          <w:numId w:val="34"/>
        </w:numPr>
      </w:pPr>
      <w:r w:rsidRPr="00662906">
        <w:rPr>
          <w:i/>
          <w:iCs/>
        </w:rPr>
        <w:t>Justification:</w:t>
      </w:r>
      <w:r w:rsidRPr="00662906">
        <w:t xml:space="preserve"> The energy transition requires significant capital investments, particularly for infrastructure, technology deployment, and capacity building.</w:t>
      </w:r>
    </w:p>
    <w:p w14:paraId="7CB1636F" w14:textId="77777777" w:rsidR="00743653" w:rsidRPr="00662906" w:rsidRDefault="00743653" w:rsidP="005C5546">
      <w:pPr>
        <w:numPr>
          <w:ilvl w:val="0"/>
          <w:numId w:val="34"/>
        </w:numPr>
      </w:pPr>
      <w:r w:rsidRPr="00662906">
        <w:rPr>
          <w:i/>
          <w:iCs/>
        </w:rPr>
        <w:t>Example:</w:t>
      </w:r>
      <w:r w:rsidRPr="00662906">
        <w:t xml:space="preserve"> The operationalization of green bonds, carbon markets, and blended finance platforms will support project financing.</w:t>
      </w:r>
    </w:p>
    <w:p w14:paraId="3C408166" w14:textId="77777777" w:rsidR="00743653" w:rsidRPr="00662906" w:rsidRDefault="00743653" w:rsidP="005C5546">
      <w:pPr>
        <w:numPr>
          <w:ilvl w:val="0"/>
          <w:numId w:val="30"/>
        </w:numPr>
        <w:tabs>
          <w:tab w:val="num" w:pos="720"/>
        </w:tabs>
      </w:pPr>
      <w:r w:rsidRPr="00662906">
        <w:rPr>
          <w:b/>
          <w:bCs/>
        </w:rPr>
        <w:t>Institutional Capacity and Governance</w:t>
      </w:r>
    </w:p>
    <w:p w14:paraId="11B10B70" w14:textId="0463D04B" w:rsidR="00743653" w:rsidRPr="00662906" w:rsidRDefault="2FFD47F8" w:rsidP="005C5546">
      <w:pPr>
        <w:numPr>
          <w:ilvl w:val="0"/>
          <w:numId w:val="35"/>
        </w:numPr>
      </w:pPr>
      <w:r w:rsidRPr="00662906">
        <w:rPr>
          <w:i/>
          <w:iCs/>
        </w:rPr>
        <w:t>Assumption:</w:t>
      </w:r>
      <w:r w:rsidRPr="00662906">
        <w:t xml:space="preserve"> National and regional institutions will </w:t>
      </w:r>
      <w:r w:rsidR="54D935B1" w:rsidRPr="00662906">
        <w:t xml:space="preserve">have their </w:t>
      </w:r>
      <w:r w:rsidRPr="00662906">
        <w:t>technical and administrative capacities to plan, implement, and monitor energy transition initiatives.</w:t>
      </w:r>
    </w:p>
    <w:p w14:paraId="501071F2" w14:textId="77777777" w:rsidR="00743653" w:rsidRPr="00662906" w:rsidRDefault="00743653" w:rsidP="005C5546">
      <w:pPr>
        <w:numPr>
          <w:ilvl w:val="0"/>
          <w:numId w:val="35"/>
        </w:numPr>
      </w:pPr>
      <w:r w:rsidRPr="00662906">
        <w:rPr>
          <w:i/>
          <w:iCs/>
        </w:rPr>
        <w:t>Justification:</w:t>
      </w:r>
      <w:r w:rsidRPr="00662906">
        <w:t xml:space="preserve"> Strong governance frameworks ensure accountability, transparency, and efficiency in delivering energy transition outcomes.</w:t>
      </w:r>
    </w:p>
    <w:p w14:paraId="21F03BD7" w14:textId="77777777" w:rsidR="00743653" w:rsidRPr="00662906" w:rsidRDefault="00743653" w:rsidP="005C5546">
      <w:pPr>
        <w:numPr>
          <w:ilvl w:val="0"/>
          <w:numId w:val="35"/>
        </w:numPr>
      </w:pPr>
      <w:r w:rsidRPr="00662906">
        <w:rPr>
          <w:i/>
          <w:iCs/>
        </w:rPr>
        <w:t>Example:</w:t>
      </w:r>
      <w:r w:rsidRPr="00662906">
        <w:t xml:space="preserve"> Capacity-building programs and institutional reforms will address existing governance weaknesses and bottlenecks.</w:t>
      </w:r>
    </w:p>
    <w:p w14:paraId="1834624D" w14:textId="77777777" w:rsidR="00743653" w:rsidRPr="00662906" w:rsidRDefault="00743653" w:rsidP="005C5546">
      <w:pPr>
        <w:numPr>
          <w:ilvl w:val="0"/>
          <w:numId w:val="30"/>
        </w:numPr>
        <w:tabs>
          <w:tab w:val="num" w:pos="720"/>
        </w:tabs>
      </w:pPr>
      <w:r w:rsidRPr="00662906">
        <w:rPr>
          <w:b/>
          <w:bCs/>
        </w:rPr>
        <w:t>Social Acceptance and Inclusive Participation</w:t>
      </w:r>
    </w:p>
    <w:p w14:paraId="2CABEA7B" w14:textId="77777777" w:rsidR="00743653" w:rsidRPr="00662906" w:rsidRDefault="00743653" w:rsidP="005C5546">
      <w:pPr>
        <w:numPr>
          <w:ilvl w:val="0"/>
          <w:numId w:val="36"/>
        </w:numPr>
      </w:pPr>
      <w:r w:rsidRPr="00662906">
        <w:rPr>
          <w:i/>
          <w:iCs/>
        </w:rPr>
        <w:t>Assumption:</w:t>
      </w:r>
      <w:r w:rsidRPr="00662906">
        <w:t xml:space="preserve"> Communities, businesses, and key stakeholders will support the energy transition, recognizing its socio-economic and environmental benefits.</w:t>
      </w:r>
    </w:p>
    <w:p w14:paraId="5A4F4799" w14:textId="77777777" w:rsidR="00743653" w:rsidRPr="00662906" w:rsidRDefault="00743653" w:rsidP="005C5546">
      <w:pPr>
        <w:numPr>
          <w:ilvl w:val="0"/>
          <w:numId w:val="36"/>
        </w:numPr>
      </w:pPr>
      <w:r w:rsidRPr="00662906">
        <w:rPr>
          <w:i/>
          <w:iCs/>
        </w:rPr>
        <w:t>Justification:</w:t>
      </w:r>
      <w:r w:rsidRPr="00662906">
        <w:t xml:space="preserve"> Successful transitions require public buy-in, particularly from vulnerable groups affected by energy access gaps or fossil fuel phaseouts.</w:t>
      </w:r>
    </w:p>
    <w:p w14:paraId="2E7AAD66" w14:textId="77777777" w:rsidR="00743653" w:rsidRPr="00662906" w:rsidRDefault="00743653" w:rsidP="005C5546">
      <w:pPr>
        <w:numPr>
          <w:ilvl w:val="0"/>
          <w:numId w:val="36"/>
        </w:numPr>
      </w:pPr>
      <w:r w:rsidRPr="00662906">
        <w:rPr>
          <w:i/>
          <w:iCs/>
        </w:rPr>
        <w:t>Example:</w:t>
      </w:r>
      <w:r w:rsidRPr="00662906">
        <w:t xml:space="preserve"> Programs promoting awareness, job creation, and equitable benefit distribution will foster acceptance.</w:t>
      </w:r>
    </w:p>
    <w:p w14:paraId="1976C5DA" w14:textId="28029334" w:rsidR="005E45ED" w:rsidRPr="00662906" w:rsidRDefault="006C6A28" w:rsidP="00954312">
      <w:pPr>
        <w:pStyle w:val="Heading2"/>
      </w:pPr>
      <w:bookmarkStart w:id="454" w:name="_Toc189749948"/>
      <w:bookmarkStart w:id="455" w:name="_Toc189750154"/>
      <w:bookmarkStart w:id="456" w:name="_Toc189754870"/>
      <w:bookmarkStart w:id="457" w:name="_Toc189749949"/>
      <w:bookmarkStart w:id="458" w:name="_Toc189750155"/>
      <w:bookmarkStart w:id="459" w:name="_Toc189754871"/>
      <w:bookmarkStart w:id="460" w:name="_Toc189749950"/>
      <w:bookmarkStart w:id="461" w:name="_Toc189750156"/>
      <w:bookmarkStart w:id="462" w:name="_Toc189754872"/>
      <w:bookmarkStart w:id="463" w:name="_Toc189749951"/>
      <w:bookmarkStart w:id="464" w:name="_Toc189750157"/>
      <w:bookmarkStart w:id="465" w:name="_Toc189754873"/>
      <w:bookmarkStart w:id="466" w:name="_Toc189749952"/>
      <w:bookmarkStart w:id="467" w:name="_Toc189750158"/>
      <w:bookmarkStart w:id="468" w:name="_Toc189754874"/>
      <w:bookmarkStart w:id="469" w:name="_Toc189749953"/>
      <w:bookmarkStart w:id="470" w:name="_Toc189750159"/>
      <w:bookmarkStart w:id="471" w:name="_Toc189754875"/>
      <w:bookmarkStart w:id="472" w:name="_Toc189749954"/>
      <w:bookmarkStart w:id="473" w:name="_Toc189750160"/>
      <w:bookmarkStart w:id="474" w:name="_Toc189754876"/>
      <w:bookmarkStart w:id="475" w:name="_Toc189749955"/>
      <w:bookmarkStart w:id="476" w:name="_Toc189750161"/>
      <w:bookmarkStart w:id="477" w:name="_Toc189754877"/>
      <w:bookmarkStart w:id="478" w:name="_Toc189749956"/>
      <w:bookmarkStart w:id="479" w:name="_Toc189750162"/>
      <w:bookmarkStart w:id="480" w:name="_Toc189754878"/>
      <w:bookmarkStart w:id="481" w:name="_Toc189749957"/>
      <w:bookmarkStart w:id="482" w:name="_Toc189750163"/>
      <w:bookmarkStart w:id="483" w:name="_Toc189754879"/>
      <w:bookmarkStart w:id="484" w:name="_Toc189749958"/>
      <w:bookmarkStart w:id="485" w:name="_Toc189750164"/>
      <w:bookmarkStart w:id="486" w:name="_Toc189754880"/>
      <w:bookmarkStart w:id="487" w:name="_Toc189749959"/>
      <w:bookmarkStart w:id="488" w:name="_Toc189750165"/>
      <w:bookmarkStart w:id="489" w:name="_Toc189754881"/>
      <w:bookmarkStart w:id="490" w:name="_Toc189749960"/>
      <w:bookmarkStart w:id="491" w:name="_Toc189750166"/>
      <w:bookmarkStart w:id="492" w:name="_Toc189754882"/>
      <w:bookmarkStart w:id="493" w:name="_Toc189749961"/>
      <w:bookmarkStart w:id="494" w:name="_Toc189750167"/>
      <w:bookmarkStart w:id="495" w:name="_Toc189754883"/>
      <w:bookmarkStart w:id="496" w:name="_Toc189749962"/>
      <w:bookmarkStart w:id="497" w:name="_Toc189750168"/>
      <w:bookmarkStart w:id="498" w:name="_Toc189754884"/>
      <w:bookmarkStart w:id="499" w:name="_Toc189749963"/>
      <w:bookmarkStart w:id="500" w:name="_Toc189750169"/>
      <w:bookmarkStart w:id="501" w:name="_Toc189754885"/>
      <w:bookmarkStart w:id="502" w:name="_Toc189749964"/>
      <w:bookmarkStart w:id="503" w:name="_Toc189750170"/>
      <w:bookmarkStart w:id="504" w:name="_Toc189754886"/>
      <w:bookmarkStart w:id="505" w:name="_Toc189749965"/>
      <w:bookmarkStart w:id="506" w:name="_Toc189750171"/>
      <w:bookmarkStart w:id="507" w:name="_Toc189754887"/>
      <w:bookmarkStart w:id="508" w:name="_Toc189749966"/>
      <w:bookmarkStart w:id="509" w:name="_Toc189750172"/>
      <w:bookmarkStart w:id="510" w:name="_Toc189754888"/>
      <w:bookmarkStart w:id="511" w:name="_Toc189749967"/>
      <w:bookmarkStart w:id="512" w:name="_Toc189750173"/>
      <w:bookmarkStart w:id="513" w:name="_Toc189754889"/>
      <w:bookmarkStart w:id="514" w:name="_Toc189749968"/>
      <w:bookmarkStart w:id="515" w:name="_Toc189750174"/>
      <w:bookmarkStart w:id="516" w:name="_Toc189754890"/>
      <w:bookmarkStart w:id="517" w:name="_Toc189749969"/>
      <w:bookmarkStart w:id="518" w:name="_Toc189750175"/>
      <w:bookmarkStart w:id="519" w:name="_Toc189754891"/>
      <w:bookmarkStart w:id="520" w:name="_Toc189749970"/>
      <w:bookmarkStart w:id="521" w:name="_Toc189750176"/>
      <w:bookmarkStart w:id="522" w:name="_Toc189754892"/>
      <w:bookmarkStart w:id="523" w:name="_Toc189749971"/>
      <w:bookmarkStart w:id="524" w:name="_Toc189750177"/>
      <w:bookmarkStart w:id="525" w:name="_Toc189754893"/>
      <w:bookmarkStart w:id="526" w:name="_Toc189749972"/>
      <w:bookmarkStart w:id="527" w:name="_Toc189750178"/>
      <w:bookmarkStart w:id="528" w:name="_Toc189754894"/>
      <w:bookmarkStart w:id="529" w:name="_Toc189749973"/>
      <w:bookmarkStart w:id="530" w:name="_Toc189750179"/>
      <w:bookmarkStart w:id="531" w:name="_Toc189754895"/>
      <w:bookmarkStart w:id="532" w:name="_Toc189749974"/>
      <w:bookmarkStart w:id="533" w:name="_Toc189750180"/>
      <w:bookmarkStart w:id="534" w:name="_Toc189754896"/>
      <w:bookmarkStart w:id="535" w:name="_Toc189749975"/>
      <w:bookmarkStart w:id="536" w:name="_Toc189750181"/>
      <w:bookmarkStart w:id="537" w:name="_Toc189754897"/>
      <w:bookmarkStart w:id="538" w:name="_Toc189749976"/>
      <w:bookmarkStart w:id="539" w:name="_Toc189750182"/>
      <w:bookmarkStart w:id="540" w:name="_Toc189754898"/>
      <w:bookmarkStart w:id="541" w:name="_Toc189749977"/>
      <w:bookmarkStart w:id="542" w:name="_Toc189750183"/>
      <w:bookmarkStart w:id="543" w:name="_Toc189754899"/>
      <w:bookmarkStart w:id="544" w:name="_Toc189749978"/>
      <w:bookmarkStart w:id="545" w:name="_Toc189750184"/>
      <w:bookmarkStart w:id="546" w:name="_Toc189754900"/>
      <w:bookmarkStart w:id="547" w:name="_Toc189749979"/>
      <w:bookmarkStart w:id="548" w:name="_Toc189750185"/>
      <w:bookmarkStart w:id="549" w:name="_Toc189754901"/>
      <w:bookmarkStart w:id="550" w:name="_Toc189749980"/>
      <w:bookmarkStart w:id="551" w:name="_Toc189750186"/>
      <w:bookmarkStart w:id="552" w:name="_Toc189754902"/>
      <w:bookmarkStart w:id="553" w:name="_Toc189749981"/>
      <w:bookmarkStart w:id="554" w:name="_Toc189750187"/>
      <w:bookmarkStart w:id="555" w:name="_Toc189754903"/>
      <w:bookmarkStart w:id="556" w:name="_Toc189749982"/>
      <w:bookmarkStart w:id="557" w:name="_Toc189750188"/>
      <w:bookmarkStart w:id="558" w:name="_Toc189754904"/>
      <w:bookmarkStart w:id="559" w:name="_Toc189749983"/>
      <w:bookmarkStart w:id="560" w:name="_Toc189750189"/>
      <w:bookmarkStart w:id="561" w:name="_Toc189754905"/>
      <w:bookmarkStart w:id="562" w:name="_Toc189749984"/>
      <w:bookmarkStart w:id="563" w:name="_Toc189750190"/>
      <w:bookmarkStart w:id="564" w:name="_Toc189754906"/>
      <w:bookmarkStart w:id="565" w:name="_Toc197433852"/>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662906">
        <w:t xml:space="preserve">Risks and Risk Mitigation </w:t>
      </w:r>
      <w:r w:rsidR="00954312" w:rsidRPr="00662906">
        <w:t>Strategies</w:t>
      </w:r>
      <w:bookmarkEnd w:id="565"/>
    </w:p>
    <w:p w14:paraId="0813B256" w14:textId="77777777" w:rsidR="001D125F" w:rsidRPr="00662906" w:rsidRDefault="001D125F" w:rsidP="001D125F">
      <w:r w:rsidRPr="00662906">
        <w:t>The successful implementation of the ETSAP faces several risks that could hinder progress if not proactively addressed. These risks span governance, policy, financial, operational, environmental, and socio-economic dimensions, reflecting the complexity of Africa’s energy transition. While some risks stem from external factors such as geopolitical instability and supply chain disruptions, others are linked to internal challenges like institutional capacity, regulatory gaps, and financial constraints.</w:t>
      </w:r>
    </w:p>
    <w:p w14:paraId="2D4ED284" w14:textId="2FA93A4E" w:rsidR="001D125F" w:rsidRPr="00662906" w:rsidRDefault="001D125F" w:rsidP="009D1447">
      <w:r w:rsidRPr="00662906">
        <w:t xml:space="preserve">The </w:t>
      </w:r>
      <w:r w:rsidR="00CD28BB" w:rsidRPr="00662906">
        <w:t>“</w:t>
      </w:r>
      <w:r w:rsidRPr="00662906">
        <w:t>Likelihood</w:t>
      </w:r>
      <w:r w:rsidR="00CD28BB" w:rsidRPr="00662906">
        <w:t>” column</w:t>
      </w:r>
      <w:r w:rsidRPr="00662906">
        <w:t xml:space="preserve"> represents the probability of a risk materializing, categorized as </w:t>
      </w:r>
      <w:r w:rsidRPr="00662906">
        <w:rPr>
          <w:i/>
          <w:iCs/>
        </w:rPr>
        <w:t>low, medium,</w:t>
      </w:r>
      <w:r w:rsidRPr="00662906">
        <w:t xml:space="preserve"> or </w:t>
      </w:r>
      <w:r w:rsidRPr="00662906">
        <w:rPr>
          <w:i/>
          <w:iCs/>
        </w:rPr>
        <w:t>high</w:t>
      </w:r>
      <w:r w:rsidRPr="00662906">
        <w:t xml:space="preserve"> based on current trends and expert analysis. The </w:t>
      </w:r>
      <w:r w:rsidR="00CD28BB" w:rsidRPr="00662906">
        <w:t>“</w:t>
      </w:r>
      <w:r w:rsidRPr="00662906">
        <w:t>Impact</w:t>
      </w:r>
      <w:r w:rsidR="00CD28BB" w:rsidRPr="00662906">
        <w:t>”</w:t>
      </w:r>
      <w:r w:rsidRPr="00662906">
        <w:t xml:space="preserve"> column indicates the potential consequences of each risk on the success of the ETSAP, also classified as </w:t>
      </w:r>
      <w:r w:rsidRPr="00662906">
        <w:rPr>
          <w:i/>
          <w:iCs/>
        </w:rPr>
        <w:t>low, medium,</w:t>
      </w:r>
      <w:r w:rsidRPr="00662906">
        <w:t xml:space="preserve"> or </w:t>
      </w:r>
      <w:r w:rsidRPr="00662906">
        <w:rPr>
          <w:i/>
          <w:iCs/>
        </w:rPr>
        <w:t>high</w:t>
      </w:r>
      <w:r w:rsidRPr="00662906">
        <w:t xml:space="preserve">. </w:t>
      </w:r>
      <w:r w:rsidR="003C4B5B" w:rsidRPr="00662906">
        <w:t xml:space="preserve"> T</w:t>
      </w:r>
      <w:r w:rsidRPr="00662906">
        <w:t>able</w:t>
      </w:r>
      <w:r w:rsidR="003C4B5B" w:rsidRPr="00662906">
        <w:t xml:space="preserve"> 16</w:t>
      </w:r>
      <w:r w:rsidRPr="00662906">
        <w:t xml:space="preserve"> below categorizes these risks and outlines corresponding mitigation strategies to ensure resilience, scalability, and sustainability in achieving the ETSAP’s objectives.</w:t>
      </w:r>
    </w:p>
    <w:p w14:paraId="424EF4BE" w14:textId="0DB19FDC" w:rsidR="006767E1" w:rsidRPr="00662906" w:rsidRDefault="006767E1" w:rsidP="006767E1">
      <w:pPr>
        <w:pStyle w:val="Caption"/>
      </w:pPr>
      <w:bookmarkStart w:id="566" w:name="_Toc197433904"/>
      <w:r w:rsidRPr="00662906">
        <w:t xml:space="preserve">Table </w:t>
      </w:r>
      <w:fldSimple w:instr=" SEQ Table \* ARABIC ">
        <w:r w:rsidR="00610F61">
          <w:rPr>
            <w:noProof/>
          </w:rPr>
          <w:t>16</w:t>
        </w:r>
      </w:fldSimple>
      <w:r w:rsidRPr="00662906">
        <w:t xml:space="preserve">: </w:t>
      </w:r>
      <w:r w:rsidR="00BE01DE" w:rsidRPr="00662906">
        <w:t>Risks and Risk Mitigation Strategies</w:t>
      </w:r>
      <w:bookmarkEnd w:id="566"/>
      <w:r w:rsidRPr="00662906">
        <w:t xml:space="preserve"> </w:t>
      </w:r>
    </w:p>
    <w:tbl>
      <w:tblPr>
        <w:tblStyle w:val="TableGrid"/>
        <w:tblpPr w:leftFromText="180" w:rightFromText="180" w:vertAnchor="text" w:tblpY="1"/>
        <w:tblOverlap w:val="never"/>
        <w:tblW w:w="8928"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423"/>
        <w:gridCol w:w="2551"/>
        <w:gridCol w:w="851"/>
        <w:gridCol w:w="992"/>
        <w:gridCol w:w="4111"/>
      </w:tblGrid>
      <w:tr w:rsidR="00BD4227" w:rsidRPr="00662906" w14:paraId="0DD298F2" w14:textId="5A55EBC6" w:rsidTr="00904CD3">
        <w:trPr>
          <w:trHeight w:val="278"/>
        </w:trPr>
        <w:tc>
          <w:tcPr>
            <w:tcW w:w="423" w:type="dxa"/>
            <w:shd w:val="clear" w:color="auto" w:fill="B4A269" w:themeFill="text2"/>
            <w:tcMar>
              <w:left w:w="57" w:type="dxa"/>
              <w:right w:w="57" w:type="dxa"/>
            </w:tcMar>
            <w:vAlign w:val="center"/>
          </w:tcPr>
          <w:p w14:paraId="5A49940F" w14:textId="77777777" w:rsidR="00BD4227" w:rsidRPr="00662906" w:rsidRDefault="00BD4227" w:rsidP="00904CD3">
            <w:pPr>
              <w:ind w:left="-57" w:right="-57"/>
              <w:jc w:val="center"/>
              <w:rPr>
                <w:rFonts w:eastAsia="Arial" w:cs="Arial"/>
                <w:b/>
                <w:bCs/>
                <w:color w:val="FFFFFF" w:themeColor="background2"/>
                <w:sz w:val="17"/>
                <w:szCs w:val="17"/>
              </w:rPr>
            </w:pPr>
            <w:r w:rsidRPr="00662906">
              <w:rPr>
                <w:rFonts w:eastAsia="Arial" w:cs="Arial"/>
                <w:b/>
                <w:bCs/>
                <w:color w:val="FFFFFF" w:themeColor="background2"/>
                <w:sz w:val="17"/>
                <w:szCs w:val="17"/>
              </w:rPr>
              <w:lastRenderedPageBreak/>
              <w:t>No</w:t>
            </w:r>
          </w:p>
        </w:tc>
        <w:tc>
          <w:tcPr>
            <w:tcW w:w="2551" w:type="dxa"/>
            <w:shd w:val="clear" w:color="auto" w:fill="B4A269" w:themeFill="text2"/>
            <w:tcMar>
              <w:left w:w="57" w:type="dxa"/>
              <w:right w:w="57" w:type="dxa"/>
            </w:tcMar>
            <w:vAlign w:val="center"/>
          </w:tcPr>
          <w:p w14:paraId="53C1F809" w14:textId="2068F572" w:rsidR="00BD4227" w:rsidRPr="00662906" w:rsidRDefault="00BD4227" w:rsidP="00DB46D5">
            <w:pPr>
              <w:spacing w:before="60" w:after="60"/>
              <w:ind w:left="-57" w:right="-57"/>
              <w:jc w:val="center"/>
              <w:rPr>
                <w:rFonts w:eastAsia="Arial" w:cs="Arial"/>
                <w:b/>
                <w:bCs/>
                <w:color w:val="FFFFFF" w:themeColor="background2"/>
                <w:sz w:val="17"/>
                <w:szCs w:val="17"/>
              </w:rPr>
            </w:pPr>
            <w:r w:rsidRPr="00662906">
              <w:rPr>
                <w:rFonts w:cs="Arial"/>
                <w:b/>
                <w:bCs/>
                <w:color w:val="FFFFFF" w:themeColor="background2"/>
                <w:sz w:val="17"/>
                <w:szCs w:val="17"/>
              </w:rPr>
              <w:t>Risk</w:t>
            </w:r>
          </w:p>
        </w:tc>
        <w:tc>
          <w:tcPr>
            <w:tcW w:w="851" w:type="dxa"/>
            <w:shd w:val="clear" w:color="auto" w:fill="B4A269" w:themeFill="text2"/>
            <w:tcMar>
              <w:left w:w="57" w:type="dxa"/>
              <w:right w:w="57" w:type="dxa"/>
            </w:tcMar>
            <w:vAlign w:val="center"/>
          </w:tcPr>
          <w:p w14:paraId="53556362" w14:textId="1E277CE7" w:rsidR="00BD4227" w:rsidRPr="00662906" w:rsidRDefault="00BD4227" w:rsidP="00DB46D5">
            <w:pPr>
              <w:spacing w:before="60" w:after="60"/>
              <w:ind w:left="-57" w:right="-57"/>
              <w:jc w:val="center"/>
              <w:rPr>
                <w:rFonts w:cs="Arial"/>
                <w:b/>
                <w:bCs/>
                <w:color w:val="FFFFFF" w:themeColor="background2"/>
                <w:sz w:val="17"/>
                <w:szCs w:val="17"/>
              </w:rPr>
            </w:pPr>
            <w:r w:rsidRPr="00662906">
              <w:rPr>
                <w:rFonts w:cs="Arial"/>
                <w:b/>
                <w:bCs/>
                <w:color w:val="FFFFFF" w:themeColor="background2"/>
                <w:sz w:val="17"/>
                <w:szCs w:val="17"/>
              </w:rPr>
              <w:t>Likelihood</w:t>
            </w:r>
          </w:p>
        </w:tc>
        <w:tc>
          <w:tcPr>
            <w:tcW w:w="992" w:type="dxa"/>
            <w:shd w:val="clear" w:color="auto" w:fill="B4A269" w:themeFill="text2"/>
            <w:vAlign w:val="center"/>
          </w:tcPr>
          <w:p w14:paraId="6BCB9ECE" w14:textId="6BEF7405" w:rsidR="00BD4227" w:rsidRPr="00662906" w:rsidRDefault="00BD4227" w:rsidP="00DB46D5">
            <w:pPr>
              <w:spacing w:before="60" w:after="60"/>
              <w:ind w:left="-57" w:right="-57"/>
              <w:jc w:val="center"/>
              <w:rPr>
                <w:rFonts w:eastAsia="Arial" w:cs="Arial"/>
                <w:b/>
                <w:bCs/>
                <w:color w:val="FFFFFF" w:themeColor="background2"/>
                <w:sz w:val="17"/>
                <w:szCs w:val="17"/>
              </w:rPr>
            </w:pPr>
            <w:r w:rsidRPr="00662906">
              <w:rPr>
                <w:rFonts w:cs="Arial"/>
                <w:b/>
                <w:bCs/>
                <w:color w:val="FFFFFF" w:themeColor="background2"/>
                <w:sz w:val="17"/>
                <w:szCs w:val="17"/>
              </w:rPr>
              <w:t>Impact</w:t>
            </w:r>
          </w:p>
        </w:tc>
        <w:tc>
          <w:tcPr>
            <w:tcW w:w="4111" w:type="dxa"/>
            <w:shd w:val="clear" w:color="auto" w:fill="B4A269" w:themeFill="text2"/>
            <w:vAlign w:val="center"/>
          </w:tcPr>
          <w:p w14:paraId="2D42FFAB" w14:textId="5C42D64E" w:rsidR="00BD4227" w:rsidRPr="00662906" w:rsidRDefault="00BD4227" w:rsidP="00BD4227">
            <w:pPr>
              <w:spacing w:before="60" w:after="60"/>
              <w:ind w:left="-57" w:right="-57"/>
              <w:jc w:val="center"/>
              <w:rPr>
                <w:rFonts w:eastAsia="Arial" w:cs="Arial"/>
                <w:b/>
                <w:bCs/>
                <w:color w:val="FFFFFF" w:themeColor="background2"/>
                <w:sz w:val="17"/>
                <w:szCs w:val="17"/>
              </w:rPr>
            </w:pPr>
            <w:r w:rsidRPr="00662906">
              <w:rPr>
                <w:rFonts w:cs="Arial"/>
                <w:b/>
                <w:bCs/>
                <w:color w:val="FFFFFF" w:themeColor="background2"/>
                <w:sz w:val="17"/>
                <w:szCs w:val="17"/>
              </w:rPr>
              <w:t>Risk Mitigation Approach</w:t>
            </w:r>
          </w:p>
        </w:tc>
      </w:tr>
      <w:tr w:rsidR="008B38E7" w:rsidRPr="00662906" w14:paraId="5E3C8CB0" w14:textId="77777777" w:rsidTr="00904CD3">
        <w:trPr>
          <w:trHeight w:val="63"/>
        </w:trPr>
        <w:tc>
          <w:tcPr>
            <w:tcW w:w="8928" w:type="dxa"/>
            <w:gridSpan w:val="5"/>
            <w:shd w:val="clear" w:color="auto" w:fill="F0ECE1" w:themeFill="text2" w:themeFillTint="33"/>
            <w:tcMar>
              <w:left w:w="57" w:type="dxa"/>
              <w:right w:w="57" w:type="dxa"/>
            </w:tcMar>
            <w:vAlign w:val="center"/>
          </w:tcPr>
          <w:p w14:paraId="7BD2BA28" w14:textId="5C0D4F03" w:rsidR="008B38E7" w:rsidRPr="00662906" w:rsidRDefault="005C7359" w:rsidP="00904CD3">
            <w:pPr>
              <w:pStyle w:val="ListParagraph"/>
              <w:numPr>
                <w:ilvl w:val="0"/>
                <w:numId w:val="56"/>
              </w:numPr>
              <w:spacing w:before="40" w:after="40"/>
              <w:ind w:left="366"/>
              <w:jc w:val="center"/>
              <w:rPr>
                <w:rFonts w:eastAsia="Arial" w:cs="Arial"/>
                <w:b/>
                <w:bCs/>
                <w:sz w:val="17"/>
                <w:szCs w:val="17"/>
              </w:rPr>
            </w:pPr>
            <w:r w:rsidRPr="00662906">
              <w:rPr>
                <w:rFonts w:eastAsia="Arial" w:cs="Arial"/>
                <w:b/>
                <w:bCs/>
                <w:sz w:val="17"/>
                <w:szCs w:val="17"/>
              </w:rPr>
              <w:t>Governance Risks</w:t>
            </w:r>
          </w:p>
        </w:tc>
      </w:tr>
      <w:tr w:rsidR="005C7359" w:rsidRPr="00662906" w14:paraId="7BB2AC95" w14:textId="77777777" w:rsidTr="00904CD3">
        <w:trPr>
          <w:trHeight w:val="63"/>
        </w:trPr>
        <w:tc>
          <w:tcPr>
            <w:tcW w:w="423" w:type="dxa"/>
            <w:shd w:val="clear" w:color="auto" w:fill="FFFFFF" w:themeFill="background2"/>
            <w:tcMar>
              <w:left w:w="57" w:type="dxa"/>
              <w:right w:w="57" w:type="dxa"/>
            </w:tcMar>
            <w:vAlign w:val="center"/>
          </w:tcPr>
          <w:p w14:paraId="5948ACE7" w14:textId="555442BF" w:rsidR="005C7359" w:rsidRPr="00662906" w:rsidRDefault="003F7181" w:rsidP="00904CD3">
            <w:pPr>
              <w:spacing w:before="40" w:after="40"/>
              <w:jc w:val="center"/>
              <w:rPr>
                <w:rFonts w:eastAsia="Arial" w:cs="Arial"/>
                <w:color w:val="394A58"/>
                <w:sz w:val="17"/>
                <w:szCs w:val="17"/>
              </w:rPr>
            </w:pPr>
            <w:r w:rsidRPr="00662906">
              <w:rPr>
                <w:rFonts w:eastAsia="Arial" w:cs="Arial"/>
                <w:color w:val="394A58"/>
                <w:sz w:val="17"/>
                <w:szCs w:val="17"/>
              </w:rPr>
              <w:t>1</w:t>
            </w:r>
          </w:p>
        </w:tc>
        <w:tc>
          <w:tcPr>
            <w:tcW w:w="2551" w:type="dxa"/>
            <w:shd w:val="clear" w:color="auto" w:fill="FFFFFF" w:themeFill="background2"/>
            <w:tcMar>
              <w:left w:w="57" w:type="dxa"/>
              <w:right w:w="57" w:type="dxa"/>
            </w:tcMar>
            <w:vAlign w:val="center"/>
          </w:tcPr>
          <w:p w14:paraId="541E0CA2" w14:textId="7E37DC13" w:rsidR="005C7359" w:rsidRPr="00662906" w:rsidRDefault="005C7359" w:rsidP="00DB46D5">
            <w:pPr>
              <w:spacing w:before="40" w:after="40"/>
              <w:jc w:val="center"/>
              <w:rPr>
                <w:rFonts w:eastAsia="Arial" w:cs="Arial"/>
                <w:sz w:val="17"/>
                <w:szCs w:val="17"/>
              </w:rPr>
            </w:pPr>
            <w:r w:rsidRPr="00662906">
              <w:rPr>
                <w:rFonts w:eastAsia="Arial" w:cs="Arial"/>
                <w:sz w:val="17"/>
                <w:szCs w:val="17"/>
              </w:rPr>
              <w:t>Lack of political commitment to energy transition.</w:t>
            </w:r>
          </w:p>
        </w:tc>
        <w:tc>
          <w:tcPr>
            <w:tcW w:w="851" w:type="dxa"/>
            <w:shd w:val="clear" w:color="auto" w:fill="FFFFFF" w:themeFill="background2"/>
            <w:tcMar>
              <w:left w:w="57" w:type="dxa"/>
              <w:right w:w="57" w:type="dxa"/>
            </w:tcMar>
            <w:vAlign w:val="center"/>
          </w:tcPr>
          <w:p w14:paraId="1DDB12A9" w14:textId="77777777" w:rsidR="005C7359" w:rsidRPr="00662906" w:rsidRDefault="005C7359" w:rsidP="00DB46D5">
            <w:pPr>
              <w:spacing w:before="40" w:after="40"/>
              <w:jc w:val="center"/>
              <w:rPr>
                <w:rFonts w:eastAsia="Arial" w:cs="Arial"/>
                <w:sz w:val="17"/>
                <w:szCs w:val="17"/>
              </w:rPr>
            </w:pPr>
            <w:r w:rsidRPr="00662906">
              <w:rPr>
                <w:rFonts w:eastAsia="Arial" w:cs="Arial"/>
                <w:sz w:val="17"/>
                <w:szCs w:val="17"/>
              </w:rPr>
              <w:t>Medium</w:t>
            </w:r>
          </w:p>
          <w:p w14:paraId="1FD78037" w14:textId="77777777" w:rsidR="005C7359" w:rsidRPr="00662906" w:rsidRDefault="005C7359" w:rsidP="00DB46D5">
            <w:pPr>
              <w:spacing w:before="40" w:after="40"/>
              <w:jc w:val="center"/>
              <w:rPr>
                <w:rFonts w:eastAsia="Arial" w:cs="Arial"/>
                <w:sz w:val="17"/>
                <w:szCs w:val="17"/>
              </w:rPr>
            </w:pPr>
          </w:p>
        </w:tc>
        <w:tc>
          <w:tcPr>
            <w:tcW w:w="992" w:type="dxa"/>
            <w:shd w:val="clear" w:color="auto" w:fill="FFFFFF" w:themeFill="background2"/>
            <w:vAlign w:val="center"/>
          </w:tcPr>
          <w:p w14:paraId="295E7DE5" w14:textId="7867A6AC" w:rsidR="005C7359" w:rsidRPr="00662906" w:rsidRDefault="005C7359"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291091B6" w14:textId="18511991" w:rsidR="005C7359" w:rsidRPr="00662906" w:rsidRDefault="00642AC2" w:rsidP="005C7359">
            <w:pPr>
              <w:spacing w:before="40" w:after="40"/>
              <w:jc w:val="left"/>
              <w:rPr>
                <w:rFonts w:eastAsia="Arial" w:cs="Arial"/>
                <w:sz w:val="17"/>
                <w:szCs w:val="17"/>
              </w:rPr>
            </w:pPr>
            <w:r w:rsidRPr="00662906">
              <w:rPr>
                <w:rFonts w:eastAsia="Arial" w:cs="Arial"/>
                <w:sz w:val="17"/>
                <w:szCs w:val="17"/>
              </w:rPr>
              <w:t>Strengthen high-level political engagement through AU frameworks. Promote intergovernmental agreements and commitments on energy transition.</w:t>
            </w:r>
          </w:p>
        </w:tc>
      </w:tr>
      <w:tr w:rsidR="00B37E28" w:rsidRPr="00662906" w14:paraId="564306CE" w14:textId="77777777" w:rsidTr="00904CD3">
        <w:trPr>
          <w:trHeight w:val="63"/>
        </w:trPr>
        <w:tc>
          <w:tcPr>
            <w:tcW w:w="423" w:type="dxa"/>
            <w:shd w:val="clear" w:color="auto" w:fill="FFFFFF" w:themeFill="background2"/>
            <w:tcMar>
              <w:left w:w="57" w:type="dxa"/>
              <w:right w:w="57" w:type="dxa"/>
            </w:tcMar>
            <w:vAlign w:val="center"/>
          </w:tcPr>
          <w:p w14:paraId="06980513" w14:textId="6FBB3BC0"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2</w:t>
            </w:r>
          </w:p>
        </w:tc>
        <w:tc>
          <w:tcPr>
            <w:tcW w:w="2551" w:type="dxa"/>
            <w:shd w:val="clear" w:color="auto" w:fill="FFFFFF" w:themeFill="background2"/>
            <w:tcMar>
              <w:left w:w="57" w:type="dxa"/>
              <w:right w:w="57" w:type="dxa"/>
            </w:tcMar>
            <w:vAlign w:val="center"/>
          </w:tcPr>
          <w:p w14:paraId="11074BB3" w14:textId="56D2AA53" w:rsidR="00B37E28" w:rsidRPr="00662906" w:rsidRDefault="00B37E28" w:rsidP="00DB46D5">
            <w:pPr>
              <w:spacing w:before="40" w:after="40"/>
              <w:jc w:val="center"/>
              <w:rPr>
                <w:rFonts w:eastAsia="Arial" w:cs="Arial"/>
                <w:sz w:val="17"/>
                <w:szCs w:val="17"/>
              </w:rPr>
            </w:pPr>
            <w:r w:rsidRPr="00662906">
              <w:rPr>
                <w:rFonts w:eastAsia="Arial" w:cs="Arial"/>
                <w:sz w:val="17"/>
                <w:szCs w:val="17"/>
              </w:rPr>
              <w:t>Inadequate policy and regulatory frameworks supporting energy transition.</w:t>
            </w:r>
          </w:p>
        </w:tc>
        <w:tc>
          <w:tcPr>
            <w:tcW w:w="851" w:type="dxa"/>
            <w:shd w:val="clear" w:color="auto" w:fill="FFFFFF" w:themeFill="background2"/>
            <w:tcMar>
              <w:left w:w="57" w:type="dxa"/>
              <w:right w:w="57" w:type="dxa"/>
            </w:tcMar>
            <w:vAlign w:val="center"/>
          </w:tcPr>
          <w:p w14:paraId="22704532" w14:textId="77777777"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p w14:paraId="5FEFC26E" w14:textId="77777777" w:rsidR="00B37E28" w:rsidRPr="00662906" w:rsidRDefault="00B37E28" w:rsidP="00DB46D5">
            <w:pPr>
              <w:spacing w:before="40" w:after="40"/>
              <w:jc w:val="center"/>
              <w:rPr>
                <w:rFonts w:eastAsia="Arial" w:cs="Arial"/>
                <w:sz w:val="17"/>
                <w:szCs w:val="17"/>
              </w:rPr>
            </w:pPr>
          </w:p>
        </w:tc>
        <w:tc>
          <w:tcPr>
            <w:tcW w:w="992" w:type="dxa"/>
            <w:shd w:val="clear" w:color="auto" w:fill="FFFFFF" w:themeFill="background2"/>
            <w:vAlign w:val="center"/>
          </w:tcPr>
          <w:p w14:paraId="0C02DCD7" w14:textId="481B5EF6" w:rsidR="00B37E28" w:rsidRPr="00662906" w:rsidRDefault="00B37E28"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64DEE6A4" w14:textId="6779AFB5" w:rsidR="00B37E28" w:rsidRPr="00662906" w:rsidRDefault="00B37E28" w:rsidP="00B37E28">
            <w:pPr>
              <w:spacing w:before="40" w:after="40"/>
              <w:jc w:val="left"/>
              <w:rPr>
                <w:rFonts w:eastAsia="Arial" w:cs="Arial"/>
                <w:sz w:val="17"/>
                <w:szCs w:val="17"/>
              </w:rPr>
            </w:pPr>
            <w:r w:rsidRPr="00662906">
              <w:rPr>
                <w:rFonts w:eastAsia="Arial" w:cs="Arial"/>
                <w:sz w:val="17"/>
                <w:szCs w:val="17"/>
              </w:rPr>
              <w:t>Align national policies with continental strategies like AfSEM, AfEES and CMP. Develop regulatory reforms that encourage clean energy investment.</w:t>
            </w:r>
          </w:p>
        </w:tc>
      </w:tr>
      <w:tr w:rsidR="00B37E28" w:rsidRPr="00662906" w14:paraId="18568830" w14:textId="77777777" w:rsidTr="00904CD3">
        <w:trPr>
          <w:trHeight w:val="63"/>
        </w:trPr>
        <w:tc>
          <w:tcPr>
            <w:tcW w:w="423" w:type="dxa"/>
            <w:shd w:val="clear" w:color="auto" w:fill="FFFFFF" w:themeFill="background2"/>
            <w:tcMar>
              <w:left w:w="57" w:type="dxa"/>
              <w:right w:w="57" w:type="dxa"/>
            </w:tcMar>
            <w:vAlign w:val="center"/>
          </w:tcPr>
          <w:p w14:paraId="1093DC8C" w14:textId="7CF01F38"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3</w:t>
            </w:r>
          </w:p>
        </w:tc>
        <w:tc>
          <w:tcPr>
            <w:tcW w:w="2551" w:type="dxa"/>
            <w:shd w:val="clear" w:color="auto" w:fill="FFFFFF" w:themeFill="background2"/>
            <w:tcMar>
              <w:left w:w="57" w:type="dxa"/>
              <w:right w:w="57" w:type="dxa"/>
            </w:tcMar>
            <w:vAlign w:val="center"/>
          </w:tcPr>
          <w:p w14:paraId="1380A9A0" w14:textId="573B7064" w:rsidR="00B37E28" w:rsidRPr="00662906" w:rsidRDefault="00B37E28" w:rsidP="00DB46D5">
            <w:pPr>
              <w:spacing w:before="40" w:after="40"/>
              <w:jc w:val="center"/>
              <w:rPr>
                <w:rFonts w:eastAsia="Arial" w:cs="Arial"/>
                <w:sz w:val="17"/>
                <w:szCs w:val="17"/>
              </w:rPr>
            </w:pPr>
            <w:r w:rsidRPr="00662906">
              <w:rPr>
                <w:rFonts w:eastAsia="Arial" w:cs="Arial"/>
                <w:sz w:val="17"/>
                <w:szCs w:val="17"/>
              </w:rPr>
              <w:t>Weak institutional capacity for implementation and monitoring.</w:t>
            </w:r>
          </w:p>
        </w:tc>
        <w:tc>
          <w:tcPr>
            <w:tcW w:w="851" w:type="dxa"/>
            <w:shd w:val="clear" w:color="auto" w:fill="FFFFFF" w:themeFill="background2"/>
            <w:tcMar>
              <w:left w:w="57" w:type="dxa"/>
              <w:right w:w="57" w:type="dxa"/>
            </w:tcMar>
            <w:vAlign w:val="center"/>
          </w:tcPr>
          <w:p w14:paraId="413650F8" w14:textId="77777777"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p w14:paraId="49F80C88" w14:textId="77777777" w:rsidR="00B37E28" w:rsidRPr="00662906" w:rsidRDefault="00B37E28" w:rsidP="00DB46D5">
            <w:pPr>
              <w:spacing w:before="40" w:after="40"/>
              <w:jc w:val="center"/>
              <w:rPr>
                <w:rFonts w:eastAsia="Arial" w:cs="Arial"/>
                <w:sz w:val="17"/>
                <w:szCs w:val="17"/>
              </w:rPr>
            </w:pPr>
          </w:p>
        </w:tc>
        <w:tc>
          <w:tcPr>
            <w:tcW w:w="992" w:type="dxa"/>
            <w:shd w:val="clear" w:color="auto" w:fill="FFFFFF" w:themeFill="background2"/>
            <w:vAlign w:val="center"/>
          </w:tcPr>
          <w:p w14:paraId="4C059A18" w14:textId="5BCD1415" w:rsidR="00B37E28" w:rsidRPr="00662906" w:rsidRDefault="00B37E28"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0DF558A6" w14:textId="008D20C3" w:rsidR="00B37E28" w:rsidRPr="00662906" w:rsidRDefault="00B37E28" w:rsidP="00B37E28">
            <w:pPr>
              <w:spacing w:before="40" w:after="40"/>
              <w:jc w:val="left"/>
              <w:rPr>
                <w:rFonts w:eastAsia="Arial" w:cs="Arial"/>
                <w:sz w:val="17"/>
                <w:szCs w:val="17"/>
              </w:rPr>
            </w:pPr>
            <w:r w:rsidRPr="00662906">
              <w:rPr>
                <w:rFonts w:eastAsia="Arial" w:cs="Arial"/>
                <w:sz w:val="17"/>
                <w:szCs w:val="17"/>
              </w:rPr>
              <w:t>Invest in capacity-building programs and provide technical assistance for project planning, implementation, and monitoring.</w:t>
            </w:r>
          </w:p>
        </w:tc>
      </w:tr>
      <w:tr w:rsidR="00B37E28" w:rsidRPr="00662906" w14:paraId="48DD275D" w14:textId="77777777" w:rsidTr="00904CD3">
        <w:trPr>
          <w:trHeight w:val="63"/>
        </w:trPr>
        <w:tc>
          <w:tcPr>
            <w:tcW w:w="423" w:type="dxa"/>
            <w:shd w:val="clear" w:color="auto" w:fill="FFFFFF" w:themeFill="background2"/>
            <w:tcMar>
              <w:left w:w="57" w:type="dxa"/>
              <w:right w:w="57" w:type="dxa"/>
            </w:tcMar>
            <w:vAlign w:val="center"/>
          </w:tcPr>
          <w:p w14:paraId="4AB34F89" w14:textId="22EAABE5"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4</w:t>
            </w:r>
          </w:p>
        </w:tc>
        <w:tc>
          <w:tcPr>
            <w:tcW w:w="2551" w:type="dxa"/>
            <w:shd w:val="clear" w:color="auto" w:fill="FFFFFF" w:themeFill="background2"/>
            <w:tcMar>
              <w:left w:w="57" w:type="dxa"/>
              <w:right w:w="57" w:type="dxa"/>
            </w:tcMar>
            <w:vAlign w:val="center"/>
          </w:tcPr>
          <w:p w14:paraId="5BFF1A27" w14:textId="6ADD1402" w:rsidR="00B37E28" w:rsidRPr="00662906" w:rsidRDefault="00B37E28" w:rsidP="00DB46D5">
            <w:pPr>
              <w:spacing w:before="40" w:after="40"/>
              <w:jc w:val="center"/>
              <w:rPr>
                <w:rFonts w:eastAsia="Arial" w:cs="Arial"/>
                <w:sz w:val="17"/>
                <w:szCs w:val="17"/>
              </w:rPr>
            </w:pPr>
            <w:r w:rsidRPr="00662906">
              <w:rPr>
                <w:rFonts w:eastAsia="Arial" w:cs="Arial"/>
                <w:sz w:val="17"/>
                <w:szCs w:val="17"/>
              </w:rPr>
              <w:t>Limited stakeholder engagement and public acceptance of energy transition initiatives.</w:t>
            </w:r>
          </w:p>
        </w:tc>
        <w:tc>
          <w:tcPr>
            <w:tcW w:w="851" w:type="dxa"/>
            <w:shd w:val="clear" w:color="auto" w:fill="FFFFFF" w:themeFill="background2"/>
            <w:tcMar>
              <w:left w:w="57" w:type="dxa"/>
              <w:right w:w="57" w:type="dxa"/>
            </w:tcMar>
            <w:vAlign w:val="center"/>
          </w:tcPr>
          <w:p w14:paraId="649B2CC6" w14:textId="3D14D30B" w:rsidR="00B37E28" w:rsidRPr="00662906" w:rsidRDefault="00B37E28" w:rsidP="00DB46D5">
            <w:pPr>
              <w:spacing w:before="40" w:after="40"/>
              <w:jc w:val="center"/>
              <w:rPr>
                <w:rFonts w:eastAsia="Arial" w:cs="Arial"/>
                <w:sz w:val="17"/>
                <w:szCs w:val="17"/>
              </w:rPr>
            </w:pPr>
            <w:r w:rsidRPr="00662906">
              <w:rPr>
                <w:rFonts w:eastAsia="Arial" w:cs="Arial"/>
                <w:sz w:val="17"/>
                <w:szCs w:val="17"/>
              </w:rPr>
              <w:t>Low</w:t>
            </w:r>
          </w:p>
        </w:tc>
        <w:tc>
          <w:tcPr>
            <w:tcW w:w="992" w:type="dxa"/>
            <w:shd w:val="clear" w:color="auto" w:fill="FFFFFF" w:themeFill="background2"/>
            <w:vAlign w:val="center"/>
          </w:tcPr>
          <w:p w14:paraId="30118345" w14:textId="449387B8"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tc>
        <w:tc>
          <w:tcPr>
            <w:tcW w:w="4111" w:type="dxa"/>
            <w:shd w:val="clear" w:color="auto" w:fill="FFFFFF" w:themeFill="background2"/>
          </w:tcPr>
          <w:p w14:paraId="2AE5B1A7" w14:textId="10689559" w:rsidR="00B37E28" w:rsidRPr="00662906" w:rsidRDefault="00B37E28" w:rsidP="00B37E28">
            <w:pPr>
              <w:spacing w:before="40" w:after="40"/>
              <w:jc w:val="left"/>
              <w:rPr>
                <w:rFonts w:eastAsia="Arial" w:cs="Arial"/>
                <w:sz w:val="17"/>
                <w:szCs w:val="17"/>
              </w:rPr>
            </w:pPr>
            <w:r w:rsidRPr="00662906">
              <w:rPr>
                <w:rFonts w:eastAsia="Arial" w:cs="Arial"/>
                <w:sz w:val="17"/>
                <w:szCs w:val="17"/>
              </w:rPr>
              <w:t>Implement awareness campaigns, participatory planning, and inclusive policies that engage women, youth, and communities.</w:t>
            </w:r>
          </w:p>
        </w:tc>
      </w:tr>
      <w:tr w:rsidR="00B37E28" w:rsidRPr="00662906" w14:paraId="5003C96C" w14:textId="77777777" w:rsidTr="00904CD3">
        <w:trPr>
          <w:trHeight w:val="63"/>
        </w:trPr>
        <w:tc>
          <w:tcPr>
            <w:tcW w:w="423" w:type="dxa"/>
            <w:shd w:val="clear" w:color="auto" w:fill="FFFFFF" w:themeFill="background2"/>
            <w:tcMar>
              <w:left w:w="57" w:type="dxa"/>
              <w:right w:w="57" w:type="dxa"/>
            </w:tcMar>
            <w:vAlign w:val="center"/>
          </w:tcPr>
          <w:p w14:paraId="673BF080" w14:textId="1FD1301C"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5</w:t>
            </w:r>
          </w:p>
        </w:tc>
        <w:tc>
          <w:tcPr>
            <w:tcW w:w="2551" w:type="dxa"/>
            <w:shd w:val="clear" w:color="auto" w:fill="FFFFFF" w:themeFill="background2"/>
            <w:tcMar>
              <w:left w:w="57" w:type="dxa"/>
              <w:right w:w="57" w:type="dxa"/>
            </w:tcMar>
            <w:vAlign w:val="center"/>
          </w:tcPr>
          <w:p w14:paraId="018656EA" w14:textId="3376016E" w:rsidR="00B37E28" w:rsidRPr="00662906" w:rsidRDefault="00B37E28" w:rsidP="00DB46D5">
            <w:pPr>
              <w:spacing w:before="40" w:after="40"/>
              <w:jc w:val="center"/>
              <w:rPr>
                <w:rFonts w:eastAsia="Arial" w:cs="Arial"/>
                <w:sz w:val="17"/>
                <w:szCs w:val="17"/>
              </w:rPr>
            </w:pPr>
            <w:r w:rsidRPr="00662906">
              <w:rPr>
                <w:rFonts w:eastAsia="Arial" w:cs="Arial"/>
                <w:sz w:val="17"/>
                <w:szCs w:val="17"/>
              </w:rPr>
              <w:t>Data gaps and inadequate monitoring frameworks for tracking progress.</w:t>
            </w:r>
          </w:p>
        </w:tc>
        <w:tc>
          <w:tcPr>
            <w:tcW w:w="851" w:type="dxa"/>
            <w:shd w:val="clear" w:color="auto" w:fill="FFFFFF" w:themeFill="background2"/>
            <w:tcMar>
              <w:left w:w="57" w:type="dxa"/>
              <w:right w:w="57" w:type="dxa"/>
            </w:tcMar>
            <w:vAlign w:val="center"/>
          </w:tcPr>
          <w:p w14:paraId="19C0FE84" w14:textId="717BBCF9"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tc>
        <w:tc>
          <w:tcPr>
            <w:tcW w:w="992" w:type="dxa"/>
            <w:shd w:val="clear" w:color="auto" w:fill="FFFFFF" w:themeFill="background2"/>
            <w:vAlign w:val="center"/>
          </w:tcPr>
          <w:p w14:paraId="1BF0C794" w14:textId="330D85A8"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tc>
        <w:tc>
          <w:tcPr>
            <w:tcW w:w="4111" w:type="dxa"/>
            <w:shd w:val="clear" w:color="auto" w:fill="FFFFFF" w:themeFill="background2"/>
          </w:tcPr>
          <w:p w14:paraId="7F252B87" w14:textId="3381FF67" w:rsidR="00B37E28" w:rsidRPr="00662906" w:rsidRDefault="00B37E28" w:rsidP="00B37E28">
            <w:pPr>
              <w:spacing w:before="40" w:after="40"/>
              <w:jc w:val="left"/>
              <w:rPr>
                <w:rFonts w:eastAsia="Arial" w:cs="Arial"/>
                <w:sz w:val="17"/>
                <w:szCs w:val="17"/>
              </w:rPr>
            </w:pPr>
            <w:r w:rsidRPr="00662906">
              <w:rPr>
                <w:rFonts w:eastAsia="Arial" w:cs="Arial"/>
                <w:sz w:val="17"/>
                <w:szCs w:val="17"/>
              </w:rPr>
              <w:t>Develop robust M&amp;E systems. Strengthen data collection and reporting frameworks.</w:t>
            </w:r>
          </w:p>
        </w:tc>
      </w:tr>
      <w:tr w:rsidR="00B37E28" w:rsidRPr="00662906" w14:paraId="31286A15" w14:textId="77777777" w:rsidTr="00904CD3">
        <w:trPr>
          <w:trHeight w:val="63"/>
        </w:trPr>
        <w:tc>
          <w:tcPr>
            <w:tcW w:w="423" w:type="dxa"/>
            <w:shd w:val="clear" w:color="auto" w:fill="FFFFFF" w:themeFill="background2"/>
            <w:tcMar>
              <w:left w:w="57" w:type="dxa"/>
              <w:right w:w="57" w:type="dxa"/>
            </w:tcMar>
            <w:vAlign w:val="center"/>
          </w:tcPr>
          <w:p w14:paraId="3C5321B5" w14:textId="54FCE6D7"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6</w:t>
            </w:r>
          </w:p>
        </w:tc>
        <w:tc>
          <w:tcPr>
            <w:tcW w:w="2551" w:type="dxa"/>
            <w:shd w:val="clear" w:color="auto" w:fill="FFFFFF" w:themeFill="background2"/>
            <w:tcMar>
              <w:left w:w="57" w:type="dxa"/>
              <w:right w:w="57" w:type="dxa"/>
            </w:tcMar>
            <w:vAlign w:val="center"/>
          </w:tcPr>
          <w:p w14:paraId="5C40DEB0" w14:textId="3E55731C" w:rsidR="00B37E28" w:rsidRPr="00662906" w:rsidRDefault="00B37E28" w:rsidP="00DB46D5">
            <w:pPr>
              <w:spacing w:before="40" w:after="40"/>
              <w:jc w:val="center"/>
              <w:rPr>
                <w:rFonts w:eastAsia="Arial" w:cs="Arial"/>
                <w:sz w:val="17"/>
                <w:szCs w:val="17"/>
              </w:rPr>
            </w:pPr>
            <w:r w:rsidRPr="00662906">
              <w:rPr>
                <w:rFonts w:eastAsia="Arial" w:cs="Arial"/>
                <w:sz w:val="17"/>
                <w:szCs w:val="17"/>
              </w:rPr>
              <w:t>Geopolitical instability and regional conflicts disrupting energy infrastructure projects.</w:t>
            </w:r>
          </w:p>
        </w:tc>
        <w:tc>
          <w:tcPr>
            <w:tcW w:w="851" w:type="dxa"/>
            <w:shd w:val="clear" w:color="auto" w:fill="FFFFFF" w:themeFill="background2"/>
            <w:tcMar>
              <w:left w:w="57" w:type="dxa"/>
              <w:right w:w="57" w:type="dxa"/>
            </w:tcMar>
            <w:vAlign w:val="center"/>
          </w:tcPr>
          <w:p w14:paraId="40B138C7" w14:textId="77777777" w:rsidR="00B37E28" w:rsidRPr="00662906" w:rsidRDefault="00B37E28" w:rsidP="00DB46D5">
            <w:pPr>
              <w:spacing w:before="40" w:after="40"/>
              <w:jc w:val="center"/>
              <w:rPr>
                <w:rFonts w:eastAsia="Arial" w:cs="Arial"/>
                <w:sz w:val="17"/>
                <w:szCs w:val="17"/>
              </w:rPr>
            </w:pPr>
            <w:r w:rsidRPr="00662906">
              <w:rPr>
                <w:rFonts w:eastAsia="Arial" w:cs="Arial"/>
                <w:sz w:val="17"/>
                <w:szCs w:val="17"/>
              </w:rPr>
              <w:t>Medium</w:t>
            </w:r>
          </w:p>
          <w:p w14:paraId="3FAC0025" w14:textId="77777777" w:rsidR="00B37E28" w:rsidRPr="00662906" w:rsidRDefault="00B37E28" w:rsidP="00DB46D5">
            <w:pPr>
              <w:spacing w:before="40" w:after="40"/>
              <w:jc w:val="center"/>
              <w:rPr>
                <w:rFonts w:eastAsia="Arial" w:cs="Arial"/>
                <w:sz w:val="17"/>
                <w:szCs w:val="17"/>
              </w:rPr>
            </w:pPr>
          </w:p>
        </w:tc>
        <w:tc>
          <w:tcPr>
            <w:tcW w:w="992" w:type="dxa"/>
            <w:shd w:val="clear" w:color="auto" w:fill="FFFFFF" w:themeFill="background2"/>
            <w:vAlign w:val="center"/>
          </w:tcPr>
          <w:p w14:paraId="448E6F19" w14:textId="69DC0301" w:rsidR="00B37E28" w:rsidRPr="00662906" w:rsidRDefault="00B37E28"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2748DBE3" w14:textId="2CCB791B" w:rsidR="00B37E28" w:rsidRPr="00662906" w:rsidRDefault="00B37E28" w:rsidP="00B37E28">
            <w:pPr>
              <w:spacing w:before="40" w:after="40"/>
              <w:jc w:val="left"/>
              <w:rPr>
                <w:rFonts w:eastAsia="Arial" w:cs="Arial"/>
                <w:sz w:val="17"/>
                <w:szCs w:val="17"/>
              </w:rPr>
            </w:pPr>
            <w:r w:rsidRPr="00662906">
              <w:rPr>
                <w:rFonts w:eastAsia="Arial" w:cs="Arial"/>
                <w:sz w:val="17"/>
                <w:szCs w:val="17"/>
              </w:rPr>
              <w:t>Enhance regional cooperation for conflict resolution. Build resilient infrastructure with contingency plans for disruptions.</w:t>
            </w:r>
          </w:p>
        </w:tc>
      </w:tr>
      <w:tr w:rsidR="00B37E28" w:rsidRPr="00662906" w14:paraId="2649D969" w14:textId="77777777" w:rsidTr="00904CD3">
        <w:trPr>
          <w:trHeight w:val="63"/>
        </w:trPr>
        <w:tc>
          <w:tcPr>
            <w:tcW w:w="8928" w:type="dxa"/>
            <w:gridSpan w:val="5"/>
            <w:shd w:val="clear" w:color="auto" w:fill="F0ECE1" w:themeFill="text2" w:themeFillTint="33"/>
            <w:tcMar>
              <w:left w:w="57" w:type="dxa"/>
              <w:right w:w="57" w:type="dxa"/>
            </w:tcMar>
            <w:vAlign w:val="center"/>
          </w:tcPr>
          <w:p w14:paraId="3D84AF67" w14:textId="47994B50" w:rsidR="00B37E28" w:rsidRPr="00662906" w:rsidRDefault="00B37E28" w:rsidP="00904CD3">
            <w:pPr>
              <w:pStyle w:val="ListParagraph"/>
              <w:numPr>
                <w:ilvl w:val="0"/>
                <w:numId w:val="56"/>
              </w:numPr>
              <w:spacing w:before="40" w:after="40"/>
              <w:ind w:left="366"/>
              <w:jc w:val="center"/>
              <w:rPr>
                <w:rFonts w:eastAsia="Arial" w:cs="Arial"/>
                <w:b/>
                <w:bCs/>
                <w:sz w:val="17"/>
                <w:szCs w:val="17"/>
              </w:rPr>
            </w:pPr>
            <w:r w:rsidRPr="00662906">
              <w:rPr>
                <w:rFonts w:eastAsia="Arial" w:cs="Arial"/>
                <w:b/>
                <w:bCs/>
                <w:sz w:val="17"/>
                <w:szCs w:val="17"/>
              </w:rPr>
              <w:t>Financial Risks</w:t>
            </w:r>
          </w:p>
        </w:tc>
      </w:tr>
      <w:tr w:rsidR="00B37E28" w:rsidRPr="00662906" w14:paraId="3086B4D8" w14:textId="77777777" w:rsidTr="00904CD3">
        <w:trPr>
          <w:trHeight w:val="63"/>
        </w:trPr>
        <w:tc>
          <w:tcPr>
            <w:tcW w:w="423" w:type="dxa"/>
            <w:shd w:val="clear" w:color="auto" w:fill="FFFFFF" w:themeFill="background2"/>
            <w:tcMar>
              <w:left w:w="57" w:type="dxa"/>
              <w:right w:w="57" w:type="dxa"/>
            </w:tcMar>
            <w:vAlign w:val="center"/>
          </w:tcPr>
          <w:p w14:paraId="7A26668F" w14:textId="19FF0A04" w:rsidR="00B37E28" w:rsidRPr="00662906" w:rsidRDefault="00B37E28" w:rsidP="00904CD3">
            <w:pPr>
              <w:spacing w:before="40" w:after="40"/>
              <w:jc w:val="center"/>
              <w:rPr>
                <w:rFonts w:eastAsia="Arial" w:cs="Arial"/>
                <w:color w:val="394A58"/>
                <w:sz w:val="17"/>
                <w:szCs w:val="17"/>
              </w:rPr>
            </w:pPr>
            <w:r w:rsidRPr="00662906">
              <w:rPr>
                <w:rFonts w:eastAsia="Arial" w:cs="Arial"/>
                <w:color w:val="394A58"/>
                <w:sz w:val="17"/>
                <w:szCs w:val="17"/>
              </w:rPr>
              <w:t>1</w:t>
            </w:r>
          </w:p>
        </w:tc>
        <w:tc>
          <w:tcPr>
            <w:tcW w:w="2551" w:type="dxa"/>
            <w:shd w:val="clear" w:color="auto" w:fill="FFFFFF" w:themeFill="background2"/>
            <w:tcMar>
              <w:left w:w="57" w:type="dxa"/>
              <w:right w:w="57" w:type="dxa"/>
            </w:tcMar>
            <w:vAlign w:val="center"/>
          </w:tcPr>
          <w:p w14:paraId="2E397EDA" w14:textId="2FDF935A" w:rsidR="00B37E28" w:rsidRPr="00662906" w:rsidRDefault="00B37E28" w:rsidP="00DB46D5">
            <w:pPr>
              <w:spacing w:before="40" w:after="40"/>
              <w:jc w:val="center"/>
              <w:rPr>
                <w:rFonts w:eastAsia="Arial" w:cs="Arial"/>
                <w:sz w:val="17"/>
                <w:szCs w:val="17"/>
              </w:rPr>
            </w:pPr>
            <w:r w:rsidRPr="00662906">
              <w:rPr>
                <w:rFonts w:eastAsia="Arial" w:cs="Arial"/>
                <w:sz w:val="17"/>
                <w:szCs w:val="17"/>
              </w:rPr>
              <w:t>Insufficient access to financing for clean energy projects.</w:t>
            </w:r>
          </w:p>
        </w:tc>
        <w:tc>
          <w:tcPr>
            <w:tcW w:w="851" w:type="dxa"/>
            <w:shd w:val="clear" w:color="auto" w:fill="FFFFFF" w:themeFill="background2"/>
            <w:tcMar>
              <w:left w:w="57" w:type="dxa"/>
              <w:right w:w="57" w:type="dxa"/>
            </w:tcMar>
            <w:vAlign w:val="center"/>
          </w:tcPr>
          <w:p w14:paraId="6EC43142" w14:textId="061C7C81" w:rsidR="00B37E28" w:rsidRPr="00662906" w:rsidRDefault="00B37E28" w:rsidP="00DB46D5">
            <w:pPr>
              <w:spacing w:before="40" w:after="40"/>
              <w:jc w:val="center"/>
              <w:rPr>
                <w:rFonts w:eastAsia="Arial" w:cs="Arial"/>
                <w:sz w:val="17"/>
                <w:szCs w:val="17"/>
              </w:rPr>
            </w:pPr>
            <w:r w:rsidRPr="00662906">
              <w:rPr>
                <w:rFonts w:eastAsia="Arial" w:cs="Arial"/>
                <w:sz w:val="17"/>
                <w:szCs w:val="17"/>
              </w:rPr>
              <w:t>High</w:t>
            </w:r>
          </w:p>
        </w:tc>
        <w:tc>
          <w:tcPr>
            <w:tcW w:w="992" w:type="dxa"/>
            <w:shd w:val="clear" w:color="auto" w:fill="FFFFFF" w:themeFill="background2"/>
            <w:vAlign w:val="center"/>
          </w:tcPr>
          <w:p w14:paraId="77A2966D" w14:textId="0DE1043C" w:rsidR="00B37E28" w:rsidRPr="00662906" w:rsidRDefault="00B37E28"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3371D1B4" w14:textId="0C6C1B16" w:rsidR="00B37E28" w:rsidRPr="00662906" w:rsidRDefault="00B37E28" w:rsidP="00B37E28">
            <w:pPr>
              <w:spacing w:before="40" w:after="40"/>
              <w:jc w:val="left"/>
              <w:rPr>
                <w:rFonts w:eastAsia="Arial" w:cs="Arial"/>
                <w:sz w:val="17"/>
                <w:szCs w:val="17"/>
              </w:rPr>
            </w:pPr>
            <w:r w:rsidRPr="00662906">
              <w:rPr>
                <w:rFonts w:eastAsia="Arial" w:cs="Arial"/>
                <w:sz w:val="17"/>
                <w:szCs w:val="17"/>
              </w:rPr>
              <w:t>Promote blended finance mechanisms, green bonds, and climate finance. De-risk investments via partnerships and guarantees.</w:t>
            </w:r>
          </w:p>
        </w:tc>
      </w:tr>
      <w:tr w:rsidR="00FA2E17" w:rsidRPr="00662906" w14:paraId="7893C954" w14:textId="77777777" w:rsidTr="00904CD3">
        <w:trPr>
          <w:trHeight w:val="63"/>
        </w:trPr>
        <w:tc>
          <w:tcPr>
            <w:tcW w:w="423" w:type="dxa"/>
            <w:shd w:val="clear" w:color="auto" w:fill="FFFFFF" w:themeFill="background2"/>
            <w:tcMar>
              <w:left w:w="57" w:type="dxa"/>
              <w:right w:w="57" w:type="dxa"/>
            </w:tcMar>
            <w:vAlign w:val="center"/>
          </w:tcPr>
          <w:p w14:paraId="25B75DDF" w14:textId="064F4361"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2</w:t>
            </w:r>
          </w:p>
        </w:tc>
        <w:tc>
          <w:tcPr>
            <w:tcW w:w="2551" w:type="dxa"/>
            <w:shd w:val="clear" w:color="auto" w:fill="FFFFFF" w:themeFill="background2"/>
            <w:tcMar>
              <w:left w:w="57" w:type="dxa"/>
              <w:right w:w="57" w:type="dxa"/>
            </w:tcMar>
            <w:vAlign w:val="center"/>
          </w:tcPr>
          <w:p w14:paraId="06990A55" w14:textId="393AE829" w:rsidR="00FA2E17" w:rsidRPr="00662906" w:rsidRDefault="00FA2E17" w:rsidP="00DB46D5">
            <w:pPr>
              <w:spacing w:before="40" w:after="40"/>
              <w:jc w:val="center"/>
              <w:rPr>
                <w:rFonts w:eastAsia="Arial" w:cs="Arial"/>
                <w:sz w:val="17"/>
                <w:szCs w:val="17"/>
              </w:rPr>
            </w:pPr>
            <w:r w:rsidRPr="00662906">
              <w:rPr>
                <w:rFonts w:eastAsia="Arial" w:cs="Arial"/>
                <w:sz w:val="17"/>
                <w:szCs w:val="17"/>
              </w:rPr>
              <w:t>Limited Financial Viability of Energy Utilities and Off-Takers</w:t>
            </w:r>
          </w:p>
        </w:tc>
        <w:tc>
          <w:tcPr>
            <w:tcW w:w="851" w:type="dxa"/>
            <w:shd w:val="clear" w:color="auto" w:fill="FFFFFF" w:themeFill="background2"/>
            <w:tcMar>
              <w:left w:w="57" w:type="dxa"/>
              <w:right w:w="57" w:type="dxa"/>
            </w:tcMar>
            <w:vAlign w:val="center"/>
          </w:tcPr>
          <w:p w14:paraId="382E1BF2" w14:textId="01976F36"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992" w:type="dxa"/>
            <w:shd w:val="clear" w:color="auto" w:fill="FFFFFF" w:themeFill="background2"/>
            <w:vAlign w:val="center"/>
          </w:tcPr>
          <w:p w14:paraId="5BF2EE2D" w14:textId="29921F38"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11A81755" w14:textId="2F403404" w:rsidR="00FA2E17" w:rsidRPr="00662906" w:rsidRDefault="00200BEA" w:rsidP="00FA2E17">
            <w:pPr>
              <w:spacing w:before="40" w:after="40"/>
              <w:jc w:val="left"/>
              <w:rPr>
                <w:rFonts w:eastAsia="Arial" w:cs="Arial"/>
                <w:sz w:val="17"/>
                <w:szCs w:val="17"/>
              </w:rPr>
            </w:pPr>
            <w:r w:rsidRPr="00662906">
              <w:rPr>
                <w:rFonts w:eastAsia="Arial" w:cs="Arial"/>
                <w:sz w:val="17"/>
                <w:szCs w:val="17"/>
              </w:rPr>
              <w:t>Strengthen utility financial management, introduce cost-reflective tariffs while ensuring affordability through targeted subsidies, and develop guarantees and risk-sharing mechanisms to improve off-taker credibility and attract investment.</w:t>
            </w:r>
          </w:p>
        </w:tc>
      </w:tr>
      <w:tr w:rsidR="00FA2E17" w:rsidRPr="00662906" w14:paraId="3380A688" w14:textId="77777777" w:rsidTr="00904CD3">
        <w:trPr>
          <w:trHeight w:val="63"/>
        </w:trPr>
        <w:tc>
          <w:tcPr>
            <w:tcW w:w="8928" w:type="dxa"/>
            <w:gridSpan w:val="5"/>
            <w:shd w:val="clear" w:color="auto" w:fill="F0ECE1" w:themeFill="text2" w:themeFillTint="33"/>
            <w:tcMar>
              <w:left w:w="57" w:type="dxa"/>
              <w:right w:w="57" w:type="dxa"/>
            </w:tcMar>
            <w:vAlign w:val="center"/>
          </w:tcPr>
          <w:p w14:paraId="65A985D8" w14:textId="4C8C150B" w:rsidR="00FA2E17" w:rsidRPr="00662906" w:rsidRDefault="00FA2E17" w:rsidP="00904CD3">
            <w:pPr>
              <w:pStyle w:val="ListParagraph"/>
              <w:numPr>
                <w:ilvl w:val="0"/>
                <w:numId w:val="56"/>
              </w:numPr>
              <w:spacing w:before="40" w:after="40"/>
              <w:ind w:left="366"/>
              <w:jc w:val="center"/>
              <w:rPr>
                <w:rFonts w:eastAsia="Arial" w:cs="Arial"/>
                <w:b/>
                <w:bCs/>
                <w:sz w:val="17"/>
                <w:szCs w:val="17"/>
              </w:rPr>
            </w:pPr>
            <w:r w:rsidRPr="00662906">
              <w:rPr>
                <w:rFonts w:eastAsia="Arial" w:cs="Arial"/>
                <w:b/>
                <w:bCs/>
                <w:sz w:val="17"/>
                <w:szCs w:val="17"/>
              </w:rPr>
              <w:t>Operational Risks</w:t>
            </w:r>
          </w:p>
        </w:tc>
      </w:tr>
      <w:tr w:rsidR="00FA2E17" w:rsidRPr="00662906" w14:paraId="6E985D32" w14:textId="77777777" w:rsidTr="00904CD3">
        <w:trPr>
          <w:trHeight w:val="63"/>
        </w:trPr>
        <w:tc>
          <w:tcPr>
            <w:tcW w:w="423" w:type="dxa"/>
            <w:shd w:val="clear" w:color="auto" w:fill="FFFFFF" w:themeFill="background2"/>
            <w:tcMar>
              <w:left w:w="57" w:type="dxa"/>
              <w:right w:w="57" w:type="dxa"/>
            </w:tcMar>
            <w:vAlign w:val="center"/>
          </w:tcPr>
          <w:p w14:paraId="69817AEF" w14:textId="7E5652C7"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1</w:t>
            </w:r>
          </w:p>
        </w:tc>
        <w:tc>
          <w:tcPr>
            <w:tcW w:w="2551" w:type="dxa"/>
            <w:shd w:val="clear" w:color="auto" w:fill="FFFFFF" w:themeFill="background2"/>
            <w:tcMar>
              <w:left w:w="57" w:type="dxa"/>
              <w:right w:w="57" w:type="dxa"/>
            </w:tcMar>
            <w:vAlign w:val="center"/>
          </w:tcPr>
          <w:p w14:paraId="27560043" w14:textId="6F2DBFAD" w:rsidR="00FA2E17" w:rsidRPr="00662906" w:rsidRDefault="00FA2E17" w:rsidP="00DB46D5">
            <w:pPr>
              <w:spacing w:before="40" w:after="40"/>
              <w:jc w:val="center"/>
              <w:rPr>
                <w:rFonts w:eastAsia="Arial" w:cs="Arial"/>
                <w:sz w:val="17"/>
                <w:szCs w:val="17"/>
              </w:rPr>
            </w:pPr>
            <w:r w:rsidRPr="00662906">
              <w:rPr>
                <w:rFonts w:eastAsia="Arial" w:cs="Arial"/>
                <w:sz w:val="17"/>
                <w:szCs w:val="17"/>
              </w:rPr>
              <w:t>Technological barriers and slow innovation adoption.</w:t>
            </w:r>
          </w:p>
        </w:tc>
        <w:tc>
          <w:tcPr>
            <w:tcW w:w="851" w:type="dxa"/>
            <w:shd w:val="clear" w:color="auto" w:fill="FFFFFF" w:themeFill="background2"/>
            <w:tcMar>
              <w:left w:w="57" w:type="dxa"/>
              <w:right w:w="57" w:type="dxa"/>
            </w:tcMar>
            <w:vAlign w:val="center"/>
          </w:tcPr>
          <w:p w14:paraId="2954D139" w14:textId="64D2783A"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tc>
        <w:tc>
          <w:tcPr>
            <w:tcW w:w="992" w:type="dxa"/>
            <w:shd w:val="clear" w:color="auto" w:fill="FFFFFF" w:themeFill="background2"/>
            <w:vAlign w:val="center"/>
          </w:tcPr>
          <w:p w14:paraId="35EB4B1A" w14:textId="795B47C5"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tc>
        <w:tc>
          <w:tcPr>
            <w:tcW w:w="4111" w:type="dxa"/>
            <w:shd w:val="clear" w:color="auto" w:fill="FFFFFF" w:themeFill="background2"/>
          </w:tcPr>
          <w:p w14:paraId="1EAD04A8" w14:textId="593D5183" w:rsidR="00FA2E17" w:rsidRPr="00662906" w:rsidRDefault="00FA2E17" w:rsidP="00FA2E17">
            <w:pPr>
              <w:spacing w:before="40" w:after="40"/>
              <w:jc w:val="left"/>
              <w:rPr>
                <w:rFonts w:eastAsia="Arial" w:cs="Arial"/>
                <w:sz w:val="17"/>
                <w:szCs w:val="17"/>
              </w:rPr>
            </w:pPr>
            <w:r w:rsidRPr="00662906">
              <w:rPr>
                <w:rFonts w:eastAsia="Arial" w:cs="Arial"/>
                <w:sz w:val="17"/>
                <w:szCs w:val="17"/>
              </w:rPr>
              <w:t>Enhance R&amp;D investment, facilitate technology transfer, and develop local manufacturing for clean energy technologies.</w:t>
            </w:r>
          </w:p>
        </w:tc>
      </w:tr>
      <w:tr w:rsidR="00FA2E17" w:rsidRPr="00662906" w14:paraId="0F8FA999" w14:textId="77777777" w:rsidTr="00904CD3">
        <w:trPr>
          <w:trHeight w:val="63"/>
        </w:trPr>
        <w:tc>
          <w:tcPr>
            <w:tcW w:w="423" w:type="dxa"/>
            <w:shd w:val="clear" w:color="auto" w:fill="FFFFFF" w:themeFill="background2"/>
            <w:tcMar>
              <w:left w:w="57" w:type="dxa"/>
              <w:right w:w="57" w:type="dxa"/>
            </w:tcMar>
            <w:vAlign w:val="center"/>
          </w:tcPr>
          <w:p w14:paraId="663C41E5" w14:textId="5DDB4B3F"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2</w:t>
            </w:r>
          </w:p>
        </w:tc>
        <w:tc>
          <w:tcPr>
            <w:tcW w:w="2551" w:type="dxa"/>
            <w:shd w:val="clear" w:color="auto" w:fill="FFFFFF" w:themeFill="background2"/>
            <w:tcMar>
              <w:left w:w="57" w:type="dxa"/>
              <w:right w:w="57" w:type="dxa"/>
            </w:tcMar>
            <w:vAlign w:val="center"/>
          </w:tcPr>
          <w:p w14:paraId="30B8DC6A" w14:textId="603BC9FD" w:rsidR="00FA2E17" w:rsidRPr="00662906" w:rsidRDefault="00FA2E17" w:rsidP="00DB46D5">
            <w:pPr>
              <w:spacing w:before="40" w:after="40"/>
              <w:jc w:val="center"/>
              <w:rPr>
                <w:rFonts w:eastAsia="Arial" w:cs="Arial"/>
                <w:sz w:val="17"/>
                <w:szCs w:val="17"/>
              </w:rPr>
            </w:pPr>
            <w:r w:rsidRPr="00662906">
              <w:rPr>
                <w:rFonts w:eastAsia="Arial" w:cs="Arial"/>
                <w:sz w:val="17"/>
                <w:szCs w:val="17"/>
              </w:rPr>
              <w:t>Infrastructure gaps and slow pace of grid modernization.</w:t>
            </w:r>
          </w:p>
        </w:tc>
        <w:tc>
          <w:tcPr>
            <w:tcW w:w="851" w:type="dxa"/>
            <w:shd w:val="clear" w:color="auto" w:fill="FFFFFF" w:themeFill="background2"/>
            <w:tcMar>
              <w:left w:w="57" w:type="dxa"/>
              <w:right w:w="57" w:type="dxa"/>
            </w:tcMar>
            <w:vAlign w:val="center"/>
          </w:tcPr>
          <w:p w14:paraId="3EEC8967" w14:textId="09014690"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992" w:type="dxa"/>
            <w:shd w:val="clear" w:color="auto" w:fill="FFFFFF" w:themeFill="background2"/>
            <w:vAlign w:val="center"/>
          </w:tcPr>
          <w:p w14:paraId="1360056B" w14:textId="3AB8FE29"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65BC9AE8" w14:textId="20EB8D62" w:rsidR="00FA2E17" w:rsidRPr="00662906" w:rsidRDefault="00FA2E17" w:rsidP="00FA2E17">
            <w:pPr>
              <w:spacing w:before="40" w:after="40"/>
              <w:jc w:val="left"/>
              <w:rPr>
                <w:rFonts w:eastAsia="Arial" w:cs="Arial"/>
                <w:sz w:val="17"/>
                <w:szCs w:val="17"/>
              </w:rPr>
            </w:pPr>
            <w:r w:rsidRPr="00662906">
              <w:rPr>
                <w:rFonts w:eastAsia="Arial" w:cs="Arial"/>
                <w:sz w:val="17"/>
                <w:szCs w:val="17"/>
              </w:rPr>
              <w:t>Prioritize grid expansion and modernization. Support decentralized systems such as mini-grids and solar home solutions.</w:t>
            </w:r>
          </w:p>
        </w:tc>
      </w:tr>
      <w:tr w:rsidR="00FA2E17" w:rsidRPr="00662906" w14:paraId="619E5FA8" w14:textId="77777777" w:rsidTr="00904CD3">
        <w:trPr>
          <w:trHeight w:val="63"/>
        </w:trPr>
        <w:tc>
          <w:tcPr>
            <w:tcW w:w="423" w:type="dxa"/>
            <w:shd w:val="clear" w:color="auto" w:fill="FFFFFF" w:themeFill="background2"/>
            <w:tcMar>
              <w:left w:w="57" w:type="dxa"/>
              <w:right w:w="57" w:type="dxa"/>
            </w:tcMar>
            <w:vAlign w:val="center"/>
          </w:tcPr>
          <w:p w14:paraId="156A1AF7" w14:textId="5983E9F0"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3</w:t>
            </w:r>
          </w:p>
        </w:tc>
        <w:tc>
          <w:tcPr>
            <w:tcW w:w="2551" w:type="dxa"/>
            <w:shd w:val="clear" w:color="auto" w:fill="FFFFFF" w:themeFill="background2"/>
            <w:tcMar>
              <w:left w:w="57" w:type="dxa"/>
              <w:right w:w="57" w:type="dxa"/>
            </w:tcMar>
            <w:vAlign w:val="center"/>
          </w:tcPr>
          <w:p w14:paraId="22993B0B" w14:textId="671B17B8"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 dependency on imported clean energy technologies and critical materials.</w:t>
            </w:r>
          </w:p>
        </w:tc>
        <w:tc>
          <w:tcPr>
            <w:tcW w:w="851" w:type="dxa"/>
            <w:shd w:val="clear" w:color="auto" w:fill="FFFFFF" w:themeFill="background2"/>
            <w:tcMar>
              <w:left w:w="57" w:type="dxa"/>
              <w:right w:w="57" w:type="dxa"/>
            </w:tcMar>
            <w:vAlign w:val="center"/>
          </w:tcPr>
          <w:p w14:paraId="6B7AC925" w14:textId="31136D05"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992" w:type="dxa"/>
            <w:shd w:val="clear" w:color="auto" w:fill="FFFFFF" w:themeFill="background2"/>
            <w:vAlign w:val="center"/>
          </w:tcPr>
          <w:p w14:paraId="60837A77" w14:textId="1B76488F"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tc>
        <w:tc>
          <w:tcPr>
            <w:tcW w:w="4111" w:type="dxa"/>
            <w:shd w:val="clear" w:color="auto" w:fill="FFFFFF" w:themeFill="background2"/>
          </w:tcPr>
          <w:p w14:paraId="2EFE01F8" w14:textId="23CA4F45" w:rsidR="00FA2E17" w:rsidRPr="00662906" w:rsidRDefault="00FA2E17" w:rsidP="00FA2E17">
            <w:pPr>
              <w:spacing w:before="40" w:after="40"/>
              <w:jc w:val="left"/>
              <w:rPr>
                <w:rFonts w:eastAsia="Arial" w:cs="Arial"/>
                <w:sz w:val="17"/>
                <w:szCs w:val="17"/>
              </w:rPr>
            </w:pPr>
            <w:r w:rsidRPr="00662906">
              <w:rPr>
                <w:rFonts w:eastAsia="Arial" w:cs="Arial"/>
                <w:sz w:val="17"/>
                <w:szCs w:val="17"/>
              </w:rPr>
              <w:t>Promote local manufacturing and regional supply chain development. Foster partnerships for optimized resource utilization.</w:t>
            </w:r>
          </w:p>
        </w:tc>
      </w:tr>
      <w:tr w:rsidR="00FA2E17" w:rsidRPr="00662906" w14:paraId="06D6ECF7" w14:textId="77777777" w:rsidTr="00904CD3">
        <w:trPr>
          <w:trHeight w:val="63"/>
        </w:trPr>
        <w:tc>
          <w:tcPr>
            <w:tcW w:w="423" w:type="dxa"/>
            <w:shd w:val="clear" w:color="auto" w:fill="FFFFFF" w:themeFill="background2"/>
            <w:tcMar>
              <w:left w:w="57" w:type="dxa"/>
              <w:right w:w="57" w:type="dxa"/>
            </w:tcMar>
            <w:vAlign w:val="center"/>
          </w:tcPr>
          <w:p w14:paraId="13C8A4B3" w14:textId="2ECD4686"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4</w:t>
            </w:r>
          </w:p>
        </w:tc>
        <w:tc>
          <w:tcPr>
            <w:tcW w:w="2551" w:type="dxa"/>
            <w:shd w:val="clear" w:color="auto" w:fill="FFFFFF" w:themeFill="background2"/>
            <w:tcMar>
              <w:left w:w="57" w:type="dxa"/>
              <w:right w:w="57" w:type="dxa"/>
            </w:tcMar>
            <w:vAlign w:val="center"/>
          </w:tcPr>
          <w:p w14:paraId="13631363" w14:textId="6ECB4F74" w:rsidR="00FA2E17" w:rsidRPr="00662906" w:rsidRDefault="00FA2E17" w:rsidP="00DB46D5">
            <w:pPr>
              <w:spacing w:before="40" w:after="40"/>
              <w:jc w:val="center"/>
              <w:rPr>
                <w:rFonts w:eastAsia="Arial" w:cs="Arial"/>
                <w:sz w:val="17"/>
                <w:szCs w:val="17"/>
              </w:rPr>
            </w:pPr>
            <w:r w:rsidRPr="00662906">
              <w:rPr>
                <w:rFonts w:eastAsia="Arial" w:cs="Arial"/>
                <w:sz w:val="17"/>
                <w:szCs w:val="17"/>
              </w:rPr>
              <w:t>Inadequate energy skills and workforce development to support the energy transition.</w:t>
            </w:r>
          </w:p>
        </w:tc>
        <w:tc>
          <w:tcPr>
            <w:tcW w:w="851" w:type="dxa"/>
            <w:shd w:val="clear" w:color="auto" w:fill="FFFFFF" w:themeFill="background2"/>
            <w:tcMar>
              <w:left w:w="57" w:type="dxa"/>
              <w:right w:w="57" w:type="dxa"/>
            </w:tcMar>
            <w:vAlign w:val="center"/>
          </w:tcPr>
          <w:p w14:paraId="77A9732A" w14:textId="77777777"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p w14:paraId="5AEB84D2" w14:textId="77777777" w:rsidR="00FA2E17" w:rsidRPr="00662906" w:rsidRDefault="00FA2E17" w:rsidP="00DB46D5">
            <w:pPr>
              <w:spacing w:before="40" w:after="40"/>
              <w:jc w:val="center"/>
              <w:rPr>
                <w:rFonts w:eastAsia="Arial" w:cs="Arial"/>
                <w:sz w:val="17"/>
                <w:szCs w:val="17"/>
              </w:rPr>
            </w:pPr>
          </w:p>
        </w:tc>
        <w:tc>
          <w:tcPr>
            <w:tcW w:w="992" w:type="dxa"/>
            <w:shd w:val="clear" w:color="auto" w:fill="FFFFFF" w:themeFill="background2"/>
            <w:vAlign w:val="center"/>
          </w:tcPr>
          <w:p w14:paraId="18534D8C" w14:textId="3AB40E1D"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4ED2C4DB" w14:textId="4561C62F" w:rsidR="00FA2E17" w:rsidRPr="00662906" w:rsidRDefault="00FA2E17" w:rsidP="00FA2E17">
            <w:pPr>
              <w:spacing w:before="40" w:after="40"/>
              <w:jc w:val="left"/>
              <w:rPr>
                <w:rFonts w:eastAsia="Arial" w:cs="Arial"/>
                <w:sz w:val="17"/>
                <w:szCs w:val="17"/>
              </w:rPr>
            </w:pPr>
            <w:r w:rsidRPr="00662906">
              <w:rPr>
                <w:rFonts w:eastAsia="Arial" w:cs="Arial"/>
                <w:sz w:val="17"/>
                <w:szCs w:val="17"/>
              </w:rPr>
              <w:t>Invest in education, technical training, and capacity-building programs to equip the workforce with clean energy skills.</w:t>
            </w:r>
          </w:p>
        </w:tc>
      </w:tr>
      <w:tr w:rsidR="00FA2E17" w:rsidRPr="00662906" w14:paraId="7320A539" w14:textId="77777777" w:rsidTr="00904CD3">
        <w:trPr>
          <w:trHeight w:val="63"/>
        </w:trPr>
        <w:tc>
          <w:tcPr>
            <w:tcW w:w="423" w:type="dxa"/>
            <w:shd w:val="clear" w:color="auto" w:fill="FFFFFF" w:themeFill="background2"/>
            <w:tcMar>
              <w:left w:w="57" w:type="dxa"/>
              <w:right w:w="57" w:type="dxa"/>
            </w:tcMar>
            <w:vAlign w:val="center"/>
          </w:tcPr>
          <w:p w14:paraId="4A9867B6" w14:textId="331F1467"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5</w:t>
            </w:r>
          </w:p>
        </w:tc>
        <w:tc>
          <w:tcPr>
            <w:tcW w:w="2551" w:type="dxa"/>
            <w:shd w:val="clear" w:color="auto" w:fill="FFFFFF" w:themeFill="background2"/>
            <w:tcMar>
              <w:left w:w="57" w:type="dxa"/>
              <w:right w:w="57" w:type="dxa"/>
            </w:tcMar>
            <w:vAlign w:val="center"/>
          </w:tcPr>
          <w:p w14:paraId="53CF8F87" w14:textId="734D8C70" w:rsidR="00FA2E17" w:rsidRPr="00662906" w:rsidRDefault="00FA2E17" w:rsidP="00DB46D5">
            <w:pPr>
              <w:spacing w:before="40" w:after="40"/>
              <w:jc w:val="center"/>
              <w:rPr>
                <w:rFonts w:eastAsia="Arial" w:cs="Arial"/>
                <w:sz w:val="17"/>
                <w:szCs w:val="17"/>
              </w:rPr>
            </w:pPr>
            <w:r w:rsidRPr="00662906">
              <w:rPr>
                <w:rFonts w:eastAsia="Arial" w:cs="Arial"/>
                <w:sz w:val="17"/>
                <w:szCs w:val="17"/>
              </w:rPr>
              <w:t>Supply Chain Disruptions for Renewable Energy Technologies</w:t>
            </w:r>
          </w:p>
        </w:tc>
        <w:tc>
          <w:tcPr>
            <w:tcW w:w="851" w:type="dxa"/>
            <w:shd w:val="clear" w:color="auto" w:fill="FFFFFF" w:themeFill="background2"/>
            <w:tcMar>
              <w:left w:w="57" w:type="dxa"/>
              <w:right w:w="57" w:type="dxa"/>
            </w:tcMar>
            <w:vAlign w:val="center"/>
          </w:tcPr>
          <w:p w14:paraId="74C68621" w14:textId="77777777"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p w14:paraId="5CC202C9" w14:textId="77777777" w:rsidR="00FA2E17" w:rsidRPr="00662906" w:rsidRDefault="00FA2E17" w:rsidP="00DB46D5">
            <w:pPr>
              <w:spacing w:before="40" w:after="40"/>
              <w:jc w:val="center"/>
              <w:rPr>
                <w:rFonts w:eastAsia="Arial" w:cs="Arial"/>
                <w:sz w:val="17"/>
                <w:szCs w:val="17"/>
              </w:rPr>
            </w:pPr>
          </w:p>
        </w:tc>
        <w:tc>
          <w:tcPr>
            <w:tcW w:w="992" w:type="dxa"/>
            <w:shd w:val="clear" w:color="auto" w:fill="FFFFFF" w:themeFill="background2"/>
            <w:vAlign w:val="center"/>
          </w:tcPr>
          <w:p w14:paraId="19F1C392" w14:textId="7F149360"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6AE876C0" w14:textId="51D4957C" w:rsidR="00FA2E17" w:rsidRPr="00662906" w:rsidRDefault="00FA2E17" w:rsidP="00FA2E17">
            <w:pPr>
              <w:spacing w:before="40" w:after="40"/>
              <w:jc w:val="left"/>
              <w:rPr>
                <w:rFonts w:eastAsia="Arial" w:cs="Arial"/>
                <w:sz w:val="17"/>
                <w:szCs w:val="17"/>
              </w:rPr>
            </w:pPr>
            <w:r w:rsidRPr="00662906">
              <w:rPr>
                <w:rFonts w:eastAsia="Arial" w:cs="Arial"/>
                <w:sz w:val="17"/>
                <w:szCs w:val="17"/>
              </w:rPr>
              <w:t>Develop regional manufacturing capacity for renewable energy components, promote intra-Africa trade of critical materials, and reduce dependency on imports by fostering local industrialization.</w:t>
            </w:r>
          </w:p>
        </w:tc>
      </w:tr>
      <w:tr w:rsidR="00FA2E17" w:rsidRPr="00662906" w14:paraId="3EDA9F76" w14:textId="77777777" w:rsidTr="00904CD3">
        <w:trPr>
          <w:trHeight w:val="63"/>
        </w:trPr>
        <w:tc>
          <w:tcPr>
            <w:tcW w:w="8928" w:type="dxa"/>
            <w:gridSpan w:val="5"/>
            <w:shd w:val="clear" w:color="auto" w:fill="F0ECE1" w:themeFill="text2" w:themeFillTint="33"/>
            <w:tcMar>
              <w:left w:w="57" w:type="dxa"/>
              <w:right w:w="57" w:type="dxa"/>
            </w:tcMar>
            <w:vAlign w:val="center"/>
          </w:tcPr>
          <w:p w14:paraId="4888B027" w14:textId="24859AAA" w:rsidR="00FA2E17" w:rsidRPr="00662906" w:rsidRDefault="00FA2E17" w:rsidP="00904CD3">
            <w:pPr>
              <w:pStyle w:val="ListParagraph"/>
              <w:numPr>
                <w:ilvl w:val="0"/>
                <w:numId w:val="56"/>
              </w:numPr>
              <w:spacing w:before="40" w:after="40"/>
              <w:ind w:left="366"/>
              <w:jc w:val="center"/>
              <w:rPr>
                <w:rFonts w:eastAsia="Arial" w:cs="Arial"/>
                <w:b/>
                <w:bCs/>
                <w:sz w:val="17"/>
                <w:szCs w:val="17"/>
              </w:rPr>
            </w:pPr>
            <w:r w:rsidRPr="00662906">
              <w:rPr>
                <w:rFonts w:eastAsia="Arial" w:cs="Arial"/>
                <w:b/>
                <w:bCs/>
                <w:sz w:val="17"/>
                <w:szCs w:val="17"/>
              </w:rPr>
              <w:t>Environmental, Social &amp; Economic Risks</w:t>
            </w:r>
          </w:p>
        </w:tc>
      </w:tr>
      <w:tr w:rsidR="00FA2E17" w:rsidRPr="00662906" w14:paraId="14320D02" w14:textId="77777777" w:rsidTr="00904CD3">
        <w:trPr>
          <w:trHeight w:val="63"/>
        </w:trPr>
        <w:tc>
          <w:tcPr>
            <w:tcW w:w="423" w:type="dxa"/>
            <w:shd w:val="clear" w:color="auto" w:fill="FFFFFF" w:themeFill="background2"/>
            <w:tcMar>
              <w:left w:w="57" w:type="dxa"/>
              <w:right w:w="57" w:type="dxa"/>
            </w:tcMar>
            <w:vAlign w:val="center"/>
          </w:tcPr>
          <w:p w14:paraId="0DFC1531" w14:textId="31900720"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1</w:t>
            </w:r>
          </w:p>
        </w:tc>
        <w:tc>
          <w:tcPr>
            <w:tcW w:w="2551" w:type="dxa"/>
            <w:shd w:val="clear" w:color="auto" w:fill="FFFFFF" w:themeFill="background2"/>
            <w:tcMar>
              <w:left w:w="57" w:type="dxa"/>
              <w:right w:w="57" w:type="dxa"/>
            </w:tcMar>
            <w:vAlign w:val="center"/>
          </w:tcPr>
          <w:p w14:paraId="1AC5C41B" w14:textId="3B0322AC" w:rsidR="00FA2E17" w:rsidRPr="00662906" w:rsidRDefault="00FA2E17" w:rsidP="00DB46D5">
            <w:pPr>
              <w:spacing w:before="40" w:after="40"/>
              <w:jc w:val="center"/>
              <w:rPr>
                <w:rFonts w:eastAsia="Arial" w:cs="Arial"/>
                <w:sz w:val="17"/>
                <w:szCs w:val="17"/>
              </w:rPr>
            </w:pPr>
            <w:r w:rsidRPr="00662906">
              <w:rPr>
                <w:rFonts w:eastAsia="Arial" w:cs="Arial"/>
                <w:sz w:val="17"/>
                <w:szCs w:val="17"/>
              </w:rPr>
              <w:t>Resistance to energy transition due to socio-economic impacts, particularly in fossil-dependent regions.</w:t>
            </w:r>
          </w:p>
        </w:tc>
        <w:tc>
          <w:tcPr>
            <w:tcW w:w="851" w:type="dxa"/>
            <w:shd w:val="clear" w:color="auto" w:fill="FFFFFF" w:themeFill="background2"/>
            <w:tcMar>
              <w:left w:w="57" w:type="dxa"/>
              <w:right w:w="57" w:type="dxa"/>
            </w:tcMar>
            <w:vAlign w:val="center"/>
          </w:tcPr>
          <w:p w14:paraId="30010857" w14:textId="4CC7050D"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tc>
        <w:tc>
          <w:tcPr>
            <w:tcW w:w="992" w:type="dxa"/>
            <w:shd w:val="clear" w:color="auto" w:fill="FFFFFF" w:themeFill="background2"/>
            <w:vAlign w:val="center"/>
          </w:tcPr>
          <w:p w14:paraId="32A9C4DA" w14:textId="34181F99"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35F1B178" w14:textId="18653A19" w:rsidR="00FA2E17" w:rsidRPr="00662906" w:rsidRDefault="00FA2E17" w:rsidP="00FA2E17">
            <w:pPr>
              <w:spacing w:before="40" w:after="40"/>
              <w:jc w:val="left"/>
              <w:rPr>
                <w:rFonts w:eastAsia="Arial" w:cs="Arial"/>
                <w:sz w:val="17"/>
                <w:szCs w:val="17"/>
              </w:rPr>
            </w:pPr>
            <w:r w:rsidRPr="00662906">
              <w:rPr>
                <w:rFonts w:eastAsia="Arial" w:cs="Arial"/>
                <w:sz w:val="17"/>
                <w:szCs w:val="17"/>
              </w:rPr>
              <w:t>Adopt just transition policies, create jobs in clean energy sectors, and engage communities through social dialogue.</w:t>
            </w:r>
          </w:p>
        </w:tc>
      </w:tr>
      <w:tr w:rsidR="00FA2E17" w:rsidRPr="00662906" w14:paraId="372EE8E9" w14:textId="77777777" w:rsidTr="00904CD3">
        <w:trPr>
          <w:trHeight w:val="63"/>
        </w:trPr>
        <w:tc>
          <w:tcPr>
            <w:tcW w:w="423" w:type="dxa"/>
            <w:shd w:val="clear" w:color="auto" w:fill="FFFFFF" w:themeFill="background2"/>
            <w:tcMar>
              <w:left w:w="57" w:type="dxa"/>
              <w:right w:w="57" w:type="dxa"/>
            </w:tcMar>
            <w:vAlign w:val="center"/>
          </w:tcPr>
          <w:p w14:paraId="5F29B2FB" w14:textId="20A5FE5D"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2</w:t>
            </w:r>
          </w:p>
        </w:tc>
        <w:tc>
          <w:tcPr>
            <w:tcW w:w="2551" w:type="dxa"/>
            <w:shd w:val="clear" w:color="auto" w:fill="FFFFFF" w:themeFill="background2"/>
            <w:tcMar>
              <w:left w:w="57" w:type="dxa"/>
              <w:right w:w="57" w:type="dxa"/>
            </w:tcMar>
            <w:vAlign w:val="center"/>
          </w:tcPr>
          <w:p w14:paraId="5DC43C4C" w14:textId="7E296A91" w:rsidR="00FA2E17" w:rsidRPr="00662906" w:rsidRDefault="00FA2E17" w:rsidP="00DB46D5">
            <w:pPr>
              <w:spacing w:before="40" w:after="40"/>
              <w:jc w:val="center"/>
              <w:rPr>
                <w:rFonts w:eastAsia="Arial" w:cs="Arial"/>
                <w:sz w:val="17"/>
                <w:szCs w:val="17"/>
              </w:rPr>
            </w:pPr>
            <w:r w:rsidRPr="00662906">
              <w:rPr>
                <w:rFonts w:eastAsia="Arial" w:cs="Arial"/>
                <w:sz w:val="17"/>
                <w:szCs w:val="17"/>
              </w:rPr>
              <w:t>Climate change impacts on energy infrastructure, such as extreme weather events.</w:t>
            </w:r>
          </w:p>
        </w:tc>
        <w:tc>
          <w:tcPr>
            <w:tcW w:w="851" w:type="dxa"/>
            <w:shd w:val="clear" w:color="auto" w:fill="FFFFFF" w:themeFill="background2"/>
            <w:tcMar>
              <w:left w:w="57" w:type="dxa"/>
              <w:right w:w="57" w:type="dxa"/>
            </w:tcMar>
            <w:vAlign w:val="center"/>
          </w:tcPr>
          <w:p w14:paraId="0FAEF26A" w14:textId="77777777"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p w14:paraId="4C4A05C7" w14:textId="77777777" w:rsidR="00FA2E17" w:rsidRPr="00662906" w:rsidRDefault="00FA2E17" w:rsidP="00DB46D5">
            <w:pPr>
              <w:spacing w:before="40" w:after="40"/>
              <w:jc w:val="center"/>
              <w:rPr>
                <w:rFonts w:eastAsia="Arial" w:cs="Arial"/>
                <w:sz w:val="17"/>
                <w:szCs w:val="17"/>
              </w:rPr>
            </w:pPr>
          </w:p>
        </w:tc>
        <w:tc>
          <w:tcPr>
            <w:tcW w:w="992" w:type="dxa"/>
            <w:shd w:val="clear" w:color="auto" w:fill="FFFFFF" w:themeFill="background2"/>
            <w:vAlign w:val="center"/>
          </w:tcPr>
          <w:p w14:paraId="4ECC78C9" w14:textId="459683E1"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15429A87" w14:textId="50DA2886" w:rsidR="00FA2E17" w:rsidRPr="00662906" w:rsidRDefault="00FA2E17" w:rsidP="00FA2E17">
            <w:pPr>
              <w:spacing w:before="40" w:after="40"/>
              <w:jc w:val="left"/>
              <w:rPr>
                <w:rFonts w:eastAsia="Arial" w:cs="Arial"/>
                <w:sz w:val="17"/>
                <w:szCs w:val="17"/>
              </w:rPr>
            </w:pPr>
            <w:r w:rsidRPr="00662906">
              <w:rPr>
                <w:rFonts w:eastAsia="Arial" w:cs="Arial"/>
                <w:sz w:val="17"/>
                <w:szCs w:val="17"/>
              </w:rPr>
              <w:t>Integrate climate resilience into energy planning and investments. Develop contingency and disaster recovery frameworks.</w:t>
            </w:r>
          </w:p>
        </w:tc>
      </w:tr>
      <w:tr w:rsidR="00FA2E17" w:rsidRPr="00662906" w14:paraId="20001689" w14:textId="77777777" w:rsidTr="00904CD3">
        <w:trPr>
          <w:trHeight w:val="63"/>
        </w:trPr>
        <w:tc>
          <w:tcPr>
            <w:tcW w:w="423" w:type="dxa"/>
            <w:shd w:val="clear" w:color="auto" w:fill="FFFFFF" w:themeFill="background2"/>
            <w:tcMar>
              <w:left w:w="57" w:type="dxa"/>
              <w:right w:w="57" w:type="dxa"/>
            </w:tcMar>
            <w:vAlign w:val="center"/>
          </w:tcPr>
          <w:p w14:paraId="1DAA1182" w14:textId="6EC882C1" w:rsidR="00FA2E17" w:rsidRPr="00662906" w:rsidRDefault="00FA2E17" w:rsidP="00904CD3">
            <w:pPr>
              <w:spacing w:before="40" w:after="40"/>
              <w:jc w:val="center"/>
              <w:rPr>
                <w:rFonts w:eastAsia="Arial" w:cs="Arial"/>
                <w:color w:val="394A58"/>
                <w:sz w:val="17"/>
                <w:szCs w:val="17"/>
              </w:rPr>
            </w:pPr>
            <w:r w:rsidRPr="00662906">
              <w:rPr>
                <w:rFonts w:eastAsia="Arial" w:cs="Arial"/>
                <w:color w:val="394A58"/>
                <w:sz w:val="17"/>
                <w:szCs w:val="17"/>
              </w:rPr>
              <w:t>3</w:t>
            </w:r>
          </w:p>
        </w:tc>
        <w:tc>
          <w:tcPr>
            <w:tcW w:w="2551" w:type="dxa"/>
            <w:shd w:val="clear" w:color="auto" w:fill="FFFFFF" w:themeFill="background2"/>
            <w:tcMar>
              <w:left w:w="57" w:type="dxa"/>
              <w:right w:w="57" w:type="dxa"/>
            </w:tcMar>
            <w:vAlign w:val="center"/>
          </w:tcPr>
          <w:p w14:paraId="206E5A0E" w14:textId="4CAF2F6D" w:rsidR="00FA2E17" w:rsidRPr="00662906" w:rsidRDefault="00FA2E17" w:rsidP="00DB46D5">
            <w:pPr>
              <w:spacing w:before="40" w:after="40"/>
              <w:jc w:val="center"/>
              <w:rPr>
                <w:rFonts w:eastAsia="Arial" w:cs="Arial"/>
                <w:sz w:val="17"/>
                <w:szCs w:val="17"/>
              </w:rPr>
            </w:pPr>
            <w:r w:rsidRPr="00662906">
              <w:rPr>
                <w:rFonts w:eastAsia="Arial" w:cs="Arial"/>
                <w:sz w:val="17"/>
                <w:szCs w:val="17"/>
              </w:rPr>
              <w:t>Energy Affordability and Social Acceptance Risks</w:t>
            </w:r>
          </w:p>
        </w:tc>
        <w:tc>
          <w:tcPr>
            <w:tcW w:w="851" w:type="dxa"/>
            <w:shd w:val="clear" w:color="auto" w:fill="FFFFFF" w:themeFill="background2"/>
            <w:tcMar>
              <w:left w:w="57" w:type="dxa"/>
              <w:right w:w="57" w:type="dxa"/>
            </w:tcMar>
            <w:vAlign w:val="center"/>
          </w:tcPr>
          <w:p w14:paraId="391DFCDC" w14:textId="77777777" w:rsidR="00FA2E17" w:rsidRPr="00662906" w:rsidRDefault="00FA2E17" w:rsidP="00DB46D5">
            <w:pPr>
              <w:spacing w:before="40" w:after="40"/>
              <w:jc w:val="center"/>
              <w:rPr>
                <w:rFonts w:eastAsia="Arial" w:cs="Arial"/>
                <w:sz w:val="17"/>
                <w:szCs w:val="17"/>
              </w:rPr>
            </w:pPr>
            <w:r w:rsidRPr="00662906">
              <w:rPr>
                <w:rFonts w:eastAsia="Arial" w:cs="Arial"/>
                <w:sz w:val="17"/>
                <w:szCs w:val="17"/>
              </w:rPr>
              <w:t>Medium</w:t>
            </w:r>
          </w:p>
          <w:p w14:paraId="44819CE8" w14:textId="77777777" w:rsidR="00FA2E17" w:rsidRPr="00662906" w:rsidRDefault="00FA2E17" w:rsidP="00DB46D5">
            <w:pPr>
              <w:spacing w:before="40" w:after="40"/>
              <w:jc w:val="center"/>
              <w:rPr>
                <w:rFonts w:eastAsia="Arial" w:cs="Arial"/>
                <w:sz w:val="17"/>
                <w:szCs w:val="17"/>
              </w:rPr>
            </w:pPr>
          </w:p>
        </w:tc>
        <w:tc>
          <w:tcPr>
            <w:tcW w:w="992" w:type="dxa"/>
            <w:shd w:val="clear" w:color="auto" w:fill="FFFFFF" w:themeFill="background2"/>
            <w:vAlign w:val="center"/>
          </w:tcPr>
          <w:p w14:paraId="3B6D579C" w14:textId="4E7A55AB" w:rsidR="00FA2E17" w:rsidRPr="00662906" w:rsidRDefault="00FA2E17" w:rsidP="00DB46D5">
            <w:pPr>
              <w:spacing w:before="40" w:after="40"/>
              <w:jc w:val="center"/>
              <w:rPr>
                <w:rFonts w:eastAsia="Arial" w:cs="Arial"/>
                <w:sz w:val="17"/>
                <w:szCs w:val="17"/>
              </w:rPr>
            </w:pPr>
            <w:r w:rsidRPr="00662906">
              <w:rPr>
                <w:rFonts w:eastAsia="Arial" w:cs="Arial"/>
                <w:sz w:val="17"/>
                <w:szCs w:val="17"/>
              </w:rPr>
              <w:t>High</w:t>
            </w:r>
          </w:p>
        </w:tc>
        <w:tc>
          <w:tcPr>
            <w:tcW w:w="4111" w:type="dxa"/>
            <w:shd w:val="clear" w:color="auto" w:fill="FFFFFF" w:themeFill="background2"/>
          </w:tcPr>
          <w:p w14:paraId="6CC6C1A7" w14:textId="0F326F45" w:rsidR="00FA2E17" w:rsidRPr="00662906" w:rsidRDefault="00FA2E17" w:rsidP="00FA2E17">
            <w:pPr>
              <w:spacing w:before="40" w:after="40"/>
              <w:jc w:val="left"/>
              <w:rPr>
                <w:rFonts w:eastAsia="Arial" w:cs="Arial"/>
                <w:sz w:val="17"/>
                <w:szCs w:val="17"/>
              </w:rPr>
            </w:pPr>
            <w:r w:rsidRPr="00662906">
              <w:rPr>
                <w:rFonts w:eastAsia="Arial" w:cs="Arial"/>
                <w:sz w:val="17"/>
                <w:szCs w:val="17"/>
              </w:rPr>
              <w:t>Design equitable pricing mechanisms, introduce targeted subsidies for vulnerable populations, and implement extensive public awareness campaigns to ensure social buy-in for clean energy transitions.</w:t>
            </w:r>
          </w:p>
        </w:tc>
      </w:tr>
    </w:tbl>
    <w:p w14:paraId="32C2F52C" w14:textId="77777777" w:rsidR="00A146E5" w:rsidRPr="00662906" w:rsidRDefault="00A146E5" w:rsidP="00A146E5">
      <w:pPr>
        <w:rPr>
          <w:rFonts w:eastAsia="Arial" w:cs="Arial"/>
          <w:i/>
          <w:iCs/>
          <w:color w:val="B4A169"/>
          <w:sz w:val="16"/>
          <w:szCs w:val="16"/>
        </w:rPr>
      </w:pPr>
      <w:bookmarkStart w:id="567" w:name="_Toc189750059"/>
      <w:bookmarkStart w:id="568" w:name="_Toc189750265"/>
      <w:bookmarkStart w:id="569" w:name="_Toc189754981"/>
      <w:bookmarkStart w:id="570" w:name="_Toc189750060"/>
      <w:bookmarkStart w:id="571" w:name="_Toc189750266"/>
      <w:bookmarkStart w:id="572" w:name="_Toc189754982"/>
      <w:bookmarkEnd w:id="567"/>
      <w:bookmarkEnd w:id="568"/>
      <w:bookmarkEnd w:id="569"/>
      <w:bookmarkEnd w:id="570"/>
      <w:bookmarkEnd w:id="571"/>
      <w:bookmarkEnd w:id="572"/>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p>
    <w:p w14:paraId="47A95730" w14:textId="0013F508" w:rsidR="001D2264" w:rsidRPr="00662906" w:rsidRDefault="001D2264" w:rsidP="001D2264">
      <w:pPr>
        <w:pStyle w:val="Heading2"/>
      </w:pPr>
      <w:bookmarkStart w:id="573" w:name="_Toc197433853"/>
      <w:r w:rsidRPr="00662906">
        <w:t>Critical Enablers</w:t>
      </w:r>
      <w:bookmarkEnd w:id="573"/>
    </w:p>
    <w:p w14:paraId="4682A680" w14:textId="77777777" w:rsidR="001D2264" w:rsidRPr="00662906" w:rsidRDefault="001D2264" w:rsidP="001D2264">
      <w:r w:rsidRPr="00662906">
        <w:t>The following enablers are identified as essential conditions that must be actively pursued to address the assumptions and mitigate identified risks. These enablers are organized based on the key themes emerging from the SWOT and PESTEL analyses.</w:t>
      </w:r>
    </w:p>
    <w:p w14:paraId="1D3A6314" w14:textId="77777777" w:rsidR="001D2264" w:rsidRPr="00662906" w:rsidRDefault="001D2264" w:rsidP="001D2264">
      <w:pPr>
        <w:rPr>
          <w:b/>
          <w:bCs/>
        </w:rPr>
      </w:pPr>
      <w:r w:rsidRPr="00662906">
        <w:rPr>
          <w:b/>
          <w:bCs/>
        </w:rPr>
        <w:t>1. Policy and Regulatory Frameworks</w:t>
      </w:r>
    </w:p>
    <w:p w14:paraId="63F7C34A" w14:textId="77777777" w:rsidR="001D2264" w:rsidRPr="00662906" w:rsidRDefault="001D2264" w:rsidP="001D2264">
      <w:r w:rsidRPr="00662906">
        <w:t>Effective policies and regulatory systems are critical for creating an enabling environment for Africa’s energy transition.</w:t>
      </w:r>
    </w:p>
    <w:p w14:paraId="330BE399" w14:textId="77777777" w:rsidR="001D2264" w:rsidRPr="00662906" w:rsidRDefault="001D2264" w:rsidP="005C5546">
      <w:pPr>
        <w:numPr>
          <w:ilvl w:val="0"/>
          <w:numId w:val="37"/>
        </w:numPr>
      </w:pPr>
      <w:r w:rsidRPr="00662906">
        <w:rPr>
          <w:b/>
          <w:bCs/>
        </w:rPr>
        <w:t>Harmonization of Policies</w:t>
      </w:r>
      <w:r w:rsidRPr="00662906">
        <w:t>: Aligning national policies with regional and continental strategies, such as AfSEM and CMP, ensures coherence, eliminates policy fragmentation, and facilitates regional energy markets.</w:t>
      </w:r>
    </w:p>
    <w:p w14:paraId="6A2725C4" w14:textId="72BA0D8A" w:rsidR="001D2264" w:rsidRPr="00662906" w:rsidRDefault="001D2264" w:rsidP="005C5546">
      <w:pPr>
        <w:numPr>
          <w:ilvl w:val="0"/>
          <w:numId w:val="37"/>
        </w:numPr>
      </w:pPr>
      <w:r w:rsidRPr="00662906">
        <w:rPr>
          <w:b/>
          <w:bCs/>
        </w:rPr>
        <w:t>Incentives for Investment</w:t>
      </w:r>
      <w:r w:rsidRPr="00662906">
        <w:t xml:space="preserve">: Developing supportive </w:t>
      </w:r>
      <w:r w:rsidR="001042D3" w:rsidRPr="00662906">
        <w:t>policies including fiscal policies</w:t>
      </w:r>
      <w:r w:rsidRPr="00662906">
        <w:t xml:space="preserve">, </w:t>
      </w:r>
      <w:r w:rsidR="00E81DE9" w:rsidRPr="00662906">
        <w:t>auction-based mechanisms, feed-in premiums (FiPs), and contracts for difference (CfDs)</w:t>
      </w:r>
      <w:r w:rsidRPr="00662906">
        <w:t>, and risk guarantees, will attract private sector investments in renewables and energy efficiency.</w:t>
      </w:r>
    </w:p>
    <w:p w14:paraId="7AE0D173" w14:textId="77777777" w:rsidR="001D2264" w:rsidRPr="00662906" w:rsidRDefault="001D2264" w:rsidP="005C5546">
      <w:pPr>
        <w:numPr>
          <w:ilvl w:val="0"/>
          <w:numId w:val="37"/>
        </w:numPr>
      </w:pPr>
      <w:r w:rsidRPr="00662906">
        <w:rPr>
          <w:b/>
          <w:bCs/>
        </w:rPr>
        <w:t>Transparent Governance</w:t>
      </w:r>
      <w:r w:rsidRPr="00662906">
        <w:t>: Strengthening governance institutions and adopting transparent frameworks will improve trust and accountability, addressing weaknesses identified in the SWOT analysis.</w:t>
      </w:r>
    </w:p>
    <w:p w14:paraId="1DD035A5" w14:textId="77777777" w:rsidR="001D2264" w:rsidRPr="00662906" w:rsidRDefault="001D2264" w:rsidP="001D2264">
      <w:pPr>
        <w:rPr>
          <w:b/>
          <w:bCs/>
        </w:rPr>
      </w:pPr>
      <w:r w:rsidRPr="00662906">
        <w:rPr>
          <w:b/>
          <w:bCs/>
        </w:rPr>
        <w:t>2. Financing and Investment Mobilization</w:t>
      </w:r>
    </w:p>
    <w:p w14:paraId="57A6C100" w14:textId="77777777" w:rsidR="001D2264" w:rsidRPr="00662906" w:rsidRDefault="001D2264" w:rsidP="001D2264">
      <w:r w:rsidRPr="00662906">
        <w:t>The energy transition requires substantial financial resources to build infrastructure, scale technologies, and support innovation. Key enablers include:</w:t>
      </w:r>
    </w:p>
    <w:p w14:paraId="3346F079" w14:textId="77777777" w:rsidR="001D2264" w:rsidRPr="00662906" w:rsidRDefault="001D2264" w:rsidP="005C5546">
      <w:pPr>
        <w:numPr>
          <w:ilvl w:val="0"/>
          <w:numId w:val="38"/>
        </w:numPr>
      </w:pPr>
      <w:r w:rsidRPr="00662906">
        <w:rPr>
          <w:b/>
          <w:bCs/>
        </w:rPr>
        <w:t>Access to Climate Finance</w:t>
      </w:r>
      <w:r w:rsidRPr="00662906">
        <w:t>: Mobilizing international funds from mechanisms like the Green Climate Fund and carbon credits can unlock capital for clean energy projects.</w:t>
      </w:r>
    </w:p>
    <w:p w14:paraId="438412C5" w14:textId="77777777" w:rsidR="001D2264" w:rsidRPr="00662906" w:rsidRDefault="001D2264" w:rsidP="005C5546">
      <w:pPr>
        <w:numPr>
          <w:ilvl w:val="0"/>
          <w:numId w:val="38"/>
        </w:numPr>
      </w:pPr>
      <w:r w:rsidRPr="00662906">
        <w:rPr>
          <w:b/>
          <w:bCs/>
        </w:rPr>
        <w:t>Innovative Financial Tools</w:t>
      </w:r>
      <w:r w:rsidRPr="00662906">
        <w:t>: Promoting blended finance, green bonds, and public-private partnerships to de-risk investments and scale up infrastructure deployment.</w:t>
      </w:r>
    </w:p>
    <w:p w14:paraId="3CD0EDFA" w14:textId="77777777" w:rsidR="001D2264" w:rsidRPr="00662906" w:rsidRDefault="001D2264" w:rsidP="005C5546">
      <w:pPr>
        <w:numPr>
          <w:ilvl w:val="0"/>
          <w:numId w:val="38"/>
        </w:numPr>
      </w:pPr>
      <w:r w:rsidRPr="00662906">
        <w:rPr>
          <w:b/>
          <w:bCs/>
        </w:rPr>
        <w:t>Regional Resource Pooling</w:t>
      </w:r>
      <w:r w:rsidRPr="00662906">
        <w:t>: Strengthening regional cooperation to finance cross-border projects and optimize resource use across countries.</w:t>
      </w:r>
    </w:p>
    <w:p w14:paraId="36466491" w14:textId="77777777" w:rsidR="001D2264" w:rsidRPr="00662906" w:rsidRDefault="001D2264" w:rsidP="001D2264">
      <w:pPr>
        <w:rPr>
          <w:b/>
          <w:bCs/>
        </w:rPr>
      </w:pPr>
      <w:r w:rsidRPr="00662906">
        <w:rPr>
          <w:b/>
          <w:bCs/>
        </w:rPr>
        <w:t>3. Technological Innovation and Local Manufacturing</w:t>
      </w:r>
    </w:p>
    <w:p w14:paraId="458CD2DC" w14:textId="77777777" w:rsidR="001D2264" w:rsidRPr="00662906" w:rsidRDefault="001D2264" w:rsidP="001D2264">
      <w:r w:rsidRPr="00662906">
        <w:t>Innovation is vital for addressing Africa’s unique energy challenges and positioning the continent as a leader in clean energy solutions.</w:t>
      </w:r>
    </w:p>
    <w:p w14:paraId="46822700" w14:textId="77777777" w:rsidR="001D2264" w:rsidRPr="00662906" w:rsidRDefault="001D2264" w:rsidP="005C5546">
      <w:pPr>
        <w:numPr>
          <w:ilvl w:val="0"/>
          <w:numId w:val="39"/>
        </w:numPr>
      </w:pPr>
      <w:r w:rsidRPr="00662906">
        <w:rPr>
          <w:b/>
          <w:bCs/>
        </w:rPr>
        <w:t>Support for R&amp;D</w:t>
      </w:r>
      <w:r w:rsidRPr="00662906">
        <w:t>: Establishing innovation ecosystems, strategic laboratories, and research programs will advance clean energy technologies.</w:t>
      </w:r>
    </w:p>
    <w:p w14:paraId="0A1F061E" w14:textId="77777777" w:rsidR="001D2264" w:rsidRPr="00662906" w:rsidRDefault="001D2264" w:rsidP="005C5546">
      <w:pPr>
        <w:numPr>
          <w:ilvl w:val="0"/>
          <w:numId w:val="39"/>
        </w:numPr>
      </w:pPr>
      <w:r w:rsidRPr="00662906">
        <w:rPr>
          <w:b/>
          <w:bCs/>
        </w:rPr>
        <w:t>Local Manufacturing</w:t>
      </w:r>
      <w:r w:rsidRPr="00662906">
        <w:t>: Developing regional supply chains for solar panels, wind turbines, batteries, and energy-efficient appliances will reduce reliance on imports and create jobs.</w:t>
      </w:r>
    </w:p>
    <w:p w14:paraId="633A5B94" w14:textId="77777777" w:rsidR="001D2264" w:rsidRPr="00662906" w:rsidRDefault="001D2264" w:rsidP="005C5546">
      <w:pPr>
        <w:numPr>
          <w:ilvl w:val="0"/>
          <w:numId w:val="39"/>
        </w:numPr>
      </w:pPr>
      <w:r w:rsidRPr="00662906">
        <w:rPr>
          <w:b/>
          <w:bCs/>
        </w:rPr>
        <w:t>Technology Transfer</w:t>
      </w:r>
      <w:r w:rsidRPr="00662906">
        <w:t>: Facilitating partnerships for technology transfer between Africa and global innovators will accelerate adoption.</w:t>
      </w:r>
    </w:p>
    <w:p w14:paraId="50D81CD3" w14:textId="77777777" w:rsidR="001D2264" w:rsidRPr="00662906" w:rsidRDefault="001D2264" w:rsidP="001D2264">
      <w:pPr>
        <w:rPr>
          <w:b/>
          <w:bCs/>
        </w:rPr>
      </w:pPr>
      <w:r w:rsidRPr="00662906">
        <w:rPr>
          <w:b/>
          <w:bCs/>
        </w:rPr>
        <w:t>4. Infrastructure Development</w:t>
      </w:r>
    </w:p>
    <w:p w14:paraId="0DD69F40" w14:textId="77777777" w:rsidR="001D2264" w:rsidRPr="00662906" w:rsidRDefault="001D2264" w:rsidP="001D2264">
      <w:r w:rsidRPr="00662906">
        <w:t>Reliable and modern infrastructure is foundational to achieving energy access and clean energy goals.</w:t>
      </w:r>
    </w:p>
    <w:p w14:paraId="7DA8107F" w14:textId="77777777" w:rsidR="001D2264" w:rsidRPr="00662906" w:rsidRDefault="001D2264" w:rsidP="005C5546">
      <w:pPr>
        <w:numPr>
          <w:ilvl w:val="0"/>
          <w:numId w:val="40"/>
        </w:numPr>
      </w:pPr>
      <w:r w:rsidRPr="00662906">
        <w:rPr>
          <w:b/>
          <w:bCs/>
        </w:rPr>
        <w:t>Grid Expansion and Modernization</w:t>
      </w:r>
      <w:r w:rsidRPr="00662906">
        <w:t>: Strengthening transmission and distribution networks, including smart grid technologies, will enable the integration of renewable energy at scale.</w:t>
      </w:r>
    </w:p>
    <w:p w14:paraId="338DC575" w14:textId="77777777" w:rsidR="001D2264" w:rsidRPr="00662906" w:rsidRDefault="001D2264" w:rsidP="005C5546">
      <w:pPr>
        <w:numPr>
          <w:ilvl w:val="0"/>
          <w:numId w:val="40"/>
        </w:numPr>
      </w:pPr>
      <w:r w:rsidRPr="00662906">
        <w:rPr>
          <w:b/>
          <w:bCs/>
        </w:rPr>
        <w:t>Off-Grid Solutions</w:t>
      </w:r>
      <w:r w:rsidRPr="00662906">
        <w:t>: Supporting decentralized systems like mini-grids, solar home systems, and clean cooking technologies will address rural and underserved populations.</w:t>
      </w:r>
    </w:p>
    <w:p w14:paraId="60DCF3F1" w14:textId="3106C7CB" w:rsidR="001D2264" w:rsidRPr="00662906" w:rsidRDefault="001D2264" w:rsidP="005C5546">
      <w:pPr>
        <w:numPr>
          <w:ilvl w:val="0"/>
          <w:numId w:val="40"/>
        </w:numPr>
      </w:pPr>
      <w:r w:rsidRPr="00662906">
        <w:rPr>
          <w:b/>
          <w:bCs/>
        </w:rPr>
        <w:t>Regional Interconnections</w:t>
      </w:r>
      <w:r w:rsidRPr="00662906">
        <w:t>: Prioritizing infrastructure projects under the CMP will enhance cross-border energy trade and energy security.</w:t>
      </w:r>
    </w:p>
    <w:p w14:paraId="1787479C" w14:textId="77777777" w:rsidR="001D2264" w:rsidRPr="00662906" w:rsidRDefault="001D2264" w:rsidP="001D2264">
      <w:pPr>
        <w:rPr>
          <w:b/>
          <w:bCs/>
        </w:rPr>
      </w:pPr>
      <w:r w:rsidRPr="00662906">
        <w:rPr>
          <w:b/>
          <w:bCs/>
        </w:rPr>
        <w:t>5. Human Capital and Capacity Building</w:t>
      </w:r>
    </w:p>
    <w:p w14:paraId="3BD2E418" w14:textId="77777777" w:rsidR="001D2264" w:rsidRPr="00662906" w:rsidRDefault="001D2264" w:rsidP="001D2264">
      <w:r w:rsidRPr="00662906">
        <w:lastRenderedPageBreak/>
        <w:t>A skilled workforce and strong institutions are critical for implementing energy transition strategies.</w:t>
      </w:r>
    </w:p>
    <w:p w14:paraId="24853DF1" w14:textId="77777777" w:rsidR="001D2264" w:rsidRPr="00662906" w:rsidRDefault="001D2264" w:rsidP="005C5546">
      <w:pPr>
        <w:numPr>
          <w:ilvl w:val="0"/>
          <w:numId w:val="41"/>
        </w:numPr>
      </w:pPr>
      <w:r w:rsidRPr="00662906">
        <w:rPr>
          <w:b/>
          <w:bCs/>
        </w:rPr>
        <w:t>Skills Development</w:t>
      </w:r>
      <w:r w:rsidRPr="00662906">
        <w:t>: Investing in education, training, and capacity-building programs to prepare Africa’s workforce for clean energy technologies and innovations.</w:t>
      </w:r>
    </w:p>
    <w:p w14:paraId="26A61C7F" w14:textId="77777777" w:rsidR="001D2264" w:rsidRPr="00662906" w:rsidRDefault="001D2264" w:rsidP="005C5546">
      <w:pPr>
        <w:numPr>
          <w:ilvl w:val="0"/>
          <w:numId w:val="41"/>
        </w:numPr>
      </w:pPr>
      <w:r w:rsidRPr="00662906">
        <w:rPr>
          <w:b/>
          <w:bCs/>
        </w:rPr>
        <w:t>Institutional Strengthening</w:t>
      </w:r>
      <w:r w:rsidRPr="00662906">
        <w:t>: Enhancing the technical and administrative capacities of national and regional energy agencies to implement, monitor, and adapt transition strategies.</w:t>
      </w:r>
    </w:p>
    <w:p w14:paraId="4D9FF4B9" w14:textId="77777777" w:rsidR="001D2264" w:rsidRPr="00662906" w:rsidRDefault="001D2264" w:rsidP="005C5546">
      <w:pPr>
        <w:numPr>
          <w:ilvl w:val="0"/>
          <w:numId w:val="41"/>
        </w:numPr>
      </w:pPr>
      <w:r w:rsidRPr="00662906">
        <w:rPr>
          <w:b/>
          <w:bCs/>
        </w:rPr>
        <w:t>Knowledge Sharing</w:t>
      </w:r>
      <w:r w:rsidRPr="00662906">
        <w:t>: Promoting platforms for knowledge exchange, best practices, and peer learning among African Member States.</w:t>
      </w:r>
    </w:p>
    <w:p w14:paraId="0C7C4D14" w14:textId="77777777" w:rsidR="001D2264" w:rsidRPr="00662906" w:rsidRDefault="001D2264" w:rsidP="001D2264">
      <w:pPr>
        <w:rPr>
          <w:b/>
          <w:bCs/>
        </w:rPr>
      </w:pPr>
      <w:r w:rsidRPr="00662906">
        <w:rPr>
          <w:b/>
          <w:bCs/>
        </w:rPr>
        <w:t>6. Social Inclusion and Public Engagement</w:t>
      </w:r>
    </w:p>
    <w:p w14:paraId="17A5B303" w14:textId="77777777" w:rsidR="001D2264" w:rsidRPr="00662906" w:rsidRDefault="001D2264" w:rsidP="001D2264">
      <w:r w:rsidRPr="00662906">
        <w:t>Ensuring the energy transition is just, inclusive, and people-centred is essential for long-term success.</w:t>
      </w:r>
    </w:p>
    <w:p w14:paraId="4AD13D26" w14:textId="77777777" w:rsidR="001D2264" w:rsidRPr="00662906" w:rsidRDefault="001D2264" w:rsidP="005C5546">
      <w:pPr>
        <w:numPr>
          <w:ilvl w:val="0"/>
          <w:numId w:val="42"/>
        </w:numPr>
      </w:pPr>
      <w:r w:rsidRPr="00662906">
        <w:rPr>
          <w:b/>
          <w:bCs/>
        </w:rPr>
        <w:t>Community Engagement</w:t>
      </w:r>
      <w:r w:rsidRPr="00662906">
        <w:t>: Promoting participation of local communities, women, and youth in decision-making processes.</w:t>
      </w:r>
    </w:p>
    <w:p w14:paraId="5823CA72" w14:textId="77777777" w:rsidR="001D2264" w:rsidRPr="00662906" w:rsidRDefault="001D2264" w:rsidP="005C5546">
      <w:pPr>
        <w:numPr>
          <w:ilvl w:val="0"/>
          <w:numId w:val="42"/>
        </w:numPr>
      </w:pPr>
      <w:r w:rsidRPr="00662906">
        <w:rPr>
          <w:b/>
          <w:bCs/>
        </w:rPr>
        <w:t>Equitable Access</w:t>
      </w:r>
      <w:r w:rsidRPr="00662906">
        <w:t>: Addressing energy affordability and ensuring that vulnerable groups benefit from transition efforts.</w:t>
      </w:r>
    </w:p>
    <w:p w14:paraId="701A69FA" w14:textId="77777777" w:rsidR="001D2264" w:rsidRPr="00662906" w:rsidRDefault="001D2264" w:rsidP="005C5546">
      <w:pPr>
        <w:numPr>
          <w:ilvl w:val="0"/>
          <w:numId w:val="42"/>
        </w:numPr>
      </w:pPr>
      <w:r w:rsidRPr="00662906">
        <w:rPr>
          <w:b/>
          <w:bCs/>
        </w:rPr>
        <w:t>Awareness and Advocacy</w:t>
      </w:r>
      <w:r w:rsidRPr="00662906">
        <w:t>: Raising public awareness of the benefits of clean energy and energy efficiency to foster acceptance and active participation.</w:t>
      </w:r>
    </w:p>
    <w:p w14:paraId="4060919C" w14:textId="77777777" w:rsidR="001D2264" w:rsidRPr="00662906" w:rsidRDefault="001D2264" w:rsidP="001D2264">
      <w:pPr>
        <w:rPr>
          <w:b/>
          <w:bCs/>
        </w:rPr>
      </w:pPr>
      <w:r w:rsidRPr="00662906">
        <w:rPr>
          <w:b/>
          <w:bCs/>
        </w:rPr>
        <w:t>7. Environmental and Climate Resilience</w:t>
      </w:r>
    </w:p>
    <w:p w14:paraId="53BED5D4" w14:textId="77777777" w:rsidR="001D2264" w:rsidRPr="00662906" w:rsidRDefault="001D2264" w:rsidP="001D2264">
      <w:r w:rsidRPr="00662906">
        <w:t>Energy transition strategies must align with climate goals while addressing Africa’s environmental vulnerabilities.</w:t>
      </w:r>
    </w:p>
    <w:p w14:paraId="5B1DFCC8" w14:textId="77777777" w:rsidR="001D2264" w:rsidRPr="00662906" w:rsidRDefault="001D2264" w:rsidP="005C5546">
      <w:pPr>
        <w:numPr>
          <w:ilvl w:val="0"/>
          <w:numId w:val="43"/>
        </w:numPr>
      </w:pPr>
      <w:r w:rsidRPr="00662906">
        <w:rPr>
          <w:b/>
          <w:bCs/>
        </w:rPr>
        <w:t>Sustainable Resource Use</w:t>
      </w:r>
      <w:r w:rsidRPr="00662906">
        <w:t>: Ensuring the development of renewables and critical minerals is environmentally sustainable and compliant with ESG standards.</w:t>
      </w:r>
    </w:p>
    <w:p w14:paraId="28776B89" w14:textId="77777777" w:rsidR="001D2264" w:rsidRPr="00662906" w:rsidRDefault="001D2264" w:rsidP="005C5546">
      <w:pPr>
        <w:numPr>
          <w:ilvl w:val="0"/>
          <w:numId w:val="43"/>
        </w:numPr>
      </w:pPr>
      <w:r w:rsidRPr="00662906">
        <w:rPr>
          <w:b/>
          <w:bCs/>
        </w:rPr>
        <w:t>Climate Adaptation</w:t>
      </w:r>
      <w:r w:rsidRPr="00662906">
        <w:t>: Enhancing energy infrastructure resilience to climate impacts like extreme weather events.</w:t>
      </w:r>
    </w:p>
    <w:p w14:paraId="0865294F" w14:textId="1936B8F3" w:rsidR="001D2264" w:rsidRPr="00662906" w:rsidRDefault="001D2264" w:rsidP="005C5546">
      <w:pPr>
        <w:numPr>
          <w:ilvl w:val="0"/>
          <w:numId w:val="43"/>
        </w:numPr>
      </w:pPr>
      <w:r w:rsidRPr="00662906">
        <w:rPr>
          <w:b/>
          <w:bCs/>
        </w:rPr>
        <w:t>Carbon Management</w:t>
      </w:r>
      <w:r w:rsidRPr="00662906">
        <w:t>: Promoting CCUS to decarbonize fossil-derived energy.</w:t>
      </w:r>
    </w:p>
    <w:p w14:paraId="3CAFA8B1" w14:textId="77777777" w:rsidR="00CD21DC" w:rsidRPr="00662906" w:rsidRDefault="00CD21DC" w:rsidP="00E67269"/>
    <w:p w14:paraId="43ABE600" w14:textId="77777777" w:rsidR="00656820" w:rsidRPr="00662906" w:rsidRDefault="00656820" w:rsidP="00656820">
      <w:r w:rsidRPr="00662906">
        <w:br w:type="page"/>
      </w:r>
    </w:p>
    <w:p w14:paraId="776B117A" w14:textId="21A3C1FE" w:rsidR="00475318" w:rsidRPr="00662906" w:rsidRDefault="00EA2A2B" w:rsidP="00475318">
      <w:pPr>
        <w:pStyle w:val="Heading1"/>
      </w:pPr>
      <w:bookmarkStart w:id="574" w:name="_Toc197433854"/>
      <w:r w:rsidRPr="00662906">
        <w:lastRenderedPageBreak/>
        <w:t>ACTION PLAN</w:t>
      </w:r>
      <w:bookmarkStart w:id="575" w:name="_Toc171955540"/>
      <w:bookmarkStart w:id="576" w:name="_Toc176190943"/>
      <w:bookmarkStart w:id="577" w:name="_Toc176191115"/>
      <w:bookmarkStart w:id="578" w:name="_Toc176341836"/>
      <w:bookmarkStart w:id="579" w:name="_Toc176430230"/>
      <w:bookmarkStart w:id="580" w:name="_Toc176430287"/>
      <w:bookmarkStart w:id="581" w:name="_Toc176441420"/>
      <w:bookmarkStart w:id="582" w:name="_Toc176442075"/>
      <w:bookmarkEnd w:id="418"/>
      <w:bookmarkEnd w:id="419"/>
      <w:bookmarkEnd w:id="420"/>
      <w:bookmarkEnd w:id="421"/>
      <w:bookmarkEnd w:id="422"/>
      <w:bookmarkEnd w:id="423"/>
      <w:bookmarkEnd w:id="424"/>
      <w:bookmarkEnd w:id="425"/>
      <w:bookmarkEnd w:id="426"/>
      <w:bookmarkEnd w:id="574"/>
    </w:p>
    <w:p w14:paraId="2F8E7CFC" w14:textId="77777777" w:rsidR="0099510B" w:rsidRPr="00662906" w:rsidRDefault="0099510B" w:rsidP="00BC0340">
      <w:pPr>
        <w:pStyle w:val="Heading2"/>
        <w:rPr>
          <w:b w:val="0"/>
        </w:rPr>
      </w:pPr>
      <w:bookmarkStart w:id="583" w:name="_Toc197433855"/>
      <w:bookmarkEnd w:id="575"/>
      <w:bookmarkEnd w:id="576"/>
      <w:bookmarkEnd w:id="577"/>
      <w:bookmarkEnd w:id="578"/>
      <w:bookmarkEnd w:id="579"/>
      <w:bookmarkEnd w:id="580"/>
      <w:bookmarkEnd w:id="581"/>
      <w:bookmarkEnd w:id="582"/>
      <w:r w:rsidRPr="00662906">
        <w:t>Introduction and Methodological Approach</w:t>
      </w:r>
      <w:bookmarkEnd w:id="583"/>
    </w:p>
    <w:p w14:paraId="085D9E60" w14:textId="77777777" w:rsidR="0099510B" w:rsidRPr="00662906" w:rsidRDefault="0099510B" w:rsidP="0099510B">
      <w:pPr>
        <w:rPr>
          <w:rFonts w:eastAsia="Times New Roman" w:cs="Arial"/>
          <w:color w:val="53575A"/>
        </w:rPr>
      </w:pPr>
      <w:r w:rsidRPr="00662906">
        <w:rPr>
          <w:rFonts w:eastAsia="Times New Roman" w:cs="Arial"/>
          <w:color w:val="53575A"/>
        </w:rPr>
        <w:t>This chapter sets out the detailed Action Plan supporting the African Union Energy Transition Strategy. It begins with an explanation of the conceptual framework adopted and the key terms employed, ensuring clarity for all stakeholders. Central to the approach is a Theory of Change perspective, which helps illustrate how each intervention can lead to tangible improvements, from foundational activities to measurable outcomes. By laying out these definitions and the structure used to present them, readers can readily understand how each element contributes to the broader aims of the Strategy.</w:t>
      </w:r>
    </w:p>
    <w:p w14:paraId="0A917FA7" w14:textId="77777777" w:rsidR="0099510B" w:rsidRPr="00662906" w:rsidRDefault="0099510B" w:rsidP="0099510B">
      <w:pPr>
        <w:rPr>
          <w:rFonts w:eastAsia="Times New Roman" w:cs="Arial"/>
          <w:color w:val="53575A"/>
        </w:rPr>
      </w:pPr>
      <w:r w:rsidRPr="00662906">
        <w:rPr>
          <w:rFonts w:eastAsia="Times New Roman" w:cs="Arial"/>
          <w:color w:val="53575A"/>
        </w:rPr>
        <w:t>Underpinning this chapter is a Theory of Change model, which identifies critical drivers of transformation in each sector and maps how they are expected to generate positive shifts over time. At its heart, this model shows the logical flow from everyday tasks and immediate results to meaningful, longer-term benefits for African societies. By clarifying these pathways, the Strategy ensures that every action has a clear rationale and that the sum of these actions leads to the intended impact.</w:t>
      </w:r>
    </w:p>
    <w:p w14:paraId="0ADAD4AE" w14:textId="7EB546B1" w:rsidR="0099510B" w:rsidRPr="00662906" w:rsidRDefault="0099510B" w:rsidP="0099510B">
      <w:pPr>
        <w:rPr>
          <w:rFonts w:eastAsia="Times New Roman" w:cs="Arial"/>
          <w:color w:val="53575A"/>
        </w:rPr>
      </w:pPr>
      <w:r w:rsidRPr="00662906">
        <w:rPr>
          <w:rFonts w:eastAsia="Times New Roman" w:cs="Arial"/>
          <w:color w:val="53575A"/>
        </w:rPr>
        <w:t xml:space="preserve">Each sector is divided into </w:t>
      </w:r>
      <w:r w:rsidRPr="00662906">
        <w:rPr>
          <w:rFonts w:eastAsia="Times New Roman" w:cs="Arial"/>
          <w:i/>
          <w:iCs/>
          <w:color w:val="53575A"/>
        </w:rPr>
        <w:t>Strategic Interventions</w:t>
      </w:r>
      <w:r w:rsidR="00676C84" w:rsidRPr="00662906">
        <w:rPr>
          <w:rStyle w:val="FootnoteReference"/>
          <w:rFonts w:eastAsia="Times New Roman" w:cs="Arial"/>
          <w:i/>
          <w:iCs/>
          <w:color w:val="53575A"/>
        </w:rPr>
        <w:footnoteReference w:id="32"/>
      </w:r>
      <w:r w:rsidRPr="00662906">
        <w:rPr>
          <w:rFonts w:eastAsia="Times New Roman" w:cs="Arial"/>
          <w:color w:val="53575A"/>
        </w:rPr>
        <w:t xml:space="preserve">, which are high-level focus areas deemed necessary for achieving the </w:t>
      </w:r>
      <w:r w:rsidR="00676C84" w:rsidRPr="00662906">
        <w:rPr>
          <w:rFonts w:eastAsia="Times New Roman" w:cs="Arial"/>
          <w:color w:val="53575A"/>
        </w:rPr>
        <w:t>Pillars</w:t>
      </w:r>
      <w:r w:rsidRPr="00662906">
        <w:rPr>
          <w:rFonts w:eastAsia="Times New Roman" w:cs="Arial"/>
          <w:color w:val="53575A"/>
        </w:rPr>
        <w:t xml:space="preserve"> set out in the Strategy. Underpinning each Strategic Intervention is a concise “Pathway to Change,” illustrating how the intervention fits into the broader Theory of Change and </w:t>
      </w:r>
      <w:r w:rsidR="00D47CF7" w:rsidRPr="00662906">
        <w:rPr>
          <w:rFonts w:eastAsia="Times New Roman" w:cs="Arial"/>
          <w:color w:val="53575A"/>
        </w:rPr>
        <w:t>informing the Actions that lead to the</w:t>
      </w:r>
      <w:r w:rsidRPr="00662906">
        <w:rPr>
          <w:rFonts w:eastAsia="Times New Roman" w:cs="Arial"/>
          <w:color w:val="53575A"/>
        </w:rPr>
        <w:t xml:space="preserve"> to the intended results. Within each </w:t>
      </w:r>
      <w:r w:rsidRPr="00662906">
        <w:rPr>
          <w:rFonts w:eastAsia="Times New Roman" w:cs="Arial"/>
          <w:i/>
          <w:iCs/>
          <w:color w:val="53575A"/>
        </w:rPr>
        <w:t>Strategic Intervention</w:t>
      </w:r>
      <w:r w:rsidRPr="00662906">
        <w:rPr>
          <w:rFonts w:eastAsia="Times New Roman" w:cs="Arial"/>
          <w:color w:val="53575A"/>
        </w:rPr>
        <w:t xml:space="preserve">, specific </w:t>
      </w:r>
      <w:r w:rsidRPr="00662906">
        <w:rPr>
          <w:rFonts w:eastAsia="Times New Roman" w:cs="Arial"/>
          <w:i/>
          <w:iCs/>
          <w:color w:val="53575A"/>
        </w:rPr>
        <w:t>Actions</w:t>
      </w:r>
      <w:r w:rsidRPr="00662906">
        <w:rPr>
          <w:rFonts w:eastAsia="Times New Roman" w:cs="Arial"/>
          <w:color w:val="53575A"/>
        </w:rPr>
        <w:t xml:space="preserve"> translate overarching intentions into more precise undertakings. These actions are, in turn, broken down into </w:t>
      </w:r>
      <w:r w:rsidRPr="00662906">
        <w:rPr>
          <w:rFonts w:eastAsia="Times New Roman" w:cs="Arial"/>
          <w:i/>
          <w:iCs/>
          <w:color w:val="53575A"/>
        </w:rPr>
        <w:t>Activities</w:t>
      </w:r>
      <w:r w:rsidRPr="00662906">
        <w:rPr>
          <w:rFonts w:eastAsia="Times New Roman" w:cs="Arial"/>
          <w:color w:val="53575A"/>
        </w:rPr>
        <w:t>, which are well-defined tasks such as policy reviews, training programs, infrastructure upgrades, data collection efforts, and so forth. Activities form the operational backbone of the Action Plan, laying out the day-to-day work that puts each action into effect.</w:t>
      </w:r>
    </w:p>
    <w:p w14:paraId="081DD4BB" w14:textId="77777777" w:rsidR="0099510B" w:rsidRPr="00662906" w:rsidRDefault="0099510B" w:rsidP="0099510B">
      <w:pPr>
        <w:rPr>
          <w:rFonts w:eastAsia="Times New Roman" w:cs="Arial"/>
          <w:color w:val="53575A"/>
        </w:rPr>
      </w:pPr>
      <w:r w:rsidRPr="00662906">
        <w:rPr>
          <w:rFonts w:eastAsia="Times New Roman" w:cs="Arial"/>
          <w:color w:val="53575A"/>
        </w:rPr>
        <w:t>Two categories of results help measure the success of these actions.</w:t>
      </w:r>
    </w:p>
    <w:p w14:paraId="7B76C247" w14:textId="77777777" w:rsidR="0099510B" w:rsidRPr="00662906" w:rsidRDefault="0099510B" w:rsidP="005C5546">
      <w:pPr>
        <w:numPr>
          <w:ilvl w:val="0"/>
          <w:numId w:val="57"/>
        </w:numPr>
        <w:rPr>
          <w:rFonts w:eastAsia="Times New Roman" w:cs="Arial"/>
          <w:color w:val="53575A"/>
        </w:rPr>
      </w:pPr>
      <w:r w:rsidRPr="00662906">
        <w:rPr>
          <w:rFonts w:eastAsia="Times New Roman" w:cs="Arial"/>
          <w:i/>
          <w:iCs/>
          <w:color w:val="53575A"/>
        </w:rPr>
        <w:t>Expected Outputs</w:t>
      </w:r>
      <w:r w:rsidRPr="00662906">
        <w:rPr>
          <w:rFonts w:eastAsia="Times New Roman" w:cs="Arial"/>
          <w:color w:val="53575A"/>
        </w:rPr>
        <w:t xml:space="preserve"> capture the immediate products or services that stem from the activities implemented per action—such as guidelines developed, capacity-building sessions conducted, or new data systems operationalized. These outputs are the direct, tangible evidence of progress.</w:t>
      </w:r>
    </w:p>
    <w:p w14:paraId="16080E6A" w14:textId="45DDD897" w:rsidR="0099510B" w:rsidRPr="00662906" w:rsidRDefault="0099510B" w:rsidP="005C5546">
      <w:pPr>
        <w:numPr>
          <w:ilvl w:val="0"/>
          <w:numId w:val="57"/>
        </w:numPr>
        <w:rPr>
          <w:rFonts w:eastAsia="Times New Roman" w:cs="Arial"/>
          <w:color w:val="53575A"/>
        </w:rPr>
      </w:pPr>
      <w:r w:rsidRPr="00662906">
        <w:rPr>
          <w:rFonts w:eastAsia="Times New Roman" w:cs="Arial"/>
          <w:i/>
          <w:iCs/>
          <w:color w:val="53575A"/>
        </w:rPr>
        <w:t>Expected Outcomes</w:t>
      </w:r>
      <w:r w:rsidRPr="00662906">
        <w:rPr>
          <w:rFonts w:eastAsia="Times New Roman" w:cs="Arial"/>
          <w:color w:val="53575A"/>
        </w:rPr>
        <w:t xml:space="preserve"> represent </w:t>
      </w:r>
      <w:r w:rsidR="00676C84" w:rsidRPr="00662906">
        <w:rPr>
          <w:rFonts w:eastAsia="Times New Roman" w:cs="Arial"/>
          <w:color w:val="53575A"/>
        </w:rPr>
        <w:t xml:space="preserve">the desired and expected results in form of </w:t>
      </w:r>
      <w:r w:rsidRPr="00662906">
        <w:rPr>
          <w:rFonts w:eastAsia="Times New Roman" w:cs="Arial"/>
          <w:color w:val="53575A"/>
        </w:rPr>
        <w:t>changes or benefits that the outputs cataly</w:t>
      </w:r>
      <w:r w:rsidR="006C4FF8" w:rsidRPr="00662906">
        <w:rPr>
          <w:rFonts w:eastAsia="Times New Roman" w:cs="Arial"/>
          <w:color w:val="53575A"/>
        </w:rPr>
        <w:t>s</w:t>
      </w:r>
      <w:r w:rsidRPr="00662906">
        <w:rPr>
          <w:rFonts w:eastAsia="Times New Roman" w:cs="Arial"/>
          <w:color w:val="53575A"/>
        </w:rPr>
        <w:t>e. Examples include greater institutional capacity for energy planning, enhanced regulatory frameworks, or improved knowledge among practitioners and policymakers.</w:t>
      </w:r>
    </w:p>
    <w:p w14:paraId="4E1DAC48" w14:textId="535E1B24" w:rsidR="0099510B" w:rsidRPr="00662906" w:rsidRDefault="0099510B" w:rsidP="0099510B">
      <w:pPr>
        <w:rPr>
          <w:rFonts w:eastAsia="Times New Roman" w:cs="Arial"/>
          <w:color w:val="53575A"/>
        </w:rPr>
      </w:pPr>
      <w:r w:rsidRPr="00662906">
        <w:rPr>
          <w:rFonts w:eastAsia="Times New Roman" w:cs="Arial"/>
          <w:color w:val="53575A"/>
        </w:rPr>
        <w:t xml:space="preserve">To track whether the Strategy is on course, </w:t>
      </w:r>
      <w:r w:rsidR="00676C84" w:rsidRPr="00662906">
        <w:rPr>
          <w:rFonts w:eastAsia="Times New Roman" w:cs="Arial"/>
          <w:color w:val="53575A"/>
        </w:rPr>
        <w:t>the</w:t>
      </w:r>
      <w:r w:rsidRPr="00662906">
        <w:rPr>
          <w:rFonts w:eastAsia="Times New Roman" w:cs="Arial"/>
          <w:color w:val="53575A"/>
        </w:rPr>
        <w:t xml:space="preserve"> outcome</w:t>
      </w:r>
      <w:r w:rsidR="00676C84" w:rsidRPr="00662906">
        <w:rPr>
          <w:rFonts w:eastAsia="Times New Roman" w:cs="Arial"/>
          <w:color w:val="53575A"/>
        </w:rPr>
        <w:t>s are</w:t>
      </w:r>
      <w:r w:rsidRPr="00662906">
        <w:rPr>
          <w:rFonts w:eastAsia="Times New Roman" w:cs="Arial"/>
          <w:color w:val="53575A"/>
        </w:rPr>
        <w:t xml:space="preserve"> paired with chosen </w:t>
      </w:r>
      <w:r w:rsidRPr="00662906">
        <w:rPr>
          <w:rFonts w:eastAsia="Times New Roman" w:cs="Arial"/>
          <w:i/>
          <w:iCs/>
          <w:color w:val="53575A"/>
        </w:rPr>
        <w:t>Key Performance Indicators (KPIs)</w:t>
      </w:r>
      <w:r w:rsidRPr="00662906">
        <w:rPr>
          <w:rFonts w:eastAsia="Times New Roman" w:cs="Arial"/>
          <w:color w:val="53575A"/>
        </w:rPr>
        <w:t>. These indicators may be quantitative or qualitative. By reviewing KPI data at regular intervals, implementing agencies and stakeholders can confirm that actions are bearing fruit, make course corrections if required, and maintain accountability for results.</w:t>
      </w:r>
    </w:p>
    <w:p w14:paraId="636733B3" w14:textId="298484F2" w:rsidR="0099510B" w:rsidRPr="00662906" w:rsidRDefault="0099510B" w:rsidP="0099510B">
      <w:pPr>
        <w:rPr>
          <w:rFonts w:eastAsia="Times New Roman" w:cs="Arial"/>
          <w:color w:val="53575A"/>
        </w:rPr>
      </w:pPr>
      <w:r w:rsidRPr="00662906">
        <w:rPr>
          <w:rFonts w:eastAsia="Times New Roman" w:cs="Arial"/>
          <w:color w:val="53575A"/>
        </w:rPr>
        <w:t xml:space="preserve">In the pages ahead, each Strategic Intervention is presented in a structured format that highlights the actions to be taken, the activities involved, the parties responsible for implementation, and the timeframe envisaged. Alongside each action, the expected outputs and outcomes are presented, together with </w:t>
      </w:r>
      <w:r w:rsidR="00676C84" w:rsidRPr="00662906">
        <w:rPr>
          <w:rFonts w:eastAsia="Times New Roman" w:cs="Arial"/>
          <w:color w:val="53575A"/>
        </w:rPr>
        <w:t>respective</w:t>
      </w:r>
      <w:r w:rsidRPr="00662906">
        <w:rPr>
          <w:rFonts w:eastAsia="Times New Roman" w:cs="Arial"/>
          <w:color w:val="53575A"/>
        </w:rPr>
        <w:t xml:space="preserve"> KPIs. This format makes it easier to see how everyday tasks build toward the overarching objectives of each sector. It also ensures that governments, development partners, and other collaborators have a clear reference point when coordinating, monitoring, and assessing the Strategy’s progress.</w:t>
      </w:r>
    </w:p>
    <w:p w14:paraId="0937494D" w14:textId="77777777" w:rsidR="0099510B" w:rsidRPr="00662906" w:rsidRDefault="0099510B" w:rsidP="0099510B">
      <w:pPr>
        <w:rPr>
          <w:rFonts w:eastAsia="Times New Roman" w:cs="Arial"/>
          <w:color w:val="53575A"/>
        </w:rPr>
      </w:pPr>
      <w:r w:rsidRPr="00662906">
        <w:rPr>
          <w:rFonts w:eastAsia="Times New Roman" w:cs="Arial"/>
          <w:color w:val="53575A"/>
        </w:rPr>
        <w:t>The overarching aim is to tie immediate efforts to meaningful change, guided by the logic of the Theory of Change and measured through recognizable milestones. Through this framework, the African Union Energy Transition Strategy moves from broad vision to on-the-ground reality, backed by transparent goals, structured planning, and an evidence-based plan of action.</w:t>
      </w:r>
    </w:p>
    <w:p w14:paraId="57114616" w14:textId="21911C4B" w:rsidR="0022242B" w:rsidRPr="00662906" w:rsidRDefault="0022242B" w:rsidP="006250C4">
      <w:pPr>
        <w:pStyle w:val="Heading2"/>
      </w:pPr>
      <w:bookmarkStart w:id="584" w:name="_Toc189750064"/>
      <w:bookmarkStart w:id="585" w:name="_Toc189750270"/>
      <w:bookmarkStart w:id="586" w:name="_Toc189754986"/>
      <w:bookmarkStart w:id="587" w:name="_Toc176190952"/>
      <w:bookmarkStart w:id="588" w:name="_Toc176191118"/>
      <w:bookmarkStart w:id="589" w:name="_Toc176341839"/>
      <w:bookmarkStart w:id="590" w:name="_Toc176430233"/>
      <w:bookmarkStart w:id="591" w:name="_Toc176430290"/>
      <w:bookmarkStart w:id="592" w:name="_Toc176441423"/>
      <w:bookmarkStart w:id="593" w:name="_Toc176442078"/>
      <w:bookmarkStart w:id="594" w:name="_Toc178937491"/>
      <w:bookmarkStart w:id="595" w:name="_Toc197433856"/>
      <w:bookmarkEnd w:id="584"/>
      <w:bookmarkEnd w:id="585"/>
      <w:bookmarkEnd w:id="586"/>
      <w:r w:rsidRPr="00662906">
        <w:lastRenderedPageBreak/>
        <w:t>Electricity</w:t>
      </w:r>
      <w:bookmarkEnd w:id="587"/>
      <w:bookmarkEnd w:id="588"/>
      <w:bookmarkEnd w:id="589"/>
      <w:bookmarkEnd w:id="590"/>
      <w:bookmarkEnd w:id="591"/>
      <w:bookmarkEnd w:id="592"/>
      <w:bookmarkEnd w:id="593"/>
      <w:bookmarkEnd w:id="594"/>
      <w:bookmarkEnd w:id="595"/>
    </w:p>
    <w:p w14:paraId="1DA4878A" w14:textId="16EDE509" w:rsidR="00904E5C" w:rsidRPr="00662906" w:rsidRDefault="315CCB69" w:rsidP="00904E5C">
      <w:r w:rsidRPr="00662906">
        <w:t>Originating from the situational analysis, the relevant strategy is to provide solutions for implementation of decarbonization technical measures that will accelerate deployment of RES supported by policy/legal/regulatory/standards and R&amp;D. Deployment of RES will be facilitated by the declining and competitive costs particularly for solar and wind technologies</w:t>
      </w:r>
      <w:r w:rsidR="00C00487" w:rsidRPr="00662906">
        <w:t>.</w:t>
      </w:r>
      <w:r w:rsidRPr="00662906">
        <w:t xml:space="preserve"> </w:t>
      </w:r>
      <w:r w:rsidR="00C00487" w:rsidRPr="00662906">
        <w:t>Between 2010 and 2023 there was a 90% decrease in LCOE for solar PV and a 63% decrease in LCOE for wind</w:t>
      </w:r>
      <w:r w:rsidR="00C00487" w:rsidRPr="00662906">
        <w:rPr>
          <w:rStyle w:val="FootnoteReference"/>
        </w:rPr>
        <w:footnoteReference w:id="33"/>
      </w:r>
      <w:r w:rsidR="00C00487" w:rsidRPr="00662906">
        <w:t>.</w:t>
      </w:r>
    </w:p>
    <w:p w14:paraId="1005186A" w14:textId="2B4DBDC1" w:rsidR="00904E5C" w:rsidRPr="00662906" w:rsidRDefault="00904E5C" w:rsidP="00904E5C">
      <w:r w:rsidRPr="00662906" w:rsidDel="00722F05">
        <w:t xml:space="preserve"> </w:t>
      </w:r>
      <w:r w:rsidR="00767498" w:rsidRPr="00662906">
        <w:t xml:space="preserve">Therefore, the strategic objective for the sector is </w:t>
      </w:r>
      <w:r w:rsidRPr="00662906">
        <w:rPr>
          <w:b/>
          <w:bCs/>
        </w:rPr>
        <w:t xml:space="preserve">to Strengthen and Modernize </w:t>
      </w:r>
      <w:r w:rsidR="00825BB5" w:rsidRPr="00662906">
        <w:rPr>
          <w:b/>
          <w:bCs/>
        </w:rPr>
        <w:t>Electricity</w:t>
      </w:r>
      <w:r w:rsidR="00C505FA" w:rsidRPr="00662906">
        <w:rPr>
          <w:rStyle w:val="FootnoteReference"/>
          <w:b/>
          <w:bCs/>
        </w:rPr>
        <w:footnoteReference w:id="34"/>
      </w:r>
      <w:r w:rsidRPr="00662906">
        <w:rPr>
          <w:b/>
          <w:bCs/>
        </w:rPr>
        <w:t xml:space="preserve"> Infrastructure and systems in the Electricity Supply </w:t>
      </w:r>
      <w:r w:rsidR="00D47CF7" w:rsidRPr="00662906">
        <w:rPr>
          <w:b/>
          <w:bCs/>
        </w:rPr>
        <w:t>Sector</w:t>
      </w:r>
      <w:r w:rsidR="00767498" w:rsidRPr="00662906">
        <w:t xml:space="preserve">. </w:t>
      </w:r>
    </w:p>
    <w:p w14:paraId="2E8650D5" w14:textId="2CA73B86" w:rsidR="00904E5C" w:rsidRPr="00662906" w:rsidRDefault="315CCB69" w:rsidP="00904E5C">
      <w:r w:rsidRPr="00662906">
        <w:t xml:space="preserve">For the electricity generation, the objective relates to the integrated deployment of the various clean energy sources, both grid and off-grid systems to meet demand, reduce losses and address intermittence of RE. </w:t>
      </w:r>
      <w:r w:rsidR="00767498" w:rsidRPr="00662906">
        <w:t>Distributed generation systems such as m</w:t>
      </w:r>
      <w:r w:rsidRPr="00662906">
        <w:t xml:space="preserve">ini-grids/off-grid systems, floating solar PV, roof-top solar, emerging small scale wind systems, and battery storage systems </w:t>
      </w:r>
      <w:r w:rsidR="00D47CF7" w:rsidRPr="00662906">
        <w:t xml:space="preserve">are included to </w:t>
      </w:r>
      <w:r w:rsidRPr="00662906">
        <w:t>can address</w:t>
      </w:r>
      <w:r w:rsidR="00D47CF7" w:rsidRPr="00662906">
        <w:t xml:space="preserve"> electricity</w:t>
      </w:r>
      <w:r w:rsidRPr="00662906">
        <w:t xml:space="preserve"> access issues and to some extent network losses by avoiding long transmission and distribution line losses. </w:t>
      </w:r>
      <w:r w:rsidR="00251FF1" w:rsidRPr="00662906">
        <w:t>The RE intermittence will be addressed by deployment of Advanced Energy Storage Systems like various types of batteries, pumped-hydro and other emerging storage technologies</w:t>
      </w:r>
      <w:r w:rsidR="00251FF1" w:rsidRPr="00662906">
        <w:rPr>
          <w:vertAlign w:val="superscript"/>
        </w:rPr>
        <w:footnoteReference w:id="35"/>
      </w:r>
      <w:r w:rsidR="00251FF1" w:rsidRPr="00662906">
        <w:t>.</w:t>
      </w:r>
    </w:p>
    <w:p w14:paraId="71D7C94D" w14:textId="47D07E79" w:rsidR="00904E5C" w:rsidRPr="00662906" w:rsidRDefault="315CCB69" w:rsidP="00904E5C">
      <w:r w:rsidRPr="00662906">
        <w:t>The strengthening and modernization of the network infrastructure relates to upgrading of the electricity grid and systems to handle renewable integrations and improve energy supply and distribution efficiency. The digitalization of the network systems adds to the modernization aspects of both the transmission and distribution systems.</w:t>
      </w:r>
    </w:p>
    <w:p w14:paraId="7F0F268B" w14:textId="0D86B1CC" w:rsidR="4AE903E7" w:rsidRPr="00662906" w:rsidRDefault="4AE903E7">
      <w:r w:rsidRPr="00662906">
        <w:t xml:space="preserve">The success of these technical measures will require </w:t>
      </w:r>
      <w:r w:rsidR="00527FBF" w:rsidRPr="00662906">
        <w:t>conducive</w:t>
      </w:r>
      <w:r w:rsidRPr="00662906">
        <w:t xml:space="preserve"> market reforms supported by R&amp;D.</w:t>
      </w:r>
    </w:p>
    <w:p w14:paraId="358D46B1" w14:textId="4F722199" w:rsidR="2D9E25B5" w:rsidRPr="00662906" w:rsidRDefault="315CCB69">
      <w:r w:rsidRPr="00662906">
        <w:t>On the enabling environment opening up the markets for direct supplies from generators to consumers avoiding the single buyer bottlenecks will entice potential investors to explore expansion of RE generation and supply in the continent. This will require attraction and protection of the investors legally to realize their return on investments. Special legal and regulatory frameworks and cost reflective pricing will be needed for both cross-border trade and deployment of mini-grids and other off-grid systems.</w:t>
      </w:r>
    </w:p>
    <w:p w14:paraId="4945344A" w14:textId="77777777" w:rsidR="06B1C3A2" w:rsidRPr="00662906" w:rsidRDefault="06B1C3A2">
      <w:r w:rsidRPr="00662906">
        <w:t>The formulated Strategic Interventions around this strategic objective are thus framed as follows:</w:t>
      </w:r>
    </w:p>
    <w:p w14:paraId="3F414719" w14:textId="40586A70" w:rsidR="06B1C3A2" w:rsidRPr="00662906" w:rsidRDefault="06B1C3A2" w:rsidP="2D9E25B5">
      <w:pPr>
        <w:rPr>
          <w:b/>
          <w:bCs/>
        </w:rPr>
      </w:pPr>
      <w:r w:rsidRPr="00662906">
        <w:rPr>
          <w:b/>
          <w:bCs/>
        </w:rPr>
        <w:t>Strategic Intervention 1: Accelerate the deployment of RE</w:t>
      </w:r>
    </w:p>
    <w:p w14:paraId="0EFD021A" w14:textId="564825AA" w:rsidR="2D9E25B5" w:rsidRPr="00662906" w:rsidRDefault="06B1C3A2">
      <w:r w:rsidRPr="00662906">
        <w:rPr>
          <w:b/>
          <w:bCs/>
        </w:rPr>
        <w:t>Strategic Intervention 2: Foster and Accelerate development of resilient Transmission and Distribution networks to support deployment and trade of clean and RE power</w:t>
      </w:r>
    </w:p>
    <w:p w14:paraId="46657524" w14:textId="4E104E00" w:rsidR="005852FE" w:rsidRPr="00662906" w:rsidRDefault="6FCB20F2" w:rsidP="004423E5">
      <w:pPr>
        <w:sectPr w:rsidR="005852FE" w:rsidRPr="00662906" w:rsidSect="0095265D">
          <w:footerReference w:type="first" r:id="rId29"/>
          <w:pgSz w:w="11906" w:h="16838"/>
          <w:pgMar w:top="1440" w:right="1440" w:bottom="1440" w:left="1440" w:header="720" w:footer="720" w:gutter="0"/>
          <w:cols w:space="720"/>
          <w:titlePg/>
          <w:docGrid w:linePitch="360"/>
        </w:sectPr>
      </w:pPr>
      <w:r w:rsidRPr="00662906">
        <w:t>The Action Plans developed for the</w:t>
      </w:r>
      <w:r w:rsidR="0544355D" w:rsidRPr="00662906">
        <w:t>se</w:t>
      </w:r>
      <w:r w:rsidRPr="00662906">
        <w:t xml:space="preserve"> selected strategic interventions are presented in </w:t>
      </w:r>
      <w:r w:rsidR="10DD5C4F" w:rsidRPr="00662906">
        <w:t>the tables below</w:t>
      </w:r>
      <w:r w:rsidR="17582AE5" w:rsidRPr="00662906">
        <w:t xml:space="preserve"> (Table </w:t>
      </w:r>
      <w:r w:rsidR="003C4B5B" w:rsidRPr="00662906">
        <w:t>17-18</w:t>
      </w:r>
      <w:r w:rsidR="17582AE5" w:rsidRPr="00662906">
        <w:t>)</w:t>
      </w:r>
      <w:r w:rsidR="00A33B58" w:rsidRPr="00662906">
        <w:t xml:space="preserve"> </w:t>
      </w:r>
      <w:r w:rsidR="08164B37" w:rsidRPr="00662906">
        <w:t>motivated by the Pathway</w:t>
      </w:r>
      <w:r w:rsidR="00A33B58" w:rsidRPr="00662906">
        <w:t>s</w:t>
      </w:r>
      <w:r w:rsidR="08164B37" w:rsidRPr="00662906">
        <w:t xml:space="preserve"> to Change</w:t>
      </w:r>
      <w:r w:rsidR="00A33B58" w:rsidRPr="00662906">
        <w:t xml:space="preserve"> as provided</w:t>
      </w:r>
      <w:r w:rsidR="0005404D" w:rsidRPr="00662906">
        <w:t>.</w:t>
      </w:r>
    </w:p>
    <w:p w14:paraId="44499908" w14:textId="7A843D9B" w:rsidR="00F724C2" w:rsidRPr="00662906" w:rsidRDefault="00344D61" w:rsidP="00AD6050">
      <w:pPr>
        <w:pStyle w:val="Caption"/>
        <w:keepNext/>
      </w:pPr>
      <w:bookmarkStart w:id="596" w:name="_Toc176430318"/>
      <w:bookmarkStart w:id="597" w:name="_Toc197433905"/>
      <w:r w:rsidRPr="00662906">
        <w:lastRenderedPageBreak/>
        <w:t xml:space="preserve">Table </w:t>
      </w:r>
      <w:fldSimple w:instr=" SEQ Table \* ARABIC ">
        <w:r w:rsidR="00610F61">
          <w:rPr>
            <w:noProof/>
          </w:rPr>
          <w:t>17</w:t>
        </w:r>
      </w:fldSimple>
      <w:r w:rsidRPr="00662906">
        <w:t xml:space="preserve">: </w:t>
      </w:r>
      <w:r w:rsidR="7BF08DCA" w:rsidRPr="00662906">
        <w:t xml:space="preserve">Action Plan for Strategic Intervention </w:t>
      </w:r>
      <w:r w:rsidR="20E1C79A" w:rsidRPr="00662906">
        <w:t>1</w:t>
      </w:r>
      <w:r w:rsidR="7BF08DCA" w:rsidRPr="00662906">
        <w:t xml:space="preserve">: </w:t>
      </w:r>
      <w:bookmarkEnd w:id="596"/>
      <w:r w:rsidR="00B572CF" w:rsidRPr="00662906">
        <w:t>Accelerate the deployment of RE</w:t>
      </w:r>
      <w:bookmarkEnd w:id="597"/>
    </w:p>
    <w:tbl>
      <w:tblPr>
        <w:tblStyle w:val="TableGrid"/>
        <w:tblpPr w:leftFromText="180" w:rightFromText="180" w:vertAnchor="text" w:tblpY="1"/>
        <w:tblOverlap w:val="never"/>
        <w:tblW w:w="14464"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60"/>
        <w:gridCol w:w="1188"/>
        <w:gridCol w:w="8"/>
        <w:gridCol w:w="3252"/>
        <w:gridCol w:w="8"/>
        <w:gridCol w:w="1268"/>
        <w:gridCol w:w="8"/>
        <w:gridCol w:w="1062"/>
        <w:gridCol w:w="8"/>
        <w:gridCol w:w="1190"/>
        <w:gridCol w:w="8"/>
        <w:gridCol w:w="843"/>
        <w:gridCol w:w="8"/>
        <w:gridCol w:w="1834"/>
        <w:gridCol w:w="8"/>
        <w:gridCol w:w="1693"/>
        <w:gridCol w:w="8"/>
        <w:gridCol w:w="1835"/>
        <w:gridCol w:w="8"/>
      </w:tblGrid>
      <w:tr w:rsidR="00AF6B52" w:rsidRPr="00662906" w14:paraId="76A37D81" w14:textId="77777777" w:rsidTr="009A0D6A">
        <w:trPr>
          <w:trHeight w:val="360"/>
        </w:trPr>
        <w:tc>
          <w:tcPr>
            <w:tcW w:w="14464" w:type="dxa"/>
            <w:gridSpan w:val="20"/>
            <w:shd w:val="clear" w:color="auto" w:fill="B4A269"/>
          </w:tcPr>
          <w:p w14:paraId="7D0B81A4" w14:textId="2490CB3D" w:rsidR="00AF6B52" w:rsidRPr="00662906" w:rsidRDefault="00AF6B52" w:rsidP="00E8722A">
            <w:pPr>
              <w:spacing w:before="60" w:after="60"/>
              <w:ind w:left="-57" w:right="-57"/>
              <w:rPr>
                <w:rFonts w:eastAsia="Arial" w:cs="Arial"/>
                <w:b/>
                <w:color w:val="FFFFFF"/>
                <w:sz w:val="16"/>
                <w:szCs w:val="16"/>
              </w:rPr>
            </w:pPr>
            <w:r w:rsidRPr="00662906">
              <w:rPr>
                <w:rFonts w:eastAsia="Arial" w:cs="Arial"/>
                <w:b/>
                <w:color w:val="FFFFFF"/>
                <w:sz w:val="16"/>
                <w:szCs w:val="16"/>
              </w:rPr>
              <w:t>Pathway to Change: The</w:t>
            </w:r>
            <w:r w:rsidR="00A33B58" w:rsidRPr="00662906">
              <w:rPr>
                <w:rFonts w:eastAsia="Arial" w:cs="Arial"/>
                <w:b/>
                <w:color w:val="FFFFFF"/>
                <w:sz w:val="16"/>
                <w:szCs w:val="16"/>
              </w:rPr>
              <w:t xml:space="preserve"> </w:t>
            </w:r>
            <w:r w:rsidRPr="00662906">
              <w:rPr>
                <w:rFonts w:eastAsia="Arial" w:cs="Arial"/>
                <w:b/>
                <w:color w:val="FFFFFF"/>
                <w:sz w:val="16"/>
                <w:szCs w:val="16"/>
              </w:rPr>
              <w:t xml:space="preserve">adequacy of </w:t>
            </w:r>
            <w:r w:rsidR="00A33B58" w:rsidRPr="00662906">
              <w:rPr>
                <w:rFonts w:eastAsia="Arial" w:cs="Arial"/>
                <w:b/>
                <w:color w:val="FFFFFF"/>
                <w:sz w:val="16"/>
                <w:szCs w:val="16"/>
              </w:rPr>
              <w:t>electricity</w:t>
            </w:r>
            <w:r w:rsidRPr="00662906">
              <w:rPr>
                <w:rFonts w:eastAsia="Arial" w:cs="Arial"/>
                <w:b/>
                <w:color w:val="FFFFFF"/>
                <w:sz w:val="16"/>
                <w:szCs w:val="16"/>
              </w:rPr>
              <w:t xml:space="preserve"> supply from clean energy sources </w:t>
            </w:r>
            <w:r w:rsidR="00A33B58" w:rsidRPr="00662906">
              <w:rPr>
                <w:rFonts w:eastAsia="Arial" w:cs="Arial"/>
                <w:b/>
                <w:color w:val="FFFFFF"/>
                <w:sz w:val="16"/>
                <w:szCs w:val="16"/>
              </w:rPr>
              <w:t>is still</w:t>
            </w:r>
            <w:r w:rsidRPr="00662906">
              <w:rPr>
                <w:rFonts w:eastAsia="Arial" w:cs="Arial"/>
                <w:b/>
                <w:color w:val="FFFFFF"/>
                <w:sz w:val="16"/>
                <w:szCs w:val="16"/>
              </w:rPr>
              <w:t xml:space="preserve"> to be met and the CMP has modelled grid scale RE supply</w:t>
            </w:r>
            <w:r w:rsidR="00A33B58" w:rsidRPr="00662906">
              <w:rPr>
                <w:rFonts w:eastAsia="Arial" w:cs="Arial"/>
                <w:b/>
                <w:color w:val="FFFFFF"/>
                <w:sz w:val="16"/>
                <w:szCs w:val="16"/>
              </w:rPr>
              <w:t xml:space="preserve"> (including other supply sources)</w:t>
            </w:r>
            <w:r w:rsidRPr="00662906">
              <w:rPr>
                <w:rFonts w:eastAsia="Arial" w:cs="Arial"/>
                <w:b/>
                <w:color w:val="FFFFFF"/>
                <w:sz w:val="16"/>
                <w:szCs w:val="16"/>
              </w:rPr>
              <w:t xml:space="preserve"> that will be needed to meet Africa’s demand up to 2040. The assumption is that investments will be realized in accordance with the defined timelines</w:t>
            </w:r>
            <w:r w:rsidR="00A33B58" w:rsidRPr="00662906">
              <w:rPr>
                <w:rFonts w:eastAsia="Arial" w:cs="Arial"/>
                <w:b/>
                <w:color w:val="FFFFFF"/>
                <w:sz w:val="16"/>
                <w:szCs w:val="16"/>
              </w:rPr>
              <w:t xml:space="preserve"> in the CMP hence that</w:t>
            </w:r>
            <w:r w:rsidRPr="00662906">
              <w:rPr>
                <w:rFonts w:eastAsia="Arial" w:cs="Arial"/>
                <w:b/>
                <w:color w:val="FFFFFF"/>
                <w:sz w:val="16"/>
                <w:szCs w:val="16"/>
              </w:rPr>
              <w:t xml:space="preserve"> needs to be monitored in case policy frameworks will need adjustments.</w:t>
            </w:r>
          </w:p>
          <w:p w14:paraId="3D796EFC" w14:textId="446C7045" w:rsidR="00AF6B52" w:rsidRPr="00662906" w:rsidRDefault="00AF6B52" w:rsidP="00E8722A">
            <w:pPr>
              <w:spacing w:before="60" w:after="60"/>
              <w:ind w:left="-57" w:right="-57"/>
              <w:rPr>
                <w:rFonts w:eastAsia="Arial" w:cs="Arial"/>
                <w:b/>
                <w:color w:val="FFFFFF"/>
                <w:sz w:val="16"/>
                <w:szCs w:val="16"/>
              </w:rPr>
            </w:pPr>
            <w:r w:rsidRPr="00662906">
              <w:rPr>
                <w:rFonts w:eastAsia="Arial" w:cs="Arial"/>
                <w:b/>
                <w:color w:val="FFFFFF"/>
                <w:sz w:val="16"/>
                <w:szCs w:val="16"/>
              </w:rPr>
              <w:t>CMP has scenario projections for grid electrification but not for isolated/mini-grid and off-grid systems and that opportunity is not well defined</w:t>
            </w:r>
            <w:r w:rsidR="00A33B58" w:rsidRPr="00662906">
              <w:rPr>
                <w:rFonts w:eastAsia="Arial" w:cs="Arial"/>
                <w:b/>
                <w:color w:val="FFFFFF"/>
                <w:sz w:val="16"/>
                <w:szCs w:val="16"/>
              </w:rPr>
              <w:t>. H</w:t>
            </w:r>
            <w:r w:rsidRPr="00662906">
              <w:rPr>
                <w:rFonts w:eastAsia="Arial" w:cs="Arial"/>
                <w:b/>
                <w:color w:val="FFFFFF"/>
                <w:sz w:val="16"/>
                <w:szCs w:val="16"/>
              </w:rPr>
              <w:t xml:space="preserve">ow much </w:t>
            </w:r>
            <w:r w:rsidR="00A33B58" w:rsidRPr="00662906">
              <w:rPr>
                <w:rFonts w:eastAsia="Arial" w:cs="Arial"/>
                <w:b/>
                <w:color w:val="FFFFFF"/>
                <w:sz w:val="16"/>
                <w:szCs w:val="16"/>
              </w:rPr>
              <w:t>these supply options can</w:t>
            </w:r>
            <w:r w:rsidRPr="00662906">
              <w:rPr>
                <w:rFonts w:eastAsia="Arial" w:cs="Arial"/>
                <w:b/>
                <w:color w:val="FFFFFF"/>
                <w:sz w:val="16"/>
                <w:szCs w:val="16"/>
              </w:rPr>
              <w:t xml:space="preserve"> argument the grid electricity is needed. Both grid scale and isolated RE systems will best be supported by market reforms that will be attractive to all forms of investors including private sector. </w:t>
            </w:r>
            <w:r w:rsidR="009C50D1" w:rsidRPr="00662906">
              <w:rPr>
                <w:rFonts w:eastAsia="Arial" w:cs="Arial"/>
                <w:b/>
                <w:color w:val="FFFFFF"/>
                <w:sz w:val="16"/>
                <w:szCs w:val="16"/>
              </w:rPr>
              <w:t xml:space="preserve">There is also significant demand for clean energy emanating from extensive deployment of data centres globally and may also be implemented on the continent in due course. </w:t>
            </w:r>
            <w:r w:rsidRPr="00662906">
              <w:rPr>
                <w:rFonts w:eastAsia="Arial" w:cs="Arial"/>
                <w:b/>
                <w:color w:val="FFFFFF"/>
                <w:sz w:val="16"/>
                <w:szCs w:val="16"/>
              </w:rPr>
              <w:t xml:space="preserve">R&amp;D is needed to ensure adoption </w:t>
            </w:r>
            <w:r w:rsidR="00A33B58" w:rsidRPr="00662906">
              <w:rPr>
                <w:rFonts w:eastAsia="Arial" w:cs="Arial"/>
                <w:b/>
                <w:color w:val="FFFFFF"/>
                <w:sz w:val="16"/>
                <w:szCs w:val="16"/>
              </w:rPr>
              <w:t xml:space="preserve">by the AU MS </w:t>
            </w:r>
            <w:r w:rsidRPr="00662906">
              <w:rPr>
                <w:rFonts w:eastAsia="Arial" w:cs="Arial"/>
                <w:b/>
                <w:color w:val="FFFFFF"/>
                <w:sz w:val="16"/>
                <w:szCs w:val="16"/>
              </w:rPr>
              <w:t>of the most</w:t>
            </w:r>
            <w:r w:rsidR="00A33B58" w:rsidRPr="00662906">
              <w:rPr>
                <w:rFonts w:eastAsia="Arial" w:cs="Arial"/>
                <w:b/>
                <w:color w:val="FFFFFF"/>
                <w:sz w:val="16"/>
                <w:szCs w:val="16"/>
              </w:rPr>
              <w:t xml:space="preserve"> recent </w:t>
            </w:r>
            <w:r w:rsidRPr="00662906">
              <w:rPr>
                <w:rFonts w:eastAsia="Arial" w:cs="Arial"/>
                <w:b/>
                <w:color w:val="FFFFFF"/>
                <w:sz w:val="16"/>
                <w:szCs w:val="16"/>
              </w:rPr>
              <w:t xml:space="preserve">RE technologies, their applications and impacts on achieving universal access to RE </w:t>
            </w:r>
            <w:r w:rsidR="009C50D1" w:rsidRPr="00662906">
              <w:rPr>
                <w:rFonts w:eastAsia="Arial" w:cs="Arial"/>
                <w:b/>
                <w:color w:val="FFFFFF"/>
                <w:sz w:val="16"/>
                <w:szCs w:val="16"/>
              </w:rPr>
              <w:t>for all consumers</w:t>
            </w:r>
            <w:r w:rsidRPr="00662906">
              <w:rPr>
                <w:rFonts w:eastAsia="Arial" w:cs="Arial"/>
                <w:b/>
                <w:color w:val="FFFFFF"/>
                <w:sz w:val="16"/>
                <w:szCs w:val="16"/>
              </w:rPr>
              <w:t>.</w:t>
            </w:r>
          </w:p>
        </w:tc>
      </w:tr>
      <w:tr w:rsidR="00AF6B52" w:rsidRPr="00662906" w14:paraId="5E428189" w14:textId="77777777" w:rsidTr="009A0D6A">
        <w:trPr>
          <w:trHeight w:val="699"/>
        </w:trPr>
        <w:tc>
          <w:tcPr>
            <w:tcW w:w="1423" w:type="dxa"/>
            <w:gridSpan w:val="4"/>
            <w:shd w:val="clear" w:color="auto" w:fill="B4A269"/>
            <w:tcMar>
              <w:left w:w="57" w:type="dxa"/>
              <w:right w:w="57" w:type="dxa"/>
            </w:tcMar>
            <w:vAlign w:val="center"/>
          </w:tcPr>
          <w:p w14:paraId="7912B466"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gridSpan w:val="2"/>
            <w:shd w:val="clear" w:color="auto" w:fill="B4A269"/>
            <w:tcMar>
              <w:left w:w="57" w:type="dxa"/>
              <w:right w:w="57" w:type="dxa"/>
            </w:tcMar>
            <w:vAlign w:val="center"/>
          </w:tcPr>
          <w:p w14:paraId="5D9F94AE" w14:textId="77777777" w:rsidR="00AF6B52" w:rsidRPr="00662906" w:rsidRDefault="00AF6B52"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gridSpan w:val="2"/>
            <w:shd w:val="clear" w:color="auto" w:fill="B4A269"/>
            <w:tcMar>
              <w:left w:w="57" w:type="dxa"/>
              <w:right w:w="57" w:type="dxa"/>
            </w:tcMar>
            <w:vAlign w:val="center"/>
          </w:tcPr>
          <w:p w14:paraId="4E17B924"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gridSpan w:val="2"/>
            <w:shd w:val="clear" w:color="auto" w:fill="B4A269"/>
            <w:tcMar>
              <w:left w:w="57" w:type="dxa"/>
              <w:right w:w="57" w:type="dxa"/>
            </w:tcMar>
            <w:vAlign w:val="center"/>
          </w:tcPr>
          <w:p w14:paraId="7F26836C"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gridSpan w:val="2"/>
            <w:shd w:val="clear" w:color="auto" w:fill="B4A269"/>
            <w:tcMar>
              <w:left w:w="57" w:type="dxa"/>
              <w:right w:w="57" w:type="dxa"/>
            </w:tcMar>
            <w:vAlign w:val="center"/>
          </w:tcPr>
          <w:p w14:paraId="038CD547"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gridSpan w:val="2"/>
            <w:shd w:val="clear" w:color="auto" w:fill="B4A269"/>
            <w:tcMar>
              <w:left w:w="57" w:type="dxa"/>
              <w:right w:w="57" w:type="dxa"/>
            </w:tcMar>
            <w:vAlign w:val="center"/>
          </w:tcPr>
          <w:p w14:paraId="4CDEAED4"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gridSpan w:val="2"/>
            <w:shd w:val="clear" w:color="auto" w:fill="B4A269"/>
            <w:vAlign w:val="center"/>
          </w:tcPr>
          <w:p w14:paraId="15E5D109"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gridSpan w:val="2"/>
            <w:shd w:val="clear" w:color="auto" w:fill="B4A269"/>
            <w:vAlign w:val="center"/>
          </w:tcPr>
          <w:p w14:paraId="2C910DD4"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gridSpan w:val="2"/>
            <w:shd w:val="clear" w:color="auto" w:fill="B4A269"/>
            <w:vAlign w:val="center"/>
          </w:tcPr>
          <w:p w14:paraId="53CC4366" w14:textId="77777777" w:rsidR="00AF6B52" w:rsidRPr="00662906" w:rsidRDefault="00AF6B52"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AF6B52" w:rsidRPr="00662906" w14:paraId="6127F3FF" w14:textId="77777777" w:rsidTr="009A0D6A">
        <w:trPr>
          <w:gridAfter w:val="1"/>
          <w:wAfter w:w="8" w:type="dxa"/>
          <w:trHeight w:val="300"/>
        </w:trPr>
        <w:tc>
          <w:tcPr>
            <w:tcW w:w="227" w:type="dxa"/>
            <w:gridSpan w:val="2"/>
            <w:shd w:val="clear" w:color="auto" w:fill="FFFFFF"/>
            <w:tcMar>
              <w:left w:w="57" w:type="dxa"/>
              <w:right w:w="57" w:type="dxa"/>
            </w:tcMar>
          </w:tcPr>
          <w:p w14:paraId="38704AAC" w14:textId="77777777" w:rsidR="00AF6B52" w:rsidRPr="00662906" w:rsidRDefault="00AF6B52" w:rsidP="00E8722A">
            <w:pPr>
              <w:spacing w:before="40" w:after="40"/>
              <w:rPr>
                <w:rFonts w:cs="Arial"/>
                <w:color w:val="53575A"/>
                <w:sz w:val="16"/>
                <w:szCs w:val="16"/>
              </w:rPr>
            </w:pPr>
            <w:r w:rsidRPr="00662906">
              <w:rPr>
                <w:rFonts w:eastAsia="Arial" w:cs="Arial"/>
                <w:color w:val="53575A"/>
                <w:sz w:val="16"/>
                <w:szCs w:val="16"/>
              </w:rPr>
              <w:t>1</w:t>
            </w:r>
          </w:p>
        </w:tc>
        <w:tc>
          <w:tcPr>
            <w:tcW w:w="1188" w:type="dxa"/>
            <w:shd w:val="clear" w:color="auto" w:fill="FFFFFF"/>
            <w:tcMar>
              <w:left w:w="57" w:type="dxa"/>
              <w:right w:w="57" w:type="dxa"/>
            </w:tcMar>
          </w:tcPr>
          <w:p w14:paraId="46ED8386"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 xml:space="preserve">Set a M&amp;E System at AFREC to track deployment of RE and natural gas for electricity generation both grid and off-grid/mini-grids </w:t>
            </w:r>
          </w:p>
        </w:tc>
        <w:tc>
          <w:tcPr>
            <w:tcW w:w="3260" w:type="dxa"/>
            <w:gridSpan w:val="2"/>
            <w:tcBorders>
              <w:bottom w:val="single" w:sz="2" w:space="0" w:color="9F2241"/>
            </w:tcBorders>
            <w:shd w:val="clear" w:color="auto" w:fill="FFFFFF"/>
            <w:tcMar>
              <w:left w:w="57" w:type="dxa"/>
              <w:right w:w="57" w:type="dxa"/>
            </w:tcMar>
          </w:tcPr>
          <w:p w14:paraId="20DB79C2" w14:textId="77777777" w:rsidR="00AF6B52" w:rsidRPr="00662906" w:rsidRDefault="00AF6B52" w:rsidP="005C5546">
            <w:pPr>
              <w:pStyle w:val="ListParagraph"/>
              <w:numPr>
                <w:ilvl w:val="0"/>
                <w:numId w:val="58"/>
              </w:numPr>
              <w:spacing w:before="40" w:after="40"/>
              <w:ind w:left="368"/>
              <w:jc w:val="left"/>
              <w:rPr>
                <w:rFonts w:eastAsia="Arial" w:cs="Arial"/>
                <w:color w:val="394A58"/>
                <w:sz w:val="16"/>
                <w:szCs w:val="16"/>
              </w:rPr>
            </w:pPr>
            <w:r w:rsidRPr="00662906">
              <w:rPr>
                <w:rFonts w:eastAsia="Arial" w:cs="Arial"/>
                <w:color w:val="394A58"/>
                <w:sz w:val="16"/>
                <w:szCs w:val="16"/>
              </w:rPr>
              <w:t xml:space="preserve">Develop a standardized data collection template and methodology </w:t>
            </w:r>
          </w:p>
          <w:p w14:paraId="1EDAC54B" w14:textId="77777777" w:rsidR="00AF6B52" w:rsidRPr="00662906" w:rsidRDefault="00AF6B52" w:rsidP="005C5546">
            <w:pPr>
              <w:pStyle w:val="ListParagraph"/>
              <w:numPr>
                <w:ilvl w:val="0"/>
                <w:numId w:val="58"/>
              </w:numPr>
              <w:spacing w:before="40" w:after="40"/>
              <w:ind w:left="368"/>
              <w:jc w:val="left"/>
              <w:rPr>
                <w:rFonts w:eastAsia="Arial" w:cs="Arial"/>
                <w:color w:val="394A58"/>
                <w:sz w:val="16"/>
                <w:szCs w:val="16"/>
              </w:rPr>
            </w:pPr>
            <w:r w:rsidRPr="00662906">
              <w:rPr>
                <w:rFonts w:eastAsia="Arial" w:cs="Arial"/>
                <w:color w:val="394A58"/>
                <w:sz w:val="16"/>
                <w:szCs w:val="16"/>
              </w:rPr>
              <w:t xml:space="preserve">Conduct regular surveys on capacity additions (2030, 2040, 2063) </w:t>
            </w:r>
          </w:p>
          <w:p w14:paraId="49CFA277" w14:textId="77777777" w:rsidR="00AF6B52" w:rsidRPr="00662906" w:rsidRDefault="00AF6B52" w:rsidP="005C5546">
            <w:pPr>
              <w:pStyle w:val="ListParagraph"/>
              <w:numPr>
                <w:ilvl w:val="0"/>
                <w:numId w:val="58"/>
              </w:numPr>
              <w:spacing w:before="40" w:after="40"/>
              <w:ind w:left="368"/>
              <w:jc w:val="left"/>
              <w:rPr>
                <w:rFonts w:eastAsia="Arial" w:cs="Arial"/>
                <w:color w:val="394A58"/>
                <w:sz w:val="16"/>
                <w:szCs w:val="16"/>
              </w:rPr>
            </w:pPr>
            <w:r w:rsidRPr="00662906">
              <w:rPr>
                <w:rFonts w:eastAsia="Arial" w:cs="Arial"/>
                <w:color w:val="394A58"/>
                <w:sz w:val="16"/>
                <w:szCs w:val="16"/>
              </w:rPr>
              <w:t xml:space="preserve">Integrate data into the AFREC Energy Information System  </w:t>
            </w:r>
          </w:p>
          <w:p w14:paraId="3D988F5D" w14:textId="77777777" w:rsidR="00AF6B52" w:rsidRPr="00662906" w:rsidRDefault="00AF6B52" w:rsidP="005C5546">
            <w:pPr>
              <w:pStyle w:val="ListParagraph"/>
              <w:numPr>
                <w:ilvl w:val="0"/>
                <w:numId w:val="58"/>
              </w:numPr>
              <w:spacing w:before="40" w:after="40"/>
              <w:ind w:left="368"/>
              <w:jc w:val="left"/>
              <w:rPr>
                <w:rFonts w:eastAsia="Arial" w:cs="Arial"/>
                <w:color w:val="394A58"/>
                <w:sz w:val="16"/>
                <w:szCs w:val="16"/>
              </w:rPr>
            </w:pPr>
            <w:r w:rsidRPr="00662906">
              <w:rPr>
                <w:rFonts w:eastAsia="Arial" w:cs="Arial"/>
                <w:color w:val="394A58"/>
                <w:sz w:val="16"/>
                <w:szCs w:val="16"/>
              </w:rPr>
              <w:t xml:space="preserve">Train staff and relevant institutions on data validation/reporting </w:t>
            </w:r>
          </w:p>
          <w:p w14:paraId="20C0BE5A" w14:textId="77777777" w:rsidR="00AF6B52" w:rsidRPr="00662906" w:rsidRDefault="00AF6B52" w:rsidP="005C5546">
            <w:pPr>
              <w:pStyle w:val="ListParagraph"/>
              <w:numPr>
                <w:ilvl w:val="0"/>
                <w:numId w:val="58"/>
              </w:numPr>
              <w:spacing w:before="0" w:after="0"/>
              <w:ind w:left="368"/>
              <w:jc w:val="left"/>
            </w:pPr>
            <w:r w:rsidRPr="00662906">
              <w:rPr>
                <w:rFonts w:eastAsia="Arial" w:cs="Arial"/>
                <w:color w:val="394A58"/>
                <w:sz w:val="16"/>
                <w:szCs w:val="16"/>
              </w:rPr>
              <w:t>Produce analytical briefs for policy adjustments</w:t>
            </w:r>
          </w:p>
        </w:tc>
        <w:tc>
          <w:tcPr>
            <w:tcW w:w="1276" w:type="dxa"/>
            <w:gridSpan w:val="2"/>
            <w:shd w:val="clear" w:color="auto" w:fill="FFFFFF"/>
            <w:tcMar>
              <w:left w:w="57" w:type="dxa"/>
              <w:right w:w="57" w:type="dxa"/>
            </w:tcMar>
          </w:tcPr>
          <w:p w14:paraId="1D5334D3"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Continental</w:t>
            </w:r>
          </w:p>
        </w:tc>
        <w:tc>
          <w:tcPr>
            <w:tcW w:w="1070" w:type="dxa"/>
            <w:gridSpan w:val="2"/>
            <w:shd w:val="clear" w:color="auto" w:fill="FFFFFF"/>
            <w:tcMar>
              <w:left w:w="57" w:type="dxa"/>
              <w:right w:w="57" w:type="dxa"/>
            </w:tcMar>
          </w:tcPr>
          <w:p w14:paraId="1C1E49FD"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AFREC</w:t>
            </w:r>
          </w:p>
        </w:tc>
        <w:tc>
          <w:tcPr>
            <w:tcW w:w="1198" w:type="dxa"/>
            <w:gridSpan w:val="2"/>
            <w:shd w:val="clear" w:color="auto" w:fill="FFFFFF"/>
            <w:tcMar>
              <w:left w:w="57" w:type="dxa"/>
              <w:right w:w="57" w:type="dxa"/>
            </w:tcMar>
          </w:tcPr>
          <w:p w14:paraId="51091F63" w14:textId="05A1434B" w:rsidR="00AF6B52" w:rsidRPr="00662906" w:rsidRDefault="007505D7" w:rsidP="00E8722A">
            <w:pPr>
              <w:spacing w:before="40" w:after="40"/>
              <w:rPr>
                <w:rFonts w:eastAsia="Arial" w:cs="Arial"/>
                <w:color w:val="53575A"/>
                <w:sz w:val="16"/>
                <w:szCs w:val="16"/>
              </w:rPr>
            </w:pPr>
            <w:r w:rsidRPr="00662906">
              <w:rPr>
                <w:rFonts w:eastAsia="Arial" w:cs="Arial"/>
                <w:color w:val="53575A"/>
                <w:sz w:val="16"/>
                <w:szCs w:val="16"/>
              </w:rPr>
              <w:t>Africa Union Development Agency- New Partnership for Africa’s Development (</w:t>
            </w:r>
            <w:r w:rsidR="00AF6B52" w:rsidRPr="00662906">
              <w:rPr>
                <w:rFonts w:eastAsia="Arial" w:cs="Arial"/>
                <w:color w:val="53575A"/>
                <w:sz w:val="16"/>
                <w:szCs w:val="16"/>
              </w:rPr>
              <w:t>AUDA</w:t>
            </w:r>
            <w:r w:rsidR="001B08A4" w:rsidRPr="00662906">
              <w:rPr>
                <w:rFonts w:eastAsia="Arial" w:cs="Arial"/>
                <w:color w:val="53575A"/>
                <w:sz w:val="16"/>
                <w:szCs w:val="16"/>
              </w:rPr>
              <w:t>-</w:t>
            </w:r>
            <w:r w:rsidR="00AF6B52" w:rsidRPr="00662906">
              <w:rPr>
                <w:rFonts w:eastAsia="Arial" w:cs="Arial"/>
                <w:color w:val="53575A"/>
                <w:sz w:val="16"/>
                <w:szCs w:val="16"/>
              </w:rPr>
              <w:t>NEPAD</w:t>
            </w:r>
            <w:r w:rsidRPr="00662906">
              <w:rPr>
                <w:rFonts w:eastAsia="Arial" w:cs="Arial"/>
                <w:color w:val="53575A"/>
                <w:sz w:val="16"/>
                <w:szCs w:val="16"/>
              </w:rPr>
              <w:t>)</w:t>
            </w:r>
            <w:r w:rsidR="00AF6B52" w:rsidRPr="00662906">
              <w:rPr>
                <w:rFonts w:eastAsia="Arial" w:cs="Arial"/>
                <w:color w:val="53575A"/>
                <w:sz w:val="16"/>
                <w:szCs w:val="16"/>
              </w:rPr>
              <w:t xml:space="preserve">, Power Pools, Power Utilities, Ministries in charge of energy </w:t>
            </w:r>
          </w:p>
        </w:tc>
        <w:tc>
          <w:tcPr>
            <w:tcW w:w="851" w:type="dxa"/>
            <w:gridSpan w:val="2"/>
            <w:shd w:val="clear" w:color="auto" w:fill="FFFFFF"/>
            <w:tcMar>
              <w:left w:w="57" w:type="dxa"/>
              <w:right w:w="57" w:type="dxa"/>
            </w:tcMar>
          </w:tcPr>
          <w:p w14:paraId="660606CF"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Short term on going</w:t>
            </w:r>
          </w:p>
        </w:tc>
        <w:tc>
          <w:tcPr>
            <w:tcW w:w="1842" w:type="dxa"/>
            <w:gridSpan w:val="2"/>
            <w:shd w:val="clear" w:color="auto" w:fill="FFFFFF"/>
          </w:tcPr>
          <w:p w14:paraId="104017FB"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Standardized monitoring framework</w:t>
            </w:r>
          </w:p>
          <w:p w14:paraId="05E4B76D"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Updated energy database</w:t>
            </w:r>
          </w:p>
          <w:p w14:paraId="325D8FC3" w14:textId="3ECDB55D"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Periodic analytical </w:t>
            </w:r>
            <w:r w:rsidR="00AE031B" w:rsidRPr="00662906">
              <w:rPr>
                <w:rFonts w:eastAsia="Arial" w:cs="Arial"/>
                <w:color w:val="53575A"/>
                <w:sz w:val="16"/>
                <w:szCs w:val="16"/>
              </w:rPr>
              <w:t xml:space="preserve">policy </w:t>
            </w:r>
            <w:r w:rsidRPr="00662906">
              <w:rPr>
                <w:rFonts w:eastAsia="Arial" w:cs="Arial"/>
                <w:color w:val="53575A"/>
                <w:sz w:val="16"/>
                <w:szCs w:val="16"/>
              </w:rPr>
              <w:t>briefs</w:t>
            </w:r>
          </w:p>
        </w:tc>
        <w:tc>
          <w:tcPr>
            <w:tcW w:w="1701" w:type="dxa"/>
            <w:gridSpan w:val="2"/>
            <w:shd w:val="clear" w:color="auto" w:fill="FFFFFF"/>
          </w:tcPr>
          <w:p w14:paraId="4A610A66"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Enhanced evidence-based planning and timely policy revision for RE and natural gas deployment</w:t>
            </w:r>
          </w:p>
        </w:tc>
        <w:tc>
          <w:tcPr>
            <w:tcW w:w="1843" w:type="dxa"/>
            <w:gridSpan w:val="2"/>
            <w:shd w:val="clear" w:color="auto" w:fill="FFFFFF"/>
          </w:tcPr>
          <w:p w14:paraId="07D8CDBD" w14:textId="0F1BDE23"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 xml:space="preserve">M&amp;E system established </w:t>
            </w:r>
            <w:r w:rsidR="00FE74BB" w:rsidRPr="00662906">
              <w:rPr>
                <w:rFonts w:eastAsia="Arial" w:cs="Arial"/>
                <w:color w:val="53575A"/>
                <w:sz w:val="16"/>
                <w:szCs w:val="16"/>
              </w:rPr>
              <w:t xml:space="preserve">for </w:t>
            </w:r>
            <w:r w:rsidR="00DC6C14" w:rsidRPr="00662906">
              <w:rPr>
                <w:rFonts w:eastAsia="Arial" w:cs="Arial"/>
                <w:color w:val="53575A"/>
                <w:sz w:val="16"/>
                <w:szCs w:val="16"/>
              </w:rPr>
              <w:t>informing</w:t>
            </w:r>
            <w:r w:rsidR="008D77C3" w:rsidRPr="00662906">
              <w:rPr>
                <w:rFonts w:eastAsia="Arial" w:cs="Arial"/>
                <w:color w:val="53575A"/>
                <w:sz w:val="16"/>
                <w:szCs w:val="16"/>
              </w:rPr>
              <w:t xml:space="preserve"> </w:t>
            </w:r>
            <w:r w:rsidR="00FE74BB" w:rsidRPr="00662906">
              <w:rPr>
                <w:rFonts w:eastAsia="Arial" w:cs="Arial"/>
                <w:color w:val="53575A"/>
                <w:sz w:val="16"/>
                <w:szCs w:val="16"/>
              </w:rPr>
              <w:t>adoption of clean energy supply systems and RE</w:t>
            </w:r>
            <w:r w:rsidRPr="00662906">
              <w:rPr>
                <w:rFonts w:eastAsia="Arial" w:cs="Arial"/>
                <w:color w:val="53575A"/>
                <w:sz w:val="16"/>
                <w:szCs w:val="16"/>
              </w:rPr>
              <w:t>(Yes/No)</w:t>
            </w:r>
          </w:p>
          <w:p w14:paraId="2359879B" w14:textId="01816F16"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Number of AU Member States reporting data</w:t>
            </w:r>
          </w:p>
          <w:p w14:paraId="3CB404C6" w14:textId="5D8F3F49"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Policy briefs published (Yes/No)</w:t>
            </w:r>
          </w:p>
        </w:tc>
      </w:tr>
      <w:tr w:rsidR="00AF6B52" w:rsidRPr="00662906" w14:paraId="79067D81" w14:textId="77777777" w:rsidTr="009A0D6A">
        <w:trPr>
          <w:gridAfter w:val="1"/>
          <w:wAfter w:w="8" w:type="dxa"/>
          <w:trHeight w:val="300"/>
        </w:trPr>
        <w:tc>
          <w:tcPr>
            <w:tcW w:w="227" w:type="dxa"/>
            <w:gridSpan w:val="2"/>
            <w:shd w:val="clear" w:color="auto" w:fill="FFFFFF"/>
            <w:tcMar>
              <w:left w:w="57" w:type="dxa"/>
              <w:right w:w="57" w:type="dxa"/>
            </w:tcMar>
          </w:tcPr>
          <w:p w14:paraId="54C87632" w14:textId="77777777" w:rsidR="00AF6B52" w:rsidRPr="00662906" w:rsidRDefault="00AF6B52" w:rsidP="00E8722A">
            <w:pPr>
              <w:spacing w:before="40" w:after="40"/>
              <w:rPr>
                <w:rFonts w:cs="Arial"/>
                <w:color w:val="53575A"/>
                <w:sz w:val="16"/>
                <w:szCs w:val="16"/>
              </w:rPr>
            </w:pPr>
            <w:r w:rsidRPr="00662906">
              <w:rPr>
                <w:rFonts w:eastAsia="Arial" w:cs="Arial"/>
                <w:color w:val="53575A"/>
                <w:sz w:val="16"/>
                <w:szCs w:val="16"/>
              </w:rPr>
              <w:t>2</w:t>
            </w:r>
          </w:p>
        </w:tc>
        <w:tc>
          <w:tcPr>
            <w:tcW w:w="1188" w:type="dxa"/>
            <w:shd w:val="clear" w:color="auto" w:fill="FFFFFF"/>
            <w:tcMar>
              <w:left w:w="57" w:type="dxa"/>
              <w:right w:w="57" w:type="dxa"/>
            </w:tcMar>
          </w:tcPr>
          <w:p w14:paraId="296B3FF8" w14:textId="4376DFA9"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Promotion and Demonstration of utility scale ESS and for rural electrification</w:t>
            </w:r>
          </w:p>
        </w:tc>
        <w:tc>
          <w:tcPr>
            <w:tcW w:w="3260" w:type="dxa"/>
            <w:gridSpan w:val="2"/>
            <w:tcBorders>
              <w:bottom w:val="single" w:sz="4" w:space="0" w:color="9F2241"/>
            </w:tcBorders>
            <w:shd w:val="clear" w:color="auto" w:fill="FFFFFF"/>
            <w:tcMar>
              <w:left w:w="57" w:type="dxa"/>
              <w:right w:w="57" w:type="dxa"/>
            </w:tcMar>
          </w:tcPr>
          <w:p w14:paraId="1281E4D6" w14:textId="78CF21CE" w:rsidR="00AF6B52" w:rsidRPr="00662906" w:rsidRDefault="00AF6B52" w:rsidP="005C5546">
            <w:pPr>
              <w:pStyle w:val="ListParagraph"/>
              <w:numPr>
                <w:ilvl w:val="0"/>
                <w:numId w:val="59"/>
              </w:numPr>
              <w:spacing w:before="40" w:after="40"/>
              <w:ind w:left="368"/>
              <w:jc w:val="left"/>
              <w:rPr>
                <w:rFonts w:eastAsia="Arial" w:cs="Arial"/>
                <w:color w:val="394A58"/>
                <w:sz w:val="16"/>
                <w:szCs w:val="16"/>
              </w:rPr>
            </w:pPr>
            <w:r w:rsidRPr="00662906">
              <w:rPr>
                <w:rFonts w:eastAsia="Arial" w:cs="Arial"/>
                <w:color w:val="394A58"/>
                <w:sz w:val="16"/>
                <w:szCs w:val="16"/>
              </w:rPr>
              <w:t xml:space="preserve">Assess existing and emerging ESS solutions for utility/off-grid use </w:t>
            </w:r>
          </w:p>
          <w:p w14:paraId="1C34B41F" w14:textId="3CA9D73C" w:rsidR="00AF6B52" w:rsidRPr="00662906" w:rsidRDefault="00AF6B52" w:rsidP="005C5546">
            <w:pPr>
              <w:pStyle w:val="ListParagraph"/>
              <w:numPr>
                <w:ilvl w:val="0"/>
                <w:numId w:val="59"/>
              </w:numPr>
              <w:spacing w:before="40" w:after="40"/>
              <w:ind w:left="368"/>
              <w:jc w:val="left"/>
              <w:rPr>
                <w:rFonts w:eastAsia="Arial" w:cs="Arial"/>
                <w:color w:val="394A58"/>
                <w:sz w:val="16"/>
                <w:szCs w:val="16"/>
              </w:rPr>
            </w:pPr>
            <w:r w:rsidRPr="00662906">
              <w:rPr>
                <w:rFonts w:eastAsia="Arial" w:cs="Arial"/>
                <w:color w:val="394A58"/>
                <w:sz w:val="16"/>
                <w:szCs w:val="16"/>
              </w:rPr>
              <w:t xml:space="preserve">Identify demonstration sites and pilot </w:t>
            </w:r>
            <w:r w:rsidR="00AE031B" w:rsidRPr="00662906">
              <w:rPr>
                <w:rFonts w:eastAsia="Arial" w:cs="Arial"/>
                <w:color w:val="394A58"/>
                <w:sz w:val="16"/>
                <w:szCs w:val="16"/>
              </w:rPr>
              <w:t>E</w:t>
            </w:r>
            <w:r w:rsidRPr="00662906">
              <w:rPr>
                <w:rFonts w:eastAsia="Arial" w:cs="Arial"/>
                <w:color w:val="394A58"/>
                <w:sz w:val="16"/>
                <w:szCs w:val="16"/>
              </w:rPr>
              <w:t xml:space="preserve">SS installations </w:t>
            </w:r>
          </w:p>
          <w:p w14:paraId="2CEEBC97" w14:textId="77777777" w:rsidR="00AF6B52" w:rsidRPr="00662906" w:rsidRDefault="00AF6B52" w:rsidP="005C5546">
            <w:pPr>
              <w:pStyle w:val="ListParagraph"/>
              <w:numPr>
                <w:ilvl w:val="0"/>
                <w:numId w:val="59"/>
              </w:numPr>
              <w:spacing w:before="40" w:after="40"/>
              <w:ind w:left="368"/>
              <w:jc w:val="left"/>
              <w:rPr>
                <w:rFonts w:eastAsia="Arial" w:cs="Arial"/>
                <w:color w:val="394A58"/>
                <w:sz w:val="16"/>
                <w:szCs w:val="16"/>
              </w:rPr>
            </w:pPr>
            <w:r w:rsidRPr="00662906">
              <w:rPr>
                <w:rFonts w:eastAsia="Arial" w:cs="Arial"/>
                <w:color w:val="394A58"/>
                <w:sz w:val="16"/>
                <w:szCs w:val="16"/>
              </w:rPr>
              <w:t xml:space="preserve">Engage private sector and regulators to ensure an enabling environment </w:t>
            </w:r>
          </w:p>
          <w:p w14:paraId="5DC5B097" w14:textId="77777777" w:rsidR="00AF6B52" w:rsidRPr="00662906" w:rsidRDefault="00AF6B52" w:rsidP="005C5546">
            <w:pPr>
              <w:pStyle w:val="ListParagraph"/>
              <w:numPr>
                <w:ilvl w:val="0"/>
                <w:numId w:val="59"/>
              </w:numPr>
              <w:spacing w:before="40" w:after="40"/>
              <w:ind w:left="368"/>
              <w:jc w:val="left"/>
              <w:rPr>
                <w:rFonts w:eastAsia="Arial" w:cs="Arial"/>
                <w:color w:val="394A58"/>
                <w:sz w:val="16"/>
                <w:szCs w:val="16"/>
              </w:rPr>
            </w:pPr>
            <w:r w:rsidRPr="00662906">
              <w:rPr>
                <w:rFonts w:eastAsia="Arial" w:cs="Arial"/>
                <w:color w:val="394A58"/>
                <w:sz w:val="16"/>
                <w:szCs w:val="16"/>
              </w:rPr>
              <w:t>Document findings and disseminate best practices</w:t>
            </w:r>
          </w:p>
        </w:tc>
        <w:tc>
          <w:tcPr>
            <w:tcW w:w="1276" w:type="dxa"/>
            <w:gridSpan w:val="2"/>
            <w:shd w:val="clear" w:color="auto" w:fill="FFFFFF"/>
            <w:tcMar>
              <w:left w:w="57" w:type="dxa"/>
              <w:right w:w="57" w:type="dxa"/>
            </w:tcMar>
          </w:tcPr>
          <w:p w14:paraId="0414727E"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Continental</w:t>
            </w:r>
          </w:p>
          <w:p w14:paraId="1F78F2E3" w14:textId="77777777" w:rsidR="00AF6B52" w:rsidRPr="00662906" w:rsidRDefault="00AF6B52" w:rsidP="00E8722A">
            <w:pPr>
              <w:spacing w:before="40" w:after="40"/>
              <w:rPr>
                <w:rFonts w:eastAsia="Arial" w:cs="Arial"/>
                <w:color w:val="53575A"/>
                <w:sz w:val="16"/>
                <w:szCs w:val="16"/>
              </w:rPr>
            </w:pPr>
          </w:p>
        </w:tc>
        <w:tc>
          <w:tcPr>
            <w:tcW w:w="1070" w:type="dxa"/>
            <w:gridSpan w:val="2"/>
            <w:shd w:val="clear" w:color="auto" w:fill="FFFFFF"/>
            <w:tcMar>
              <w:left w:w="57" w:type="dxa"/>
              <w:right w:w="57" w:type="dxa"/>
            </w:tcMar>
          </w:tcPr>
          <w:p w14:paraId="7E0AC142"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AFREC</w:t>
            </w:r>
          </w:p>
        </w:tc>
        <w:tc>
          <w:tcPr>
            <w:tcW w:w="1198" w:type="dxa"/>
            <w:gridSpan w:val="2"/>
            <w:shd w:val="clear" w:color="auto" w:fill="FFFFFF"/>
            <w:tcMar>
              <w:left w:w="57" w:type="dxa"/>
              <w:right w:w="57" w:type="dxa"/>
            </w:tcMar>
          </w:tcPr>
          <w:p w14:paraId="7DA4F629" w14:textId="3ED6E63C"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 xml:space="preserve">AUDA-NEPAD, </w:t>
            </w:r>
          </w:p>
          <w:p w14:paraId="3C848665"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Power Pools, Power Utilities, Ministries in charge of energy and Industry</w:t>
            </w:r>
          </w:p>
        </w:tc>
        <w:tc>
          <w:tcPr>
            <w:tcW w:w="851" w:type="dxa"/>
            <w:gridSpan w:val="2"/>
            <w:shd w:val="clear" w:color="auto" w:fill="FFFFFF"/>
            <w:tcMar>
              <w:left w:w="57" w:type="dxa"/>
              <w:right w:w="57" w:type="dxa"/>
            </w:tcMar>
          </w:tcPr>
          <w:p w14:paraId="4324A223"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Short Term</w:t>
            </w:r>
          </w:p>
        </w:tc>
        <w:tc>
          <w:tcPr>
            <w:tcW w:w="1842" w:type="dxa"/>
            <w:gridSpan w:val="2"/>
            <w:shd w:val="clear" w:color="auto" w:fill="FFFFFF"/>
          </w:tcPr>
          <w:p w14:paraId="6F6D038F" w14:textId="5AB2FFD2"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Operational pilot ESS projects </w:t>
            </w:r>
          </w:p>
          <w:p w14:paraId="442E85E7"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Feasibility reports and policy recommendations </w:t>
            </w:r>
          </w:p>
          <w:p w14:paraId="47D3B99F"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Stakeholder workshops on lessons learned</w:t>
            </w:r>
          </w:p>
        </w:tc>
        <w:tc>
          <w:tcPr>
            <w:tcW w:w="1701" w:type="dxa"/>
            <w:gridSpan w:val="2"/>
            <w:shd w:val="clear" w:color="auto" w:fill="FFFFFF"/>
          </w:tcPr>
          <w:p w14:paraId="2084E646"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Accelerated uptake of cost-effective storage solutions, expanding reliable rural electrification and attracting private sector interest</w:t>
            </w:r>
          </w:p>
        </w:tc>
        <w:tc>
          <w:tcPr>
            <w:tcW w:w="1843" w:type="dxa"/>
            <w:gridSpan w:val="2"/>
            <w:shd w:val="clear" w:color="auto" w:fill="FFFFFF"/>
          </w:tcPr>
          <w:p w14:paraId="2582D948" w14:textId="4B08878D"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Number of pilot sites (count)</w:t>
            </w:r>
          </w:p>
          <w:p w14:paraId="27D66E6F" w14:textId="6F45CE26"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ESS feasibility report produced (Yes/No)</w:t>
            </w:r>
          </w:p>
          <w:p w14:paraId="6857528B" w14:textId="64706FB0"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Policy recommendation document (Yes/No)</w:t>
            </w:r>
          </w:p>
        </w:tc>
      </w:tr>
      <w:tr w:rsidR="00AF6B52" w:rsidRPr="00662906" w14:paraId="27A247B7" w14:textId="77777777" w:rsidTr="009A0D6A">
        <w:trPr>
          <w:gridAfter w:val="1"/>
          <w:wAfter w:w="8" w:type="dxa"/>
          <w:trHeight w:val="300"/>
        </w:trPr>
        <w:tc>
          <w:tcPr>
            <w:tcW w:w="227" w:type="dxa"/>
            <w:gridSpan w:val="2"/>
            <w:shd w:val="clear" w:color="auto" w:fill="FFFFFF"/>
            <w:tcMar>
              <w:left w:w="57" w:type="dxa"/>
              <w:right w:w="57" w:type="dxa"/>
            </w:tcMar>
          </w:tcPr>
          <w:p w14:paraId="0909A3FF" w14:textId="77777777" w:rsidR="00AF6B52" w:rsidRPr="00662906" w:rsidRDefault="00AF6B52" w:rsidP="00E8722A">
            <w:pPr>
              <w:spacing w:before="40" w:after="40"/>
              <w:rPr>
                <w:rFonts w:cs="Arial"/>
                <w:color w:val="53575A"/>
                <w:sz w:val="16"/>
                <w:szCs w:val="16"/>
              </w:rPr>
            </w:pPr>
            <w:r w:rsidRPr="00662906">
              <w:rPr>
                <w:rFonts w:eastAsia="Arial" w:cs="Arial"/>
                <w:color w:val="53575A"/>
                <w:sz w:val="16"/>
                <w:szCs w:val="16"/>
              </w:rPr>
              <w:t>3</w:t>
            </w:r>
          </w:p>
        </w:tc>
        <w:tc>
          <w:tcPr>
            <w:tcW w:w="1188" w:type="dxa"/>
            <w:shd w:val="clear" w:color="auto" w:fill="FFFFFF"/>
            <w:tcMar>
              <w:left w:w="57" w:type="dxa"/>
              <w:right w:w="57" w:type="dxa"/>
            </w:tcMar>
          </w:tcPr>
          <w:p w14:paraId="51E510ED"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Harmonization of policy/legal/regulatory frameworks for RE mini-grids/ microgrids/other off-grid systems</w:t>
            </w:r>
          </w:p>
        </w:tc>
        <w:tc>
          <w:tcPr>
            <w:tcW w:w="3260" w:type="dxa"/>
            <w:gridSpan w:val="2"/>
            <w:tcBorders>
              <w:top w:val="single" w:sz="4" w:space="0" w:color="9F2241"/>
              <w:left w:val="nil"/>
              <w:bottom w:val="single" w:sz="4" w:space="0" w:color="9F2241"/>
              <w:right w:val="nil"/>
            </w:tcBorders>
            <w:tcMar>
              <w:left w:w="57" w:type="dxa"/>
              <w:right w:w="57" w:type="dxa"/>
            </w:tcMar>
          </w:tcPr>
          <w:p w14:paraId="5BC74324" w14:textId="77777777" w:rsidR="00AF6B52" w:rsidRPr="00662906" w:rsidRDefault="00AF6B52" w:rsidP="005C5546">
            <w:pPr>
              <w:pStyle w:val="ListParagraph"/>
              <w:numPr>
                <w:ilvl w:val="0"/>
                <w:numId w:val="60"/>
              </w:numPr>
              <w:spacing w:before="40" w:after="40"/>
              <w:ind w:left="368"/>
              <w:jc w:val="left"/>
              <w:rPr>
                <w:rFonts w:eastAsia="Arial" w:cs="Arial"/>
                <w:color w:val="394A58"/>
                <w:sz w:val="16"/>
                <w:szCs w:val="16"/>
              </w:rPr>
            </w:pPr>
            <w:r w:rsidRPr="00662906">
              <w:rPr>
                <w:rFonts w:eastAsia="Arial" w:cs="Arial"/>
                <w:color w:val="394A58"/>
                <w:sz w:val="16"/>
                <w:szCs w:val="16"/>
              </w:rPr>
              <w:t xml:space="preserve">Review current mini-grid and microgrid policies across AU Member States </w:t>
            </w:r>
          </w:p>
          <w:p w14:paraId="06679D44" w14:textId="77777777" w:rsidR="00AF6B52" w:rsidRPr="00662906" w:rsidRDefault="00AF6B52" w:rsidP="005C5546">
            <w:pPr>
              <w:pStyle w:val="ListParagraph"/>
              <w:numPr>
                <w:ilvl w:val="0"/>
                <w:numId w:val="60"/>
              </w:numPr>
              <w:spacing w:before="40" w:after="40"/>
              <w:ind w:left="368"/>
              <w:jc w:val="left"/>
              <w:rPr>
                <w:rFonts w:eastAsia="Arial" w:cs="Arial"/>
                <w:color w:val="394A58"/>
                <w:sz w:val="16"/>
                <w:szCs w:val="16"/>
              </w:rPr>
            </w:pPr>
            <w:r w:rsidRPr="00662906">
              <w:rPr>
                <w:rFonts w:eastAsia="Arial" w:cs="Arial"/>
                <w:color w:val="394A58"/>
                <w:sz w:val="16"/>
                <w:szCs w:val="16"/>
              </w:rPr>
              <w:t xml:space="preserve">Draft standardized tariff, pricing, and licensing models </w:t>
            </w:r>
          </w:p>
          <w:p w14:paraId="5008DD5E" w14:textId="77777777" w:rsidR="00AF6B52" w:rsidRPr="00662906" w:rsidRDefault="00AF6B52" w:rsidP="005C5546">
            <w:pPr>
              <w:pStyle w:val="ListParagraph"/>
              <w:numPr>
                <w:ilvl w:val="0"/>
                <w:numId w:val="60"/>
              </w:numPr>
              <w:spacing w:before="40" w:after="40"/>
              <w:ind w:left="368"/>
              <w:jc w:val="left"/>
              <w:rPr>
                <w:rFonts w:eastAsia="Arial" w:cs="Arial"/>
                <w:color w:val="394A58"/>
                <w:sz w:val="16"/>
                <w:szCs w:val="16"/>
              </w:rPr>
            </w:pPr>
            <w:r w:rsidRPr="00662906">
              <w:rPr>
                <w:rFonts w:eastAsia="Arial" w:cs="Arial"/>
                <w:color w:val="394A58"/>
                <w:sz w:val="16"/>
                <w:szCs w:val="16"/>
              </w:rPr>
              <w:t xml:space="preserve">Host capacity-building workshops for national regulators </w:t>
            </w:r>
          </w:p>
          <w:p w14:paraId="7F214AAB" w14:textId="77777777" w:rsidR="00AF6B52" w:rsidRPr="00662906" w:rsidRDefault="00AF6B52" w:rsidP="005C5546">
            <w:pPr>
              <w:pStyle w:val="ListParagraph"/>
              <w:numPr>
                <w:ilvl w:val="0"/>
                <w:numId w:val="60"/>
              </w:numPr>
              <w:spacing w:before="40" w:after="40"/>
              <w:ind w:left="368"/>
              <w:jc w:val="left"/>
              <w:rPr>
                <w:rFonts w:eastAsia="Arial" w:cs="Arial"/>
                <w:color w:val="394A58"/>
                <w:sz w:val="16"/>
                <w:szCs w:val="16"/>
              </w:rPr>
            </w:pPr>
            <w:r w:rsidRPr="00662906">
              <w:rPr>
                <w:rFonts w:eastAsia="Arial" w:cs="Arial"/>
                <w:color w:val="394A58"/>
                <w:sz w:val="16"/>
                <w:szCs w:val="16"/>
              </w:rPr>
              <w:t>Support adaptation and domestication of the framework at national levels</w:t>
            </w:r>
          </w:p>
        </w:tc>
        <w:tc>
          <w:tcPr>
            <w:tcW w:w="1276" w:type="dxa"/>
            <w:gridSpan w:val="2"/>
            <w:shd w:val="clear" w:color="auto" w:fill="FFFFFF"/>
            <w:tcMar>
              <w:left w:w="57" w:type="dxa"/>
              <w:right w:w="57" w:type="dxa"/>
            </w:tcMar>
          </w:tcPr>
          <w:p w14:paraId="3B3A7510"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 xml:space="preserve"> Continental </w:t>
            </w:r>
          </w:p>
        </w:tc>
        <w:tc>
          <w:tcPr>
            <w:tcW w:w="1070" w:type="dxa"/>
            <w:gridSpan w:val="2"/>
            <w:shd w:val="clear" w:color="auto" w:fill="FFFFFF"/>
            <w:tcMar>
              <w:left w:w="57" w:type="dxa"/>
              <w:right w:w="57" w:type="dxa"/>
            </w:tcMar>
          </w:tcPr>
          <w:p w14:paraId="4CA9B2DD" w14:textId="3B259ABD" w:rsidR="00AF6B52" w:rsidRPr="00662906" w:rsidRDefault="007505D7" w:rsidP="00E8722A">
            <w:pPr>
              <w:spacing w:before="40" w:after="40"/>
              <w:rPr>
                <w:rFonts w:eastAsia="Arial" w:cs="Arial"/>
                <w:color w:val="53575A"/>
                <w:sz w:val="16"/>
                <w:szCs w:val="16"/>
              </w:rPr>
            </w:pPr>
            <w:r w:rsidRPr="00662906">
              <w:rPr>
                <w:rFonts w:eastAsia="Arial" w:cs="Arial"/>
                <w:color w:val="53575A"/>
                <w:sz w:val="16"/>
                <w:szCs w:val="16"/>
              </w:rPr>
              <w:t>African Forum for Utility Regulators (</w:t>
            </w:r>
            <w:r w:rsidR="00AF6B52" w:rsidRPr="00662906">
              <w:rPr>
                <w:rFonts w:eastAsia="Arial" w:cs="Arial"/>
                <w:color w:val="53575A"/>
                <w:sz w:val="16"/>
                <w:szCs w:val="16"/>
              </w:rPr>
              <w:t>AFUR</w:t>
            </w:r>
            <w:r w:rsidRPr="00662906">
              <w:rPr>
                <w:rFonts w:eastAsia="Arial" w:cs="Arial"/>
                <w:color w:val="53575A"/>
                <w:sz w:val="16"/>
                <w:szCs w:val="16"/>
              </w:rPr>
              <w:t>)</w:t>
            </w:r>
          </w:p>
        </w:tc>
        <w:tc>
          <w:tcPr>
            <w:tcW w:w="1198" w:type="dxa"/>
            <w:gridSpan w:val="2"/>
            <w:shd w:val="clear" w:color="auto" w:fill="FFFFFF"/>
            <w:tcMar>
              <w:left w:w="57" w:type="dxa"/>
              <w:right w:w="57" w:type="dxa"/>
            </w:tcMar>
          </w:tcPr>
          <w:p w14:paraId="253FB023"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Regional and national energy regulators and Ministries in charge of energy, Power utilities</w:t>
            </w:r>
          </w:p>
        </w:tc>
        <w:tc>
          <w:tcPr>
            <w:tcW w:w="851" w:type="dxa"/>
            <w:gridSpan w:val="2"/>
            <w:shd w:val="clear" w:color="auto" w:fill="FFFFFF"/>
            <w:tcMar>
              <w:left w:w="57" w:type="dxa"/>
              <w:right w:w="57" w:type="dxa"/>
            </w:tcMar>
          </w:tcPr>
          <w:p w14:paraId="1754FF1E"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Short Term</w:t>
            </w:r>
          </w:p>
        </w:tc>
        <w:tc>
          <w:tcPr>
            <w:tcW w:w="1842" w:type="dxa"/>
            <w:gridSpan w:val="2"/>
            <w:shd w:val="clear" w:color="auto" w:fill="FFFFFF"/>
          </w:tcPr>
          <w:p w14:paraId="32CBD18E"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Consolidated policy/regulatory toolkit and guidelines</w:t>
            </w:r>
          </w:p>
          <w:p w14:paraId="5032FC24"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Workshop materials and outcomes</w:t>
            </w:r>
          </w:p>
        </w:tc>
        <w:tc>
          <w:tcPr>
            <w:tcW w:w="1701" w:type="dxa"/>
            <w:gridSpan w:val="2"/>
            <w:shd w:val="clear" w:color="auto" w:fill="FFFFFF"/>
          </w:tcPr>
          <w:p w14:paraId="4EFFDCD3" w14:textId="73001926"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Greater alignment of mini-grid</w:t>
            </w:r>
            <w:r w:rsidR="00FB30AF" w:rsidRPr="00662906">
              <w:rPr>
                <w:rFonts w:eastAsia="Arial" w:cs="Arial"/>
                <w:color w:val="53575A"/>
                <w:sz w:val="16"/>
                <w:szCs w:val="16"/>
              </w:rPr>
              <w:t>/off grid</w:t>
            </w:r>
            <w:r w:rsidRPr="00662906">
              <w:rPr>
                <w:rFonts w:eastAsia="Arial" w:cs="Arial"/>
                <w:color w:val="53575A"/>
                <w:sz w:val="16"/>
                <w:szCs w:val="16"/>
              </w:rPr>
              <w:t xml:space="preserve"> policies, increase in private and public investment in </w:t>
            </w:r>
            <w:r w:rsidR="00FB30AF" w:rsidRPr="00662906">
              <w:rPr>
                <w:rFonts w:eastAsia="Arial" w:cs="Arial"/>
                <w:color w:val="53575A"/>
                <w:sz w:val="16"/>
                <w:szCs w:val="16"/>
              </w:rPr>
              <w:t>mini</w:t>
            </w:r>
            <w:r w:rsidR="00AE7D1F" w:rsidRPr="00662906">
              <w:rPr>
                <w:rFonts w:eastAsia="Arial" w:cs="Arial"/>
                <w:color w:val="53575A"/>
                <w:sz w:val="16"/>
                <w:szCs w:val="16"/>
              </w:rPr>
              <w:t xml:space="preserve"> </w:t>
            </w:r>
            <w:r w:rsidR="00FB30AF" w:rsidRPr="00662906">
              <w:rPr>
                <w:rFonts w:eastAsia="Arial" w:cs="Arial"/>
                <w:color w:val="53575A"/>
                <w:sz w:val="16"/>
                <w:szCs w:val="16"/>
              </w:rPr>
              <w:t>grid/</w:t>
            </w:r>
            <w:r w:rsidRPr="00662906">
              <w:rPr>
                <w:rFonts w:eastAsia="Arial" w:cs="Arial"/>
                <w:color w:val="53575A"/>
                <w:sz w:val="16"/>
                <w:szCs w:val="16"/>
              </w:rPr>
              <w:t>off-grid RE across the continent</w:t>
            </w:r>
          </w:p>
        </w:tc>
        <w:tc>
          <w:tcPr>
            <w:tcW w:w="1843" w:type="dxa"/>
            <w:gridSpan w:val="2"/>
            <w:shd w:val="clear" w:color="auto" w:fill="FFFFFF"/>
          </w:tcPr>
          <w:p w14:paraId="48C76C22" w14:textId="200D1221"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 xml:space="preserve">Number of Member States adapting </w:t>
            </w:r>
            <w:r w:rsidR="00924131" w:rsidRPr="00662906">
              <w:rPr>
                <w:rFonts w:eastAsia="Arial" w:cs="Arial"/>
                <w:color w:val="53575A"/>
                <w:sz w:val="16"/>
                <w:szCs w:val="16"/>
              </w:rPr>
              <w:t xml:space="preserve">harmonized policy/legal/regulatory </w:t>
            </w:r>
            <w:r w:rsidRPr="00662906">
              <w:rPr>
                <w:rFonts w:eastAsia="Arial" w:cs="Arial"/>
                <w:color w:val="53575A"/>
                <w:sz w:val="16"/>
                <w:szCs w:val="16"/>
              </w:rPr>
              <w:t>framework</w:t>
            </w:r>
            <w:r w:rsidR="008D77C3" w:rsidRPr="00662906">
              <w:rPr>
                <w:rFonts w:eastAsia="Arial" w:cs="Arial"/>
                <w:color w:val="53575A"/>
                <w:sz w:val="16"/>
                <w:szCs w:val="16"/>
              </w:rPr>
              <w:t xml:space="preserve"> by AU MS</w:t>
            </w:r>
          </w:p>
          <w:p w14:paraId="258C3A42" w14:textId="53D79E1D"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Toolkit finalized (Yes/No)</w:t>
            </w:r>
          </w:p>
          <w:p w14:paraId="0FA3AAA8" w14:textId="11D9AFAE"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Workshops conducted (count)</w:t>
            </w:r>
          </w:p>
        </w:tc>
      </w:tr>
      <w:tr w:rsidR="009A0D6A" w:rsidRPr="00662906" w14:paraId="4C82F537" w14:textId="77777777" w:rsidTr="009A0D6A">
        <w:trPr>
          <w:trHeight w:val="300"/>
        </w:trPr>
        <w:tc>
          <w:tcPr>
            <w:tcW w:w="167" w:type="dxa"/>
            <w:shd w:val="clear" w:color="auto" w:fill="FFFFFF"/>
            <w:tcMar>
              <w:left w:w="57" w:type="dxa"/>
              <w:right w:w="57" w:type="dxa"/>
            </w:tcMar>
          </w:tcPr>
          <w:p w14:paraId="0761DB35" w14:textId="77777777" w:rsidR="00AF6B52" w:rsidRPr="00662906" w:rsidRDefault="00AF6B52" w:rsidP="00E8722A">
            <w:pPr>
              <w:spacing w:before="40" w:after="40"/>
              <w:rPr>
                <w:rFonts w:cs="Arial"/>
                <w:color w:val="53575A"/>
                <w:sz w:val="16"/>
                <w:szCs w:val="16"/>
              </w:rPr>
            </w:pPr>
            <w:r w:rsidRPr="00662906">
              <w:rPr>
                <w:rFonts w:eastAsia="Arial" w:cs="Arial"/>
                <w:color w:val="53575A"/>
                <w:sz w:val="16"/>
                <w:szCs w:val="16"/>
              </w:rPr>
              <w:lastRenderedPageBreak/>
              <w:t>4</w:t>
            </w:r>
          </w:p>
        </w:tc>
        <w:tc>
          <w:tcPr>
            <w:tcW w:w="1256" w:type="dxa"/>
            <w:gridSpan w:val="3"/>
            <w:shd w:val="clear" w:color="auto" w:fill="FFFFFF"/>
            <w:tcMar>
              <w:left w:w="57" w:type="dxa"/>
              <w:right w:w="57" w:type="dxa"/>
            </w:tcMar>
          </w:tcPr>
          <w:p w14:paraId="50232E1C"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Promote the uptake of renewable energy for grid and distributed generation systems.”</w:t>
            </w:r>
          </w:p>
        </w:tc>
        <w:tc>
          <w:tcPr>
            <w:tcW w:w="3260" w:type="dxa"/>
            <w:gridSpan w:val="2"/>
            <w:tcBorders>
              <w:top w:val="single" w:sz="4" w:space="0" w:color="9F2241"/>
              <w:left w:val="nil"/>
              <w:bottom w:val="single" w:sz="4" w:space="0" w:color="9F2241"/>
              <w:right w:val="nil"/>
            </w:tcBorders>
            <w:tcMar>
              <w:left w:w="57" w:type="dxa"/>
              <w:right w:w="57" w:type="dxa"/>
            </w:tcMar>
          </w:tcPr>
          <w:p w14:paraId="70ACC84D" w14:textId="79E2799D" w:rsidR="00AF6B52" w:rsidRPr="00662906" w:rsidRDefault="00AF6B52" w:rsidP="005C5546">
            <w:pPr>
              <w:pStyle w:val="ListParagraph"/>
              <w:numPr>
                <w:ilvl w:val="0"/>
                <w:numId w:val="61"/>
              </w:numPr>
              <w:spacing w:before="40" w:after="40"/>
              <w:ind w:left="368"/>
              <w:jc w:val="left"/>
              <w:rPr>
                <w:rFonts w:eastAsia="Arial" w:cs="Arial"/>
                <w:color w:val="394A58"/>
                <w:sz w:val="16"/>
                <w:szCs w:val="16"/>
              </w:rPr>
            </w:pPr>
            <w:r w:rsidRPr="00662906">
              <w:rPr>
                <w:rFonts w:eastAsia="Arial" w:cs="Arial"/>
                <w:color w:val="394A58"/>
                <w:sz w:val="16"/>
                <w:szCs w:val="16"/>
              </w:rPr>
              <w:t>Establish demonstration sites featuring integrated SSDG.</w:t>
            </w:r>
          </w:p>
          <w:p w14:paraId="2F8D33E6" w14:textId="77777777" w:rsidR="00AF6B52" w:rsidRPr="00662906" w:rsidRDefault="00AF6B52" w:rsidP="005C5546">
            <w:pPr>
              <w:pStyle w:val="ListParagraph"/>
              <w:numPr>
                <w:ilvl w:val="0"/>
                <w:numId w:val="61"/>
              </w:numPr>
              <w:spacing w:before="40" w:after="40"/>
              <w:ind w:left="368"/>
              <w:jc w:val="left"/>
              <w:rPr>
                <w:rFonts w:eastAsia="Arial" w:cs="Arial"/>
                <w:color w:val="394A58"/>
                <w:sz w:val="16"/>
                <w:szCs w:val="16"/>
              </w:rPr>
            </w:pPr>
            <w:r w:rsidRPr="00662906">
              <w:rPr>
                <w:rFonts w:eastAsia="Arial" w:cs="Arial"/>
                <w:color w:val="394A58"/>
                <w:sz w:val="16"/>
                <w:szCs w:val="16"/>
              </w:rPr>
              <w:t>Assess performance and regulatory alignment</w:t>
            </w:r>
          </w:p>
          <w:p w14:paraId="570CD732" w14:textId="61EF386D" w:rsidR="00AF6B52" w:rsidRPr="00662906" w:rsidRDefault="00AF6B52" w:rsidP="005C5546">
            <w:pPr>
              <w:pStyle w:val="ListParagraph"/>
              <w:numPr>
                <w:ilvl w:val="0"/>
                <w:numId w:val="61"/>
              </w:numPr>
              <w:spacing w:before="40" w:after="40"/>
              <w:ind w:left="368"/>
              <w:jc w:val="left"/>
              <w:rPr>
                <w:rFonts w:eastAsia="Arial" w:cs="Arial"/>
                <w:color w:val="394A58"/>
                <w:sz w:val="16"/>
                <w:szCs w:val="16"/>
              </w:rPr>
            </w:pPr>
            <w:r w:rsidRPr="00662906">
              <w:rPr>
                <w:rFonts w:eastAsia="Arial" w:cs="Arial"/>
                <w:color w:val="394A58"/>
                <w:sz w:val="16"/>
                <w:szCs w:val="16"/>
              </w:rPr>
              <w:t xml:space="preserve">Conduct outreach to local </w:t>
            </w:r>
            <w:r w:rsidR="00D41C50" w:rsidRPr="00662906">
              <w:rPr>
                <w:rFonts w:eastAsia="Arial" w:cs="Arial"/>
                <w:color w:val="394A58"/>
                <w:sz w:val="16"/>
                <w:szCs w:val="16"/>
              </w:rPr>
              <w:t xml:space="preserve">Communities, </w:t>
            </w:r>
            <w:r w:rsidRPr="00662906">
              <w:rPr>
                <w:rFonts w:eastAsia="Arial" w:cs="Arial"/>
                <w:color w:val="394A58"/>
                <w:sz w:val="16"/>
                <w:szCs w:val="16"/>
              </w:rPr>
              <w:t>comm</w:t>
            </w:r>
            <w:r w:rsidR="00D41C50" w:rsidRPr="00662906">
              <w:rPr>
                <w:rFonts w:eastAsia="Arial" w:cs="Arial"/>
                <w:color w:val="394A58"/>
                <w:sz w:val="16"/>
                <w:szCs w:val="16"/>
              </w:rPr>
              <w:t>erce</w:t>
            </w:r>
            <w:r w:rsidRPr="00662906">
              <w:rPr>
                <w:rFonts w:eastAsia="Arial" w:cs="Arial"/>
                <w:color w:val="394A58"/>
                <w:sz w:val="16"/>
                <w:szCs w:val="16"/>
              </w:rPr>
              <w:t xml:space="preserve"> and industry </w:t>
            </w:r>
          </w:p>
          <w:p w14:paraId="22A86E6F" w14:textId="77777777" w:rsidR="00AF6B52" w:rsidRPr="00662906" w:rsidRDefault="00AF6B52" w:rsidP="005C5546">
            <w:pPr>
              <w:pStyle w:val="ListParagraph"/>
              <w:numPr>
                <w:ilvl w:val="0"/>
                <w:numId w:val="61"/>
              </w:numPr>
              <w:spacing w:before="40" w:after="40"/>
              <w:ind w:left="368"/>
              <w:jc w:val="left"/>
              <w:rPr>
                <w:rFonts w:eastAsia="Arial" w:cs="Arial"/>
                <w:color w:val="394A58"/>
                <w:sz w:val="16"/>
                <w:szCs w:val="16"/>
              </w:rPr>
            </w:pPr>
            <w:r w:rsidRPr="00662906">
              <w:rPr>
                <w:rFonts w:eastAsia="Arial" w:cs="Arial"/>
                <w:color w:val="394A58"/>
                <w:sz w:val="16"/>
                <w:szCs w:val="16"/>
              </w:rPr>
              <w:t>Publish a market study to encourage replication</w:t>
            </w:r>
          </w:p>
        </w:tc>
        <w:tc>
          <w:tcPr>
            <w:tcW w:w="1276" w:type="dxa"/>
            <w:gridSpan w:val="2"/>
            <w:shd w:val="clear" w:color="auto" w:fill="FFFFFF"/>
            <w:tcMar>
              <w:left w:w="57" w:type="dxa"/>
              <w:right w:w="57" w:type="dxa"/>
            </w:tcMar>
          </w:tcPr>
          <w:p w14:paraId="32A166ED"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National</w:t>
            </w:r>
          </w:p>
        </w:tc>
        <w:tc>
          <w:tcPr>
            <w:tcW w:w="1070" w:type="dxa"/>
            <w:gridSpan w:val="2"/>
            <w:shd w:val="clear" w:color="auto" w:fill="FFFFFF"/>
            <w:tcMar>
              <w:left w:w="57" w:type="dxa"/>
              <w:right w:w="57" w:type="dxa"/>
            </w:tcMar>
          </w:tcPr>
          <w:p w14:paraId="74F65A53"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Ministries in charge of Energy</w:t>
            </w:r>
          </w:p>
        </w:tc>
        <w:tc>
          <w:tcPr>
            <w:tcW w:w="1198" w:type="dxa"/>
            <w:gridSpan w:val="2"/>
            <w:shd w:val="clear" w:color="auto" w:fill="FFFFFF"/>
            <w:tcMar>
              <w:left w:w="57" w:type="dxa"/>
              <w:right w:w="57" w:type="dxa"/>
            </w:tcMar>
          </w:tcPr>
          <w:p w14:paraId="29F42641"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Power utilities, Commercial and industry players</w:t>
            </w:r>
          </w:p>
        </w:tc>
        <w:tc>
          <w:tcPr>
            <w:tcW w:w="851" w:type="dxa"/>
            <w:gridSpan w:val="2"/>
            <w:shd w:val="clear" w:color="auto" w:fill="FFFFFF"/>
            <w:tcMar>
              <w:left w:w="57" w:type="dxa"/>
              <w:right w:w="57" w:type="dxa"/>
            </w:tcMar>
          </w:tcPr>
          <w:p w14:paraId="166C4815" w14:textId="77777777"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Short-medium time</w:t>
            </w:r>
          </w:p>
        </w:tc>
        <w:tc>
          <w:tcPr>
            <w:tcW w:w="1842" w:type="dxa"/>
            <w:gridSpan w:val="2"/>
            <w:shd w:val="clear" w:color="auto" w:fill="FFFFFF"/>
          </w:tcPr>
          <w:p w14:paraId="53161782"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Operational SSDG demonstration sites </w:t>
            </w:r>
          </w:p>
          <w:p w14:paraId="1190B3D1"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Performance data and regulatory recommendations</w:t>
            </w:r>
          </w:p>
          <w:p w14:paraId="774F0761" w14:textId="77777777" w:rsidR="00AF6B52" w:rsidRPr="00662906" w:rsidRDefault="00AF6B52"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Market assessment report</w:t>
            </w:r>
          </w:p>
        </w:tc>
        <w:tc>
          <w:tcPr>
            <w:tcW w:w="1701" w:type="dxa"/>
            <w:gridSpan w:val="2"/>
            <w:shd w:val="clear" w:color="auto" w:fill="FFFFFF"/>
          </w:tcPr>
          <w:p w14:paraId="2DDB05C2" w14:textId="05FDF33D" w:rsidR="00AF6B52" w:rsidRPr="00662906" w:rsidRDefault="00AF6B52" w:rsidP="00E8722A">
            <w:pPr>
              <w:spacing w:before="40" w:after="40"/>
              <w:rPr>
                <w:rFonts w:eastAsia="Arial" w:cs="Arial"/>
                <w:color w:val="53575A"/>
                <w:sz w:val="16"/>
                <w:szCs w:val="16"/>
              </w:rPr>
            </w:pPr>
            <w:r w:rsidRPr="00662906">
              <w:rPr>
                <w:rFonts w:eastAsia="Arial" w:cs="Arial"/>
                <w:color w:val="53575A"/>
                <w:sz w:val="16"/>
                <w:szCs w:val="16"/>
              </w:rPr>
              <w:t xml:space="preserve">Wider adoption of distributed RE, strengthened policy support for small-scale projects, and expanded opportunities for local industry and </w:t>
            </w:r>
            <w:r w:rsidR="00D41C50" w:rsidRPr="00662906">
              <w:rPr>
                <w:rFonts w:eastAsia="Arial" w:cs="Arial"/>
                <w:color w:val="53575A"/>
                <w:sz w:val="16"/>
                <w:szCs w:val="16"/>
              </w:rPr>
              <w:t xml:space="preserve">other </w:t>
            </w:r>
            <w:r w:rsidRPr="00662906">
              <w:rPr>
                <w:rFonts w:eastAsia="Arial" w:cs="Arial"/>
                <w:color w:val="53575A"/>
                <w:sz w:val="16"/>
                <w:szCs w:val="16"/>
              </w:rPr>
              <w:t>consumers</w:t>
            </w:r>
          </w:p>
        </w:tc>
        <w:tc>
          <w:tcPr>
            <w:tcW w:w="1843" w:type="dxa"/>
            <w:gridSpan w:val="2"/>
            <w:shd w:val="clear" w:color="auto" w:fill="FFFFFF"/>
          </w:tcPr>
          <w:p w14:paraId="1C57D3E6" w14:textId="32E38870"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Existence of performance/regulatory report (Yes/No)</w:t>
            </w:r>
          </w:p>
          <w:p w14:paraId="7068EBF4" w14:textId="307D329D" w:rsidR="00AF6B52" w:rsidRPr="00662906" w:rsidRDefault="00AF6B52"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Market assessment completed (Yes/No</w:t>
            </w:r>
          </w:p>
        </w:tc>
      </w:tr>
      <w:tr w:rsidR="008446B3" w:rsidRPr="00662906" w14:paraId="16E02454" w14:textId="77777777" w:rsidTr="009A0D6A">
        <w:trPr>
          <w:trHeight w:val="300"/>
        </w:trPr>
        <w:tc>
          <w:tcPr>
            <w:tcW w:w="167" w:type="dxa"/>
            <w:shd w:val="clear" w:color="auto" w:fill="FFFFFF"/>
            <w:tcMar>
              <w:left w:w="57" w:type="dxa"/>
              <w:right w:w="57" w:type="dxa"/>
            </w:tcMar>
          </w:tcPr>
          <w:p w14:paraId="1F8C545C" w14:textId="5B5450C3"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5</w:t>
            </w:r>
          </w:p>
        </w:tc>
        <w:tc>
          <w:tcPr>
            <w:tcW w:w="1256" w:type="dxa"/>
            <w:gridSpan w:val="3"/>
            <w:shd w:val="clear" w:color="auto" w:fill="FFFFFF"/>
            <w:tcMar>
              <w:left w:w="57" w:type="dxa"/>
              <w:right w:w="57" w:type="dxa"/>
            </w:tcMar>
          </w:tcPr>
          <w:p w14:paraId="658CFEDF" w14:textId="2D51D581"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 xml:space="preserve">Support the development of the Off-grid Sector in Africa (mini grids/ microgrids and solar home systems) </w:t>
            </w:r>
          </w:p>
        </w:tc>
        <w:tc>
          <w:tcPr>
            <w:tcW w:w="3260" w:type="dxa"/>
            <w:gridSpan w:val="2"/>
            <w:tcBorders>
              <w:top w:val="single" w:sz="4" w:space="0" w:color="9F2241"/>
              <w:left w:val="nil"/>
              <w:bottom w:val="single" w:sz="4" w:space="0" w:color="9F2241"/>
              <w:right w:val="nil"/>
            </w:tcBorders>
            <w:tcMar>
              <w:left w:w="57" w:type="dxa"/>
              <w:right w:w="57" w:type="dxa"/>
            </w:tcMar>
          </w:tcPr>
          <w:p w14:paraId="2072F466" w14:textId="77777777" w:rsidR="008446B3" w:rsidRPr="00662906" w:rsidRDefault="008446B3" w:rsidP="005C5546">
            <w:pPr>
              <w:pStyle w:val="ListParagraph"/>
              <w:numPr>
                <w:ilvl w:val="0"/>
                <w:numId w:val="202"/>
              </w:numPr>
              <w:spacing w:before="40" w:after="40"/>
              <w:ind w:left="367"/>
              <w:jc w:val="left"/>
              <w:rPr>
                <w:rFonts w:eastAsia="Arial" w:cs="Arial"/>
                <w:color w:val="394A58"/>
                <w:sz w:val="16"/>
                <w:szCs w:val="16"/>
              </w:rPr>
            </w:pPr>
            <w:r w:rsidRPr="00662906">
              <w:rPr>
                <w:rFonts w:eastAsia="Arial" w:cs="Arial"/>
                <w:color w:val="394A58"/>
                <w:sz w:val="16"/>
                <w:szCs w:val="16"/>
              </w:rPr>
              <w:t xml:space="preserve">Review current mini-grid and microgrid policies across AU Member States </w:t>
            </w:r>
          </w:p>
          <w:p w14:paraId="7516AF5D" w14:textId="77777777" w:rsidR="008446B3" w:rsidRPr="00662906" w:rsidRDefault="008446B3" w:rsidP="005C5546">
            <w:pPr>
              <w:pStyle w:val="ListParagraph"/>
              <w:numPr>
                <w:ilvl w:val="0"/>
                <w:numId w:val="202"/>
              </w:numPr>
              <w:spacing w:before="40" w:after="40"/>
              <w:ind w:left="368"/>
              <w:jc w:val="left"/>
              <w:rPr>
                <w:rFonts w:eastAsia="Arial" w:cs="Arial"/>
                <w:color w:val="394A58"/>
                <w:sz w:val="16"/>
                <w:szCs w:val="16"/>
              </w:rPr>
            </w:pPr>
            <w:r w:rsidRPr="00662906">
              <w:rPr>
                <w:rFonts w:eastAsia="Arial" w:cs="Arial"/>
                <w:color w:val="394A58"/>
                <w:sz w:val="16"/>
                <w:szCs w:val="16"/>
              </w:rPr>
              <w:t>Develop standardized tariff, pricing, and licensing models</w:t>
            </w:r>
          </w:p>
          <w:p w14:paraId="0252797A" w14:textId="77777777" w:rsidR="008446B3" w:rsidRPr="00662906" w:rsidRDefault="008446B3" w:rsidP="005C5546">
            <w:pPr>
              <w:pStyle w:val="ListParagraph"/>
              <w:numPr>
                <w:ilvl w:val="0"/>
                <w:numId w:val="202"/>
              </w:numPr>
              <w:spacing w:before="40" w:after="40"/>
              <w:ind w:left="368"/>
              <w:jc w:val="left"/>
              <w:rPr>
                <w:rFonts w:eastAsia="Arial" w:cs="Arial"/>
                <w:color w:val="394A58"/>
                <w:sz w:val="16"/>
                <w:szCs w:val="16"/>
              </w:rPr>
            </w:pPr>
            <w:r w:rsidRPr="00662906">
              <w:rPr>
                <w:rFonts w:eastAsia="Arial" w:cs="Arial"/>
                <w:color w:val="394A58"/>
                <w:sz w:val="16"/>
                <w:szCs w:val="16"/>
              </w:rPr>
              <w:t>Support Capacity Building for Energy Regulators on mini-grid tariff, pricing and licensing guidelines</w:t>
            </w:r>
          </w:p>
          <w:p w14:paraId="6D1AACB7" w14:textId="49F60F0D" w:rsidR="008446B3" w:rsidRPr="00662906" w:rsidRDefault="008446B3" w:rsidP="005C5546">
            <w:pPr>
              <w:pStyle w:val="ListParagraph"/>
              <w:numPr>
                <w:ilvl w:val="0"/>
                <w:numId w:val="202"/>
              </w:numPr>
              <w:spacing w:before="40" w:after="40"/>
              <w:ind w:left="368"/>
              <w:jc w:val="left"/>
              <w:rPr>
                <w:rFonts w:eastAsia="Arial" w:cs="Arial"/>
                <w:color w:val="394A58"/>
                <w:sz w:val="16"/>
                <w:szCs w:val="16"/>
              </w:rPr>
            </w:pPr>
            <w:r w:rsidRPr="00662906">
              <w:rPr>
                <w:rFonts w:eastAsia="Arial" w:cs="Arial"/>
                <w:color w:val="394A58"/>
                <w:sz w:val="16"/>
                <w:szCs w:val="16"/>
              </w:rPr>
              <w:t>Provide in country support to MS on adoption of adaptation and domestication of the framework at national levels</w:t>
            </w:r>
          </w:p>
        </w:tc>
        <w:tc>
          <w:tcPr>
            <w:tcW w:w="1276" w:type="dxa"/>
            <w:gridSpan w:val="2"/>
            <w:shd w:val="clear" w:color="auto" w:fill="FFFFFF"/>
            <w:tcMar>
              <w:left w:w="57" w:type="dxa"/>
              <w:right w:w="57" w:type="dxa"/>
            </w:tcMar>
          </w:tcPr>
          <w:p w14:paraId="3360E46A" w14:textId="0E132D4B"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Continental</w:t>
            </w:r>
          </w:p>
        </w:tc>
        <w:tc>
          <w:tcPr>
            <w:tcW w:w="1070" w:type="dxa"/>
            <w:gridSpan w:val="2"/>
            <w:shd w:val="clear" w:color="auto" w:fill="FFFFFF"/>
            <w:tcMar>
              <w:left w:w="57" w:type="dxa"/>
              <w:right w:w="57" w:type="dxa"/>
            </w:tcMar>
          </w:tcPr>
          <w:p w14:paraId="27277AC5" w14:textId="666EE309"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AFREC</w:t>
            </w:r>
          </w:p>
        </w:tc>
        <w:tc>
          <w:tcPr>
            <w:tcW w:w="1198" w:type="dxa"/>
            <w:gridSpan w:val="2"/>
            <w:shd w:val="clear" w:color="auto" w:fill="FFFFFF"/>
            <w:tcMar>
              <w:left w:w="57" w:type="dxa"/>
              <w:right w:w="57" w:type="dxa"/>
            </w:tcMar>
          </w:tcPr>
          <w:p w14:paraId="309D9D40" w14:textId="05E472C2" w:rsidR="008446B3" w:rsidRPr="00662906" w:rsidRDefault="007505D7" w:rsidP="008446B3">
            <w:pPr>
              <w:spacing w:before="40" w:after="40"/>
              <w:rPr>
                <w:rFonts w:eastAsia="Arial" w:cs="Arial"/>
                <w:color w:val="53575A"/>
                <w:sz w:val="16"/>
                <w:szCs w:val="16"/>
              </w:rPr>
            </w:pPr>
            <w:r w:rsidRPr="00662906">
              <w:rPr>
                <w:rFonts w:eastAsia="Arial" w:cs="Arial"/>
                <w:color w:val="53575A"/>
                <w:sz w:val="16"/>
                <w:szCs w:val="16"/>
              </w:rPr>
              <w:t>Regional Centres for Renewable Energy and Energy Efficiency (</w:t>
            </w:r>
            <w:r w:rsidR="008446B3" w:rsidRPr="00662906">
              <w:rPr>
                <w:rFonts w:eastAsia="Arial" w:cs="Arial"/>
                <w:color w:val="53575A"/>
                <w:sz w:val="16"/>
                <w:szCs w:val="16"/>
              </w:rPr>
              <w:t>RCREEEs</w:t>
            </w:r>
            <w:r w:rsidRPr="00662906">
              <w:rPr>
                <w:rFonts w:eastAsia="Arial" w:cs="Arial"/>
                <w:color w:val="53575A"/>
                <w:sz w:val="16"/>
                <w:szCs w:val="16"/>
              </w:rPr>
              <w:t>)</w:t>
            </w:r>
            <w:r w:rsidR="008446B3" w:rsidRPr="00662906">
              <w:rPr>
                <w:rFonts w:eastAsia="Arial" w:cs="Arial"/>
                <w:color w:val="53575A"/>
                <w:sz w:val="16"/>
                <w:szCs w:val="16"/>
              </w:rPr>
              <w:t>, Ministries of E</w:t>
            </w:r>
            <w:r w:rsidR="005C5546" w:rsidRPr="00662906">
              <w:rPr>
                <w:rFonts w:eastAsia="Arial" w:cs="Arial"/>
                <w:color w:val="53575A"/>
                <w:sz w:val="16"/>
                <w:szCs w:val="16"/>
              </w:rPr>
              <w:t>n</w:t>
            </w:r>
            <w:r w:rsidR="008446B3" w:rsidRPr="00662906">
              <w:rPr>
                <w:rFonts w:eastAsia="Arial" w:cs="Arial"/>
                <w:color w:val="53575A"/>
                <w:sz w:val="16"/>
                <w:szCs w:val="16"/>
              </w:rPr>
              <w:t>ergy</w:t>
            </w:r>
          </w:p>
        </w:tc>
        <w:tc>
          <w:tcPr>
            <w:tcW w:w="851" w:type="dxa"/>
            <w:gridSpan w:val="2"/>
            <w:shd w:val="clear" w:color="auto" w:fill="FFFFFF"/>
            <w:tcMar>
              <w:left w:w="57" w:type="dxa"/>
              <w:right w:w="57" w:type="dxa"/>
            </w:tcMar>
          </w:tcPr>
          <w:p w14:paraId="29A6773E" w14:textId="13327B6E"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Short- Medium Term</w:t>
            </w:r>
          </w:p>
        </w:tc>
        <w:tc>
          <w:tcPr>
            <w:tcW w:w="1842" w:type="dxa"/>
            <w:gridSpan w:val="2"/>
            <w:shd w:val="clear" w:color="auto" w:fill="FFFFFF"/>
          </w:tcPr>
          <w:p w14:paraId="4979A737" w14:textId="77777777" w:rsidR="008446B3" w:rsidRPr="00662906" w:rsidRDefault="008446B3"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Approved uniform Tariff/pricing model for Africa</w:t>
            </w:r>
          </w:p>
          <w:p w14:paraId="72395AF0" w14:textId="5B10B674" w:rsidR="008446B3" w:rsidRPr="00662906" w:rsidRDefault="008446B3"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Model licensing regulations </w:t>
            </w:r>
          </w:p>
        </w:tc>
        <w:tc>
          <w:tcPr>
            <w:tcW w:w="1701" w:type="dxa"/>
            <w:gridSpan w:val="2"/>
            <w:shd w:val="clear" w:color="auto" w:fill="FFFFFF"/>
          </w:tcPr>
          <w:p w14:paraId="1D62AC17" w14:textId="2CAE1D14" w:rsidR="008446B3" w:rsidRPr="00662906" w:rsidRDefault="008446B3" w:rsidP="008446B3">
            <w:pPr>
              <w:spacing w:before="40" w:after="40"/>
              <w:rPr>
                <w:rFonts w:eastAsia="Arial" w:cs="Arial"/>
                <w:color w:val="53575A"/>
                <w:sz w:val="16"/>
                <w:szCs w:val="16"/>
              </w:rPr>
            </w:pPr>
            <w:r w:rsidRPr="00662906">
              <w:rPr>
                <w:rFonts w:eastAsia="Arial" w:cs="Arial"/>
                <w:color w:val="53575A"/>
                <w:sz w:val="16"/>
                <w:szCs w:val="16"/>
              </w:rPr>
              <w:t>Enhanced uptake of off-grid electrification solutions in Africa</w:t>
            </w:r>
          </w:p>
        </w:tc>
        <w:tc>
          <w:tcPr>
            <w:tcW w:w="1843" w:type="dxa"/>
            <w:gridSpan w:val="2"/>
            <w:shd w:val="clear" w:color="auto" w:fill="FFFFFF"/>
          </w:tcPr>
          <w:p w14:paraId="6A599E81" w14:textId="77777777" w:rsidR="008446B3" w:rsidRPr="00662906" w:rsidRDefault="008446B3"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 xml:space="preserve">Number of MS regulators trained </w:t>
            </w:r>
          </w:p>
          <w:p w14:paraId="0B229F7F" w14:textId="40D0DFF7" w:rsidR="008446B3" w:rsidRPr="00662906" w:rsidRDefault="008446B3"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Number of MS adopting the standardized tariff, pricing, and licensing models</w:t>
            </w:r>
          </w:p>
          <w:p w14:paraId="6D70AE6B" w14:textId="69299906" w:rsidR="008446B3" w:rsidRPr="00662906" w:rsidRDefault="008446B3"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Population with access to electricity (%)</w:t>
            </w:r>
          </w:p>
        </w:tc>
      </w:tr>
      <w:tr w:rsidR="00D04A45" w:rsidRPr="00662906" w14:paraId="53DFDF9A" w14:textId="77777777" w:rsidTr="009A0D6A">
        <w:trPr>
          <w:gridAfter w:val="1"/>
          <w:wAfter w:w="8" w:type="dxa"/>
          <w:trHeight w:val="300"/>
        </w:trPr>
        <w:tc>
          <w:tcPr>
            <w:tcW w:w="227" w:type="dxa"/>
            <w:gridSpan w:val="2"/>
            <w:shd w:val="clear" w:color="auto" w:fill="FFFFFF"/>
            <w:tcMar>
              <w:left w:w="57" w:type="dxa"/>
              <w:right w:w="57" w:type="dxa"/>
            </w:tcMar>
          </w:tcPr>
          <w:p w14:paraId="7DB47759" w14:textId="1057B0B8" w:rsidR="00D04A45" w:rsidRPr="00662906" w:rsidDel="00DC6C14" w:rsidRDefault="00D04A45" w:rsidP="00D04A45">
            <w:pPr>
              <w:spacing w:before="40" w:after="40"/>
              <w:rPr>
                <w:rFonts w:eastAsia="Arial" w:cs="Arial"/>
                <w:color w:val="53575A"/>
                <w:sz w:val="16"/>
                <w:szCs w:val="16"/>
              </w:rPr>
            </w:pPr>
            <w:r w:rsidRPr="00662906">
              <w:rPr>
                <w:rFonts w:eastAsia="Arial" w:cs="Arial"/>
                <w:color w:val="53575A"/>
                <w:sz w:val="16"/>
                <w:szCs w:val="16"/>
              </w:rPr>
              <w:t>6</w:t>
            </w:r>
          </w:p>
        </w:tc>
        <w:tc>
          <w:tcPr>
            <w:tcW w:w="1188" w:type="dxa"/>
            <w:shd w:val="clear" w:color="auto" w:fill="FFFFFF"/>
            <w:tcMar>
              <w:left w:w="57" w:type="dxa"/>
              <w:right w:w="57" w:type="dxa"/>
            </w:tcMar>
          </w:tcPr>
          <w:p w14:paraId="0F537B36" w14:textId="29BF778A"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R&amp;D of new and emerging clean /RE technologies</w:t>
            </w:r>
          </w:p>
        </w:tc>
        <w:tc>
          <w:tcPr>
            <w:tcW w:w="3260" w:type="dxa"/>
            <w:gridSpan w:val="2"/>
            <w:tcBorders>
              <w:top w:val="single" w:sz="4" w:space="0" w:color="9F2241"/>
              <w:left w:val="nil"/>
              <w:bottom w:val="single" w:sz="4" w:space="0" w:color="9F2241"/>
              <w:right w:val="nil"/>
            </w:tcBorders>
            <w:tcMar>
              <w:left w:w="57" w:type="dxa"/>
              <w:right w:w="57" w:type="dxa"/>
            </w:tcMar>
          </w:tcPr>
          <w:p w14:paraId="567187BE" w14:textId="77777777" w:rsidR="00D04A45" w:rsidRPr="00662906" w:rsidRDefault="00D04A45" w:rsidP="005C5546">
            <w:pPr>
              <w:pStyle w:val="ListParagraph"/>
              <w:numPr>
                <w:ilvl w:val="0"/>
                <w:numId w:val="62"/>
              </w:numPr>
              <w:spacing w:before="40" w:after="40"/>
              <w:ind w:left="368"/>
              <w:jc w:val="left"/>
              <w:rPr>
                <w:rFonts w:eastAsia="Arial" w:cs="Arial"/>
                <w:color w:val="394A58"/>
                <w:sz w:val="16"/>
                <w:szCs w:val="16"/>
              </w:rPr>
            </w:pPr>
            <w:r w:rsidRPr="00662906">
              <w:rPr>
                <w:rFonts w:eastAsia="Arial" w:cs="Arial"/>
                <w:color w:val="394A58"/>
                <w:sz w:val="16"/>
                <w:szCs w:val="16"/>
              </w:rPr>
              <w:t xml:space="preserve">Conduct scans of advancing RE technologies (e.g., battery, tidal/wave, modern biomass) </w:t>
            </w:r>
          </w:p>
          <w:p w14:paraId="5C716847" w14:textId="77777777" w:rsidR="00D04A45" w:rsidRPr="00662906" w:rsidRDefault="00D04A45" w:rsidP="005C5546">
            <w:pPr>
              <w:pStyle w:val="ListParagraph"/>
              <w:numPr>
                <w:ilvl w:val="0"/>
                <w:numId w:val="62"/>
              </w:numPr>
              <w:spacing w:before="40" w:after="40"/>
              <w:ind w:left="368"/>
              <w:jc w:val="left"/>
              <w:rPr>
                <w:rFonts w:eastAsia="Arial" w:cs="Arial"/>
                <w:color w:val="394A58"/>
                <w:sz w:val="16"/>
                <w:szCs w:val="16"/>
              </w:rPr>
            </w:pPr>
            <w:r w:rsidRPr="00662906">
              <w:rPr>
                <w:rFonts w:eastAsia="Arial" w:cs="Arial"/>
                <w:color w:val="394A58"/>
                <w:sz w:val="16"/>
                <w:szCs w:val="16"/>
              </w:rPr>
              <w:t>Pilot emerging solutions with research institutions</w:t>
            </w:r>
          </w:p>
          <w:p w14:paraId="05BA46FC" w14:textId="77777777" w:rsidR="00D04A45" w:rsidRPr="00662906" w:rsidRDefault="00D04A45" w:rsidP="005C5546">
            <w:pPr>
              <w:pStyle w:val="ListParagraph"/>
              <w:numPr>
                <w:ilvl w:val="0"/>
                <w:numId w:val="62"/>
              </w:numPr>
              <w:spacing w:before="40" w:after="40"/>
              <w:ind w:left="368"/>
              <w:jc w:val="left"/>
              <w:rPr>
                <w:rFonts w:eastAsia="Arial" w:cs="Arial"/>
                <w:color w:val="394A58"/>
                <w:sz w:val="16"/>
                <w:szCs w:val="16"/>
              </w:rPr>
            </w:pPr>
            <w:r w:rsidRPr="00662906">
              <w:rPr>
                <w:rFonts w:eastAsia="Arial" w:cs="Arial"/>
                <w:color w:val="394A58"/>
                <w:sz w:val="16"/>
                <w:szCs w:val="16"/>
              </w:rPr>
              <w:t>Document cost-benefit and scalability potential</w:t>
            </w:r>
          </w:p>
          <w:p w14:paraId="10AA6D0F" w14:textId="5641E732" w:rsidR="00D04A45" w:rsidRPr="00662906" w:rsidDel="00DC6C14" w:rsidRDefault="00D04A45" w:rsidP="005C5546">
            <w:pPr>
              <w:pStyle w:val="ListParagraph"/>
              <w:numPr>
                <w:ilvl w:val="0"/>
                <w:numId w:val="118"/>
              </w:numPr>
              <w:spacing w:before="40" w:after="40"/>
              <w:ind w:left="367"/>
              <w:jc w:val="left"/>
              <w:rPr>
                <w:rFonts w:eastAsia="Arial" w:cs="Arial"/>
                <w:color w:val="394A58"/>
                <w:sz w:val="16"/>
                <w:szCs w:val="16"/>
              </w:rPr>
            </w:pPr>
            <w:r w:rsidRPr="00662906">
              <w:rPr>
                <w:rFonts w:eastAsia="Arial" w:cs="Arial"/>
                <w:color w:val="394A58"/>
                <w:sz w:val="16"/>
                <w:szCs w:val="16"/>
              </w:rPr>
              <w:t>Disseminate findings to AU Member States, investors, and industry</w:t>
            </w:r>
          </w:p>
        </w:tc>
        <w:tc>
          <w:tcPr>
            <w:tcW w:w="1276" w:type="dxa"/>
            <w:gridSpan w:val="2"/>
            <w:shd w:val="clear" w:color="auto" w:fill="FFFFFF"/>
            <w:tcMar>
              <w:left w:w="57" w:type="dxa"/>
              <w:right w:w="57" w:type="dxa"/>
            </w:tcMar>
          </w:tcPr>
          <w:p w14:paraId="752692E4" w14:textId="394F451A"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Continental</w:t>
            </w:r>
          </w:p>
        </w:tc>
        <w:tc>
          <w:tcPr>
            <w:tcW w:w="1070" w:type="dxa"/>
            <w:gridSpan w:val="2"/>
            <w:shd w:val="clear" w:color="auto" w:fill="FFFFFF"/>
            <w:tcMar>
              <w:left w:w="57" w:type="dxa"/>
              <w:right w:w="57" w:type="dxa"/>
            </w:tcMar>
          </w:tcPr>
          <w:p w14:paraId="63DE28BE" w14:textId="7903740A"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AFREC/AU -</w:t>
            </w:r>
            <w:r w:rsidR="00AB79DA" w:rsidRPr="00662906">
              <w:rPr>
                <w:rFonts w:eastAsia="Arial" w:cs="Arial"/>
                <w:color w:val="53575A"/>
                <w:sz w:val="16"/>
                <w:szCs w:val="16"/>
              </w:rPr>
              <w:t>DIE</w:t>
            </w:r>
          </w:p>
        </w:tc>
        <w:tc>
          <w:tcPr>
            <w:tcW w:w="1198" w:type="dxa"/>
            <w:gridSpan w:val="2"/>
            <w:shd w:val="clear" w:color="auto" w:fill="FFFFFF"/>
            <w:tcMar>
              <w:left w:w="57" w:type="dxa"/>
              <w:right w:w="57" w:type="dxa"/>
            </w:tcMar>
          </w:tcPr>
          <w:p w14:paraId="5CCDDADC" w14:textId="6BFA7A98"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Regional Power Pools, regional regulators, RCREEES, Ministries in charge of energy</w:t>
            </w:r>
          </w:p>
        </w:tc>
        <w:tc>
          <w:tcPr>
            <w:tcW w:w="851" w:type="dxa"/>
            <w:gridSpan w:val="2"/>
            <w:shd w:val="clear" w:color="auto" w:fill="FFFFFF"/>
            <w:tcMar>
              <w:left w:w="57" w:type="dxa"/>
              <w:right w:w="57" w:type="dxa"/>
            </w:tcMar>
          </w:tcPr>
          <w:p w14:paraId="605221F5" w14:textId="033E184D"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Short-Long term</w:t>
            </w:r>
          </w:p>
        </w:tc>
        <w:tc>
          <w:tcPr>
            <w:tcW w:w="1842" w:type="dxa"/>
            <w:gridSpan w:val="2"/>
            <w:shd w:val="clear" w:color="auto" w:fill="FFFFFF"/>
          </w:tcPr>
          <w:p w14:paraId="0036F7DA" w14:textId="77777777" w:rsidR="00D04A45" w:rsidRPr="00662906" w:rsidRDefault="00D04A45"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Comprehensive R&amp;D studies </w:t>
            </w:r>
          </w:p>
          <w:p w14:paraId="57CF0A50" w14:textId="77777777" w:rsidR="00D04A45" w:rsidRPr="00662906" w:rsidRDefault="00D04A45" w:rsidP="005C5546">
            <w:pPr>
              <w:pStyle w:val="ListParagraph"/>
              <w:numPr>
                <w:ilvl w:val="0"/>
                <w:numId w:val="63"/>
              </w:numPr>
              <w:spacing w:before="40" w:after="40"/>
              <w:ind w:left="173" w:hanging="173"/>
              <w:jc w:val="left"/>
              <w:rPr>
                <w:rFonts w:eastAsia="Arial" w:cs="Arial"/>
                <w:color w:val="53575A"/>
                <w:sz w:val="16"/>
                <w:szCs w:val="16"/>
              </w:rPr>
            </w:pPr>
            <w:r w:rsidRPr="00662906">
              <w:rPr>
                <w:rFonts w:eastAsia="Arial" w:cs="Arial"/>
                <w:color w:val="53575A"/>
                <w:sz w:val="16"/>
                <w:szCs w:val="16"/>
              </w:rPr>
              <w:t xml:space="preserve">Pilot projects initiated </w:t>
            </w:r>
          </w:p>
          <w:p w14:paraId="49ED8D65" w14:textId="3CCB7EAA" w:rsidR="00D04A45" w:rsidRPr="00662906" w:rsidDel="00DC6C14" w:rsidRDefault="00D04A45" w:rsidP="005C5546">
            <w:pPr>
              <w:pStyle w:val="ListParagraph"/>
              <w:numPr>
                <w:ilvl w:val="0"/>
                <w:numId w:val="63"/>
              </w:numPr>
              <w:spacing w:before="40" w:after="40"/>
              <w:ind w:left="317"/>
              <w:jc w:val="left"/>
              <w:rPr>
                <w:rFonts w:eastAsia="Arial" w:cs="Arial"/>
                <w:color w:val="53575A"/>
                <w:sz w:val="16"/>
                <w:szCs w:val="16"/>
              </w:rPr>
            </w:pPr>
            <w:r w:rsidRPr="00662906">
              <w:rPr>
                <w:rFonts w:eastAsia="Arial" w:cs="Arial"/>
                <w:color w:val="53575A"/>
                <w:sz w:val="16"/>
                <w:szCs w:val="16"/>
              </w:rPr>
              <w:t>Published cost-benefit analyses</w:t>
            </w:r>
          </w:p>
        </w:tc>
        <w:tc>
          <w:tcPr>
            <w:tcW w:w="1701" w:type="dxa"/>
            <w:gridSpan w:val="2"/>
            <w:shd w:val="clear" w:color="auto" w:fill="FFFFFF"/>
          </w:tcPr>
          <w:p w14:paraId="395629EB" w14:textId="65C72702" w:rsidR="00D04A45" w:rsidRPr="00662906" w:rsidDel="00DC6C14" w:rsidRDefault="00D04A45" w:rsidP="00D04A45">
            <w:pPr>
              <w:spacing w:before="40" w:after="40"/>
              <w:rPr>
                <w:rFonts w:cs="Arial"/>
                <w:sz w:val="16"/>
                <w:szCs w:val="16"/>
              </w:rPr>
            </w:pPr>
            <w:r w:rsidRPr="00662906">
              <w:rPr>
                <w:rFonts w:eastAsia="Arial" w:cs="Arial"/>
                <w:color w:val="53575A"/>
                <w:sz w:val="16"/>
                <w:szCs w:val="16"/>
              </w:rPr>
              <w:t>Improved knowledge base on innovative RE options suited to African contexts, guiding policy decisions and investment in diverse clean energy solutions</w:t>
            </w:r>
          </w:p>
        </w:tc>
        <w:tc>
          <w:tcPr>
            <w:tcW w:w="1843" w:type="dxa"/>
            <w:gridSpan w:val="2"/>
            <w:shd w:val="clear" w:color="auto" w:fill="FFFFFF"/>
          </w:tcPr>
          <w:p w14:paraId="3992E820" w14:textId="24305D1B" w:rsidR="00D04A45" w:rsidRPr="00662906" w:rsidDel="00DC6C14" w:rsidRDefault="00D04A45"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Uptake of Innovative and emerging RE technologies by AU MS</w:t>
            </w:r>
          </w:p>
        </w:tc>
      </w:tr>
    </w:tbl>
    <w:p w14:paraId="788AE751" w14:textId="77777777" w:rsidR="004833A3" w:rsidRPr="00662906" w:rsidRDefault="004833A3" w:rsidP="004833A3">
      <w:pPr>
        <w:rPr>
          <w:rFonts w:eastAsia="Arial" w:cs="Arial"/>
          <w:i/>
          <w:iCs/>
          <w:color w:val="B4A169"/>
          <w:sz w:val="16"/>
          <w:szCs w:val="16"/>
        </w:rPr>
      </w:pPr>
      <w:bookmarkStart w:id="598" w:name="_Hlk171951039"/>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47A7E2FA" w14:textId="77777777" w:rsidR="00EA52FB" w:rsidRPr="00662906" w:rsidRDefault="00EA52FB" w:rsidP="004833A3">
      <w:pPr>
        <w:rPr>
          <w:rFonts w:eastAsia="Arial" w:cs="Arial"/>
          <w:i/>
          <w:iCs/>
          <w:color w:val="B4A169"/>
          <w:sz w:val="16"/>
          <w:szCs w:val="16"/>
        </w:rPr>
      </w:pPr>
    </w:p>
    <w:p w14:paraId="170F53EE" w14:textId="77777777" w:rsidR="00EA52FB" w:rsidRPr="00662906" w:rsidRDefault="00EA52FB" w:rsidP="004833A3">
      <w:pPr>
        <w:rPr>
          <w:rFonts w:eastAsia="Arial" w:cs="Arial"/>
          <w:i/>
          <w:iCs/>
          <w:color w:val="B4A169"/>
          <w:sz w:val="16"/>
          <w:szCs w:val="16"/>
        </w:rPr>
      </w:pPr>
    </w:p>
    <w:p w14:paraId="70E2CDEE" w14:textId="77777777" w:rsidR="00EA52FB" w:rsidRPr="00662906" w:rsidRDefault="00EA52FB" w:rsidP="004833A3">
      <w:pPr>
        <w:rPr>
          <w:rFonts w:eastAsia="Arial" w:cs="Arial"/>
          <w:i/>
          <w:iCs/>
          <w:color w:val="B4A169"/>
          <w:sz w:val="16"/>
          <w:szCs w:val="16"/>
        </w:rPr>
      </w:pPr>
    </w:p>
    <w:p w14:paraId="1B78F1C5" w14:textId="77777777" w:rsidR="00EA52FB" w:rsidRPr="00662906" w:rsidRDefault="00EA52FB" w:rsidP="004833A3">
      <w:pPr>
        <w:rPr>
          <w:rFonts w:eastAsia="Arial" w:cs="Arial"/>
          <w:i/>
          <w:iCs/>
          <w:color w:val="B4A169"/>
          <w:sz w:val="16"/>
          <w:szCs w:val="16"/>
        </w:rPr>
      </w:pPr>
    </w:p>
    <w:p w14:paraId="40967468" w14:textId="77777777" w:rsidR="00EA52FB" w:rsidRPr="00662906" w:rsidRDefault="00EA52FB" w:rsidP="004833A3">
      <w:pPr>
        <w:rPr>
          <w:rFonts w:eastAsia="Arial" w:cs="Arial"/>
          <w:i/>
          <w:iCs/>
          <w:color w:val="B4A169"/>
          <w:sz w:val="16"/>
          <w:szCs w:val="16"/>
        </w:rPr>
      </w:pPr>
    </w:p>
    <w:p w14:paraId="255C2B38" w14:textId="77777777" w:rsidR="00EA52FB" w:rsidRPr="00662906" w:rsidRDefault="00EA52FB" w:rsidP="004833A3">
      <w:pPr>
        <w:rPr>
          <w:rFonts w:eastAsia="Arial" w:cs="Arial"/>
          <w:i/>
          <w:iCs/>
          <w:color w:val="B4A169"/>
          <w:sz w:val="16"/>
          <w:szCs w:val="16"/>
        </w:rPr>
      </w:pPr>
    </w:p>
    <w:p w14:paraId="6D99EDE4" w14:textId="77777777" w:rsidR="00EA52FB" w:rsidRPr="00662906" w:rsidRDefault="00EA52FB" w:rsidP="004833A3">
      <w:pPr>
        <w:rPr>
          <w:rFonts w:eastAsia="Arial" w:cs="Arial"/>
          <w:i/>
          <w:iCs/>
          <w:color w:val="B4A169"/>
          <w:sz w:val="16"/>
          <w:szCs w:val="16"/>
        </w:rPr>
      </w:pPr>
    </w:p>
    <w:p w14:paraId="499BBBD1" w14:textId="77777777" w:rsidR="00EA52FB" w:rsidRPr="00662906" w:rsidRDefault="00EA52FB" w:rsidP="004833A3">
      <w:pPr>
        <w:rPr>
          <w:rFonts w:eastAsia="Arial" w:cs="Arial"/>
          <w:i/>
          <w:iCs/>
          <w:color w:val="B4A169"/>
          <w:sz w:val="16"/>
          <w:szCs w:val="16"/>
        </w:rPr>
      </w:pPr>
    </w:p>
    <w:p w14:paraId="0FFFE2EE" w14:textId="1B59FF14" w:rsidR="00C80969" w:rsidRPr="00662906" w:rsidRDefault="0093602C" w:rsidP="00C80969">
      <w:pPr>
        <w:rPr>
          <w:sz w:val="22"/>
          <w:szCs w:val="22"/>
        </w:rPr>
      </w:pPr>
      <w:bookmarkStart w:id="599" w:name="_Toc197433906"/>
      <w:r w:rsidRPr="00662906">
        <w:rPr>
          <w:rFonts w:eastAsia="Arial" w:cs="Arial"/>
          <w:i/>
          <w:iCs/>
          <w:color w:val="B4A169"/>
          <w:sz w:val="18"/>
          <w:szCs w:val="18"/>
        </w:rPr>
        <w:lastRenderedPageBreak/>
        <w:t xml:space="preserve">Table </w:t>
      </w:r>
      <w:r w:rsidRPr="00662906">
        <w:rPr>
          <w:rFonts w:eastAsia="Arial" w:cs="Arial"/>
          <w:i/>
          <w:iCs/>
          <w:color w:val="B4A169"/>
          <w:sz w:val="18"/>
          <w:szCs w:val="18"/>
        </w:rPr>
        <w:fldChar w:fldCharType="begin"/>
      </w:r>
      <w:r w:rsidRPr="00662906">
        <w:rPr>
          <w:rFonts w:eastAsia="Arial" w:cs="Arial"/>
          <w:i/>
          <w:iCs/>
          <w:color w:val="B4A169"/>
          <w:sz w:val="18"/>
          <w:szCs w:val="18"/>
        </w:rPr>
        <w:instrText xml:space="preserve"> SEQ Table \* ARABIC </w:instrText>
      </w:r>
      <w:r w:rsidRPr="00662906">
        <w:rPr>
          <w:rFonts w:eastAsia="Arial" w:cs="Arial"/>
          <w:i/>
          <w:iCs/>
          <w:color w:val="B4A169"/>
          <w:sz w:val="18"/>
          <w:szCs w:val="18"/>
        </w:rPr>
        <w:fldChar w:fldCharType="separate"/>
      </w:r>
      <w:r w:rsidR="00610F61">
        <w:rPr>
          <w:rFonts w:eastAsia="Arial" w:cs="Arial"/>
          <w:i/>
          <w:iCs/>
          <w:noProof/>
          <w:color w:val="B4A169"/>
          <w:sz w:val="18"/>
          <w:szCs w:val="18"/>
        </w:rPr>
        <w:t>18</w:t>
      </w:r>
      <w:r w:rsidRPr="00662906">
        <w:rPr>
          <w:rFonts w:eastAsia="Arial" w:cs="Arial"/>
          <w:i/>
          <w:iCs/>
          <w:color w:val="B4A169"/>
          <w:sz w:val="18"/>
          <w:szCs w:val="18"/>
        </w:rPr>
        <w:fldChar w:fldCharType="end"/>
      </w:r>
      <w:r w:rsidRPr="00662906">
        <w:rPr>
          <w:rFonts w:eastAsia="Arial" w:cs="Arial"/>
          <w:i/>
          <w:iCs/>
          <w:color w:val="B4A169"/>
          <w:sz w:val="18"/>
          <w:szCs w:val="18"/>
        </w:rPr>
        <w:t>: Action Plan for Strategic Intervention 2: Foster and Accelerate development of resilient Transmission and Distribution networks to support deployment and trade of clean and RE power</w:t>
      </w:r>
      <w:bookmarkStart w:id="600" w:name="_Toc176190954"/>
      <w:bookmarkStart w:id="601" w:name="_Toc176191120"/>
      <w:bookmarkStart w:id="602" w:name="_Toc176341840"/>
      <w:bookmarkStart w:id="603" w:name="_Toc176430234"/>
      <w:bookmarkStart w:id="604" w:name="_Toc176430291"/>
      <w:bookmarkStart w:id="605" w:name="_Toc176441424"/>
      <w:bookmarkStart w:id="606" w:name="_Toc176442079"/>
      <w:bookmarkStart w:id="607" w:name="_Toc178937492"/>
      <w:bookmarkEnd w:id="598"/>
      <w:bookmarkEnd w:id="599"/>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93602C" w:rsidRPr="00662906" w14:paraId="7DFA942F" w14:textId="77777777" w:rsidTr="00E8722A">
        <w:trPr>
          <w:trHeight w:val="360"/>
        </w:trPr>
        <w:tc>
          <w:tcPr>
            <w:tcW w:w="14456" w:type="dxa"/>
            <w:gridSpan w:val="10"/>
            <w:shd w:val="clear" w:color="auto" w:fill="B4A269"/>
          </w:tcPr>
          <w:p w14:paraId="7B0EB31F" w14:textId="09552374" w:rsidR="0093602C" w:rsidRPr="00662906" w:rsidRDefault="00F1561C" w:rsidP="00E8722A">
            <w:pPr>
              <w:spacing w:before="60" w:after="60"/>
              <w:ind w:left="-57" w:right="-57"/>
              <w:rPr>
                <w:rFonts w:eastAsia="Arial" w:cs="Arial"/>
                <w:b/>
                <w:color w:val="7030A0"/>
                <w:sz w:val="16"/>
                <w:szCs w:val="16"/>
              </w:rPr>
            </w:pPr>
            <w:r w:rsidRPr="00662906">
              <w:rPr>
                <w:rFonts w:eastAsia="Arial" w:cs="Arial"/>
                <w:b/>
                <w:bCs/>
                <w:color w:val="FFFFFF" w:themeColor="background2"/>
                <w:sz w:val="16"/>
                <w:szCs w:val="16"/>
              </w:rPr>
              <w:t xml:space="preserve"> Pathway to Change:</w:t>
            </w:r>
            <w:r w:rsidRPr="00662906">
              <w:rPr>
                <w:rFonts w:eastAsia="Arial" w:cs="Arial"/>
                <w:color w:val="FFFFFF" w:themeColor="background2"/>
                <w:sz w:val="16"/>
                <w:szCs w:val="16"/>
              </w:rPr>
              <w:t xml:space="preserve"> The transmission network is not adequate to interconnect all African Power pool grids and limits trade of electricity across the continent. The Inter-regional, cross border, transmission and in country transmission lines are still needed although emphasis has been on those networks in the past. Distribution networks also need upgrading with respect to coverage and modernization as smart grids. Some of the networks are old and need replacement. The CMP with the objectives of the AfSEM has been developed but it will be important to track implementation, so that required adjustments to investments and policy frameworks can be made for effective accomplishments of the targets. R&amp;D focussing on efficient network systems is needed to achieve resilient transmission and distribution systems.</w:t>
            </w:r>
          </w:p>
        </w:tc>
      </w:tr>
      <w:tr w:rsidR="004D3C1D" w:rsidRPr="00662906" w14:paraId="14595936" w14:textId="77777777" w:rsidTr="00E8722A">
        <w:trPr>
          <w:trHeight w:val="699"/>
        </w:trPr>
        <w:tc>
          <w:tcPr>
            <w:tcW w:w="1415" w:type="dxa"/>
            <w:gridSpan w:val="2"/>
            <w:shd w:val="clear" w:color="auto" w:fill="B4A269"/>
            <w:tcMar>
              <w:left w:w="57" w:type="dxa"/>
              <w:right w:w="57" w:type="dxa"/>
            </w:tcMar>
            <w:vAlign w:val="center"/>
          </w:tcPr>
          <w:p w14:paraId="1113CCE2"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3FA7ACAE" w14:textId="77777777" w:rsidR="0093602C" w:rsidRPr="00662906" w:rsidRDefault="0093602C"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1E9859FE"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55C12363"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6D777D0E"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1C05781A"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18DD3438"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792919B6"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38CC655C" w14:textId="77777777" w:rsidR="0093602C" w:rsidRPr="00662906" w:rsidRDefault="0093602C"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F3630F" w:rsidRPr="00662906" w14:paraId="76009244" w14:textId="77777777" w:rsidTr="00BC0340">
        <w:trPr>
          <w:trHeight w:val="1413"/>
        </w:trPr>
        <w:tc>
          <w:tcPr>
            <w:tcW w:w="167" w:type="dxa"/>
            <w:shd w:val="clear" w:color="auto" w:fill="FFFFFF"/>
            <w:tcMar>
              <w:left w:w="57" w:type="dxa"/>
              <w:right w:w="57" w:type="dxa"/>
            </w:tcMar>
          </w:tcPr>
          <w:p w14:paraId="42C0177A" w14:textId="77777777" w:rsidR="00F3630F" w:rsidRPr="00662906" w:rsidRDefault="00F3630F" w:rsidP="00F3630F">
            <w:pPr>
              <w:spacing w:before="40" w:after="40"/>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5E517943" w14:textId="509B59E8"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Set a M&amp;E system for tracking network expansion and loss reduction at AFREC</w:t>
            </w:r>
          </w:p>
        </w:tc>
        <w:tc>
          <w:tcPr>
            <w:tcW w:w="3260" w:type="dxa"/>
            <w:tcBorders>
              <w:bottom w:val="single" w:sz="2" w:space="0" w:color="9F2241"/>
            </w:tcBorders>
            <w:shd w:val="clear" w:color="auto" w:fill="FFFFFF"/>
            <w:tcMar>
              <w:left w:w="57" w:type="dxa"/>
              <w:right w:w="57" w:type="dxa"/>
            </w:tcMar>
          </w:tcPr>
          <w:p w14:paraId="48B923A2" w14:textId="4A1D0D51" w:rsidR="00F3630F" w:rsidRPr="00662906" w:rsidRDefault="00F3630F" w:rsidP="005C5546">
            <w:pPr>
              <w:pStyle w:val="ListParagraph"/>
              <w:numPr>
                <w:ilvl w:val="0"/>
                <w:numId w:val="64"/>
              </w:numPr>
              <w:spacing w:before="0" w:after="0"/>
              <w:ind w:left="367"/>
              <w:jc w:val="left"/>
              <w:rPr>
                <w:rFonts w:cs="Arial"/>
                <w:sz w:val="16"/>
                <w:szCs w:val="16"/>
              </w:rPr>
            </w:pPr>
            <w:r w:rsidRPr="00662906">
              <w:rPr>
                <w:rFonts w:cs="Arial"/>
                <w:sz w:val="16"/>
                <w:szCs w:val="16"/>
              </w:rPr>
              <w:t>Develop a standardized data collection methodology for network expansion and T&amp;D losses.</w:t>
            </w:r>
          </w:p>
          <w:p w14:paraId="0198E1A9" w14:textId="781529E6" w:rsidR="00F3630F" w:rsidRPr="00662906" w:rsidRDefault="00F3630F" w:rsidP="005C5546">
            <w:pPr>
              <w:pStyle w:val="ListParagraph"/>
              <w:numPr>
                <w:ilvl w:val="0"/>
                <w:numId w:val="64"/>
              </w:numPr>
              <w:spacing w:before="0" w:after="0"/>
              <w:ind w:left="367"/>
              <w:jc w:val="left"/>
              <w:rPr>
                <w:rFonts w:cs="Arial"/>
                <w:sz w:val="16"/>
                <w:szCs w:val="16"/>
              </w:rPr>
            </w:pPr>
            <w:r w:rsidRPr="00662906">
              <w:rPr>
                <w:rFonts w:cs="Arial"/>
                <w:sz w:val="16"/>
                <w:szCs w:val="16"/>
              </w:rPr>
              <w:t xml:space="preserve">Conduct regular surveys on CMP network project </w:t>
            </w:r>
            <w:r w:rsidR="00F1561C" w:rsidRPr="00662906">
              <w:rPr>
                <w:rFonts w:cs="Arial"/>
                <w:sz w:val="16"/>
                <w:szCs w:val="16"/>
              </w:rPr>
              <w:t xml:space="preserve">and Other Projects </w:t>
            </w:r>
            <w:r w:rsidRPr="00662906">
              <w:rPr>
                <w:rFonts w:cs="Arial"/>
                <w:sz w:val="16"/>
                <w:szCs w:val="16"/>
              </w:rPr>
              <w:t>implementation.</w:t>
            </w:r>
          </w:p>
          <w:p w14:paraId="6115C1C5" w14:textId="1DEA4609" w:rsidR="00F3630F" w:rsidRPr="00662906" w:rsidRDefault="00F3630F" w:rsidP="005C5546">
            <w:pPr>
              <w:pStyle w:val="ListParagraph"/>
              <w:numPr>
                <w:ilvl w:val="0"/>
                <w:numId w:val="64"/>
              </w:numPr>
              <w:spacing w:before="0" w:after="0"/>
              <w:ind w:left="367"/>
              <w:jc w:val="left"/>
              <w:rPr>
                <w:rFonts w:cs="Arial"/>
                <w:sz w:val="16"/>
                <w:szCs w:val="16"/>
              </w:rPr>
            </w:pPr>
            <w:r w:rsidRPr="00662906">
              <w:rPr>
                <w:rFonts w:cs="Arial"/>
                <w:sz w:val="16"/>
                <w:szCs w:val="16"/>
              </w:rPr>
              <w:t>Integrate collected data into AFREC’s Energy Information System.</w:t>
            </w:r>
          </w:p>
          <w:p w14:paraId="3B15C2B8" w14:textId="66F055E9" w:rsidR="00F3630F" w:rsidRPr="00662906" w:rsidRDefault="00F3630F" w:rsidP="005C5546">
            <w:pPr>
              <w:pStyle w:val="ListParagraph"/>
              <w:numPr>
                <w:ilvl w:val="0"/>
                <w:numId w:val="64"/>
              </w:numPr>
              <w:spacing w:before="0" w:after="0"/>
              <w:ind w:left="367"/>
              <w:jc w:val="left"/>
              <w:rPr>
                <w:rFonts w:cs="Arial"/>
                <w:sz w:val="16"/>
                <w:szCs w:val="16"/>
              </w:rPr>
            </w:pPr>
            <w:r w:rsidRPr="00662906">
              <w:rPr>
                <w:rFonts w:cs="Arial"/>
                <w:sz w:val="16"/>
                <w:szCs w:val="16"/>
              </w:rPr>
              <w:t>Analy</w:t>
            </w:r>
            <w:r w:rsidR="007505D7" w:rsidRPr="00662906">
              <w:rPr>
                <w:rFonts w:cs="Arial"/>
                <w:sz w:val="16"/>
                <w:szCs w:val="16"/>
              </w:rPr>
              <w:t>s</w:t>
            </w:r>
            <w:r w:rsidRPr="00662906">
              <w:rPr>
                <w:rFonts w:cs="Arial"/>
                <w:sz w:val="16"/>
                <w:szCs w:val="16"/>
              </w:rPr>
              <w:t>e trends and produce periodic reports for policy adjustments.</w:t>
            </w:r>
          </w:p>
        </w:tc>
        <w:tc>
          <w:tcPr>
            <w:tcW w:w="1276" w:type="dxa"/>
            <w:shd w:val="clear" w:color="auto" w:fill="FFFFFF"/>
            <w:tcMar>
              <w:left w:w="57" w:type="dxa"/>
              <w:right w:w="57" w:type="dxa"/>
            </w:tcMar>
          </w:tcPr>
          <w:p w14:paraId="4CDBD96C" w14:textId="2A1DD3F0" w:rsidR="00F3630F" w:rsidRPr="00662906" w:rsidRDefault="00F3630F" w:rsidP="00F3630F">
            <w:pPr>
              <w:spacing w:before="40" w:after="40"/>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2930D023" w14:textId="5558648B" w:rsidR="00F3630F" w:rsidRPr="00662906" w:rsidRDefault="00F3630F" w:rsidP="00F3630F">
            <w:pPr>
              <w:spacing w:before="40" w:after="40"/>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50ADA8A1" w14:textId="3B1617D7" w:rsidR="00F3630F" w:rsidRPr="00662906" w:rsidRDefault="00F3630F" w:rsidP="00F3630F">
            <w:pPr>
              <w:spacing w:before="40" w:after="40"/>
              <w:rPr>
                <w:rFonts w:eastAsia="Arial" w:cs="Arial"/>
                <w:color w:val="53575A"/>
                <w:sz w:val="16"/>
                <w:szCs w:val="16"/>
              </w:rPr>
            </w:pPr>
            <w:r w:rsidRPr="00662906">
              <w:rPr>
                <w:rFonts w:cs="Arial"/>
                <w:sz w:val="16"/>
                <w:szCs w:val="16"/>
              </w:rPr>
              <w:t>AUDA-NEPAD, African Union Commission (Dept. of Infrastructure &amp; Energy), Power Pools, Regional Regulators, MS Power Utilities</w:t>
            </w:r>
          </w:p>
        </w:tc>
        <w:tc>
          <w:tcPr>
            <w:tcW w:w="851" w:type="dxa"/>
            <w:shd w:val="clear" w:color="auto" w:fill="FFFFFF"/>
            <w:tcMar>
              <w:left w:w="57" w:type="dxa"/>
              <w:right w:w="57" w:type="dxa"/>
            </w:tcMar>
          </w:tcPr>
          <w:p w14:paraId="312B0121" w14:textId="599D69CC" w:rsidR="00F3630F" w:rsidRPr="00662906" w:rsidRDefault="00F3630F" w:rsidP="00F3630F">
            <w:pPr>
              <w:spacing w:before="40" w:after="40"/>
              <w:rPr>
                <w:rFonts w:eastAsia="Arial" w:cs="Arial"/>
                <w:color w:val="53575A"/>
                <w:sz w:val="16"/>
                <w:szCs w:val="16"/>
              </w:rPr>
            </w:pPr>
            <w:r w:rsidRPr="00662906">
              <w:rPr>
                <w:rFonts w:cs="Arial"/>
                <w:sz w:val="16"/>
                <w:szCs w:val="16"/>
              </w:rPr>
              <w:t>Short to Long Term</w:t>
            </w:r>
          </w:p>
        </w:tc>
        <w:tc>
          <w:tcPr>
            <w:tcW w:w="1842" w:type="dxa"/>
            <w:shd w:val="clear" w:color="auto" w:fill="FFFFFF"/>
          </w:tcPr>
          <w:p w14:paraId="75E16093" w14:textId="7AC3C6CD"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Standardized data collection </w:t>
            </w:r>
            <w:r w:rsidR="00CB38CC" w:rsidRPr="00662906">
              <w:rPr>
                <w:rFonts w:eastAsia="Arial" w:cs="Arial"/>
                <w:color w:val="53575A"/>
                <w:sz w:val="16"/>
                <w:szCs w:val="16"/>
              </w:rPr>
              <w:t>framework</w:t>
            </w:r>
            <w:r w:rsidRPr="00662906">
              <w:rPr>
                <w:rFonts w:eastAsia="Arial" w:cs="Arial"/>
                <w:color w:val="53575A"/>
                <w:sz w:val="16"/>
                <w:szCs w:val="16"/>
              </w:rPr>
              <w:t xml:space="preserve"> </w:t>
            </w:r>
          </w:p>
          <w:p w14:paraId="6242CB35" w14:textId="7C07BC5E"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Updated T&amp;D database under AFREC’s system </w:t>
            </w:r>
          </w:p>
          <w:p w14:paraId="0C4CE400" w14:textId="2E4DE4EF"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Periodic progress reports for policymakers</w:t>
            </w:r>
          </w:p>
        </w:tc>
        <w:tc>
          <w:tcPr>
            <w:tcW w:w="1701" w:type="dxa"/>
            <w:shd w:val="clear" w:color="auto" w:fill="FFFFFF"/>
          </w:tcPr>
          <w:p w14:paraId="7CD38B5E" w14:textId="220822C2" w:rsidR="00F3630F" w:rsidRPr="00662906" w:rsidRDefault="00F3630F" w:rsidP="00F3630F">
            <w:pPr>
              <w:spacing w:before="40" w:after="40"/>
              <w:rPr>
                <w:rFonts w:eastAsia="Arial" w:cs="Arial"/>
                <w:color w:val="53575A"/>
                <w:sz w:val="16"/>
                <w:szCs w:val="16"/>
              </w:rPr>
            </w:pPr>
            <w:r w:rsidRPr="00662906">
              <w:rPr>
                <w:sz w:val="16"/>
                <w:szCs w:val="16"/>
              </w:rPr>
              <w:t>Improved insight into network expansion and losses, supporting timely policy interventions and informing ETSAP updates</w:t>
            </w:r>
            <w:r w:rsidR="00614A2F" w:rsidRPr="00662906">
              <w:rPr>
                <w:sz w:val="16"/>
                <w:szCs w:val="16"/>
              </w:rPr>
              <w:t>.</w:t>
            </w:r>
          </w:p>
        </w:tc>
        <w:tc>
          <w:tcPr>
            <w:tcW w:w="1843" w:type="dxa"/>
            <w:shd w:val="clear" w:color="auto" w:fill="FFFFFF"/>
          </w:tcPr>
          <w:p w14:paraId="153A3B45" w14:textId="274A35DC" w:rsidR="00F3630F" w:rsidRPr="00662906" w:rsidRDefault="00F3630F"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M&amp;E system </w:t>
            </w:r>
            <w:r w:rsidR="00CB38CC" w:rsidRPr="00662906">
              <w:rPr>
                <w:sz w:val="16"/>
                <w:szCs w:val="16"/>
              </w:rPr>
              <w:t xml:space="preserve">for national, regional and continental network expansion </w:t>
            </w:r>
            <w:r w:rsidRPr="00662906">
              <w:rPr>
                <w:sz w:val="16"/>
                <w:szCs w:val="16"/>
              </w:rPr>
              <w:t xml:space="preserve">established (Yes/No) </w:t>
            </w:r>
          </w:p>
        </w:tc>
      </w:tr>
      <w:tr w:rsidR="00F3630F" w:rsidRPr="00662906" w14:paraId="0FFA8495" w14:textId="77777777" w:rsidTr="00E8722A">
        <w:trPr>
          <w:trHeight w:val="300"/>
        </w:trPr>
        <w:tc>
          <w:tcPr>
            <w:tcW w:w="167" w:type="dxa"/>
            <w:shd w:val="clear" w:color="auto" w:fill="FFFFFF"/>
            <w:tcMar>
              <w:left w:w="57" w:type="dxa"/>
              <w:right w:w="57" w:type="dxa"/>
            </w:tcMar>
          </w:tcPr>
          <w:p w14:paraId="0EF8307E" w14:textId="77777777" w:rsidR="00F3630F" w:rsidRPr="00662906" w:rsidRDefault="00F3630F" w:rsidP="00F3630F">
            <w:pPr>
              <w:spacing w:before="40" w:after="40"/>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626919ED" w14:textId="223DE040"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Support AU MS to</w:t>
            </w:r>
            <w:r w:rsidR="00815469" w:rsidRPr="00662906">
              <w:rPr>
                <w:rFonts w:eastAsia="Arial" w:cs="Arial"/>
                <w:color w:val="53575A"/>
                <w:sz w:val="16"/>
                <w:szCs w:val="16"/>
              </w:rPr>
              <w:t xml:space="preserve"> calculate, monitor </w:t>
            </w:r>
            <w:r w:rsidRPr="00662906">
              <w:rPr>
                <w:rFonts w:eastAsia="Arial" w:cs="Arial"/>
                <w:color w:val="53575A"/>
                <w:sz w:val="16"/>
                <w:szCs w:val="16"/>
              </w:rPr>
              <w:t>regulate and Report T&amp;D losses</w:t>
            </w:r>
          </w:p>
        </w:tc>
        <w:tc>
          <w:tcPr>
            <w:tcW w:w="3260" w:type="dxa"/>
            <w:tcBorders>
              <w:bottom w:val="single" w:sz="4" w:space="0" w:color="9F2241"/>
            </w:tcBorders>
            <w:shd w:val="clear" w:color="auto" w:fill="FFFFFF"/>
            <w:tcMar>
              <w:left w:w="57" w:type="dxa"/>
              <w:right w:w="57" w:type="dxa"/>
            </w:tcMar>
          </w:tcPr>
          <w:p w14:paraId="0FE46395" w14:textId="5EE1E38F" w:rsidR="00F3630F" w:rsidRPr="00662906" w:rsidRDefault="00F3630F" w:rsidP="005C5546">
            <w:pPr>
              <w:pStyle w:val="ListParagraph"/>
              <w:numPr>
                <w:ilvl w:val="0"/>
                <w:numId w:val="65"/>
              </w:numPr>
              <w:spacing w:before="40" w:after="40"/>
              <w:ind w:left="367"/>
              <w:jc w:val="left"/>
              <w:rPr>
                <w:rFonts w:eastAsia="Arial" w:cs="Arial"/>
                <w:color w:val="394A58"/>
                <w:sz w:val="16"/>
                <w:szCs w:val="16"/>
              </w:rPr>
            </w:pPr>
            <w:r w:rsidRPr="00662906">
              <w:rPr>
                <w:rFonts w:eastAsia="Arial" w:cs="Arial"/>
                <w:color w:val="394A58"/>
                <w:sz w:val="16"/>
                <w:szCs w:val="16"/>
              </w:rPr>
              <w:t>Conduct training on T&amp;D loss assessment and reporting.</w:t>
            </w:r>
          </w:p>
          <w:p w14:paraId="47CD01FA" w14:textId="3722DC20" w:rsidR="00F3630F" w:rsidRPr="00662906" w:rsidRDefault="00F3630F" w:rsidP="005C5546">
            <w:pPr>
              <w:pStyle w:val="ListParagraph"/>
              <w:numPr>
                <w:ilvl w:val="0"/>
                <w:numId w:val="65"/>
              </w:numPr>
              <w:spacing w:before="40" w:after="40"/>
              <w:ind w:left="367"/>
              <w:jc w:val="left"/>
              <w:rPr>
                <w:rFonts w:eastAsia="Arial" w:cs="Arial"/>
                <w:color w:val="394A58"/>
                <w:sz w:val="16"/>
                <w:szCs w:val="16"/>
              </w:rPr>
            </w:pPr>
            <w:r w:rsidRPr="00662906">
              <w:rPr>
                <w:rFonts w:eastAsia="Arial" w:cs="Arial"/>
                <w:color w:val="394A58"/>
                <w:sz w:val="16"/>
                <w:szCs w:val="16"/>
              </w:rPr>
              <w:t>Develop a standardized T&amp;D loss reporting mechanism.</w:t>
            </w:r>
          </w:p>
          <w:p w14:paraId="1ED1AC2A" w14:textId="137F2ECB" w:rsidR="00F3630F" w:rsidRPr="00662906" w:rsidRDefault="00F3630F" w:rsidP="005C5546">
            <w:pPr>
              <w:pStyle w:val="ListParagraph"/>
              <w:numPr>
                <w:ilvl w:val="0"/>
                <w:numId w:val="65"/>
              </w:numPr>
              <w:spacing w:before="40" w:after="40"/>
              <w:ind w:left="367"/>
              <w:jc w:val="left"/>
              <w:rPr>
                <w:rFonts w:eastAsia="Arial" w:cs="Arial"/>
                <w:color w:val="394A58"/>
                <w:sz w:val="16"/>
                <w:szCs w:val="16"/>
              </w:rPr>
            </w:pPr>
            <w:r w:rsidRPr="00662906">
              <w:rPr>
                <w:rFonts w:eastAsia="Arial" w:cs="Arial"/>
                <w:color w:val="394A58"/>
                <w:sz w:val="16"/>
                <w:szCs w:val="16"/>
              </w:rPr>
              <w:t>Facilitate data-sharing protocols via national energy focal points</w:t>
            </w:r>
            <w:r w:rsidR="00815469" w:rsidRPr="00662906">
              <w:rPr>
                <w:rFonts w:eastAsia="Arial" w:cs="Arial"/>
                <w:color w:val="394A58"/>
                <w:sz w:val="16"/>
                <w:szCs w:val="16"/>
              </w:rPr>
              <w:t xml:space="preserve"> with AFREC</w:t>
            </w:r>
            <w:r w:rsidRPr="00662906">
              <w:rPr>
                <w:rFonts w:eastAsia="Arial" w:cs="Arial"/>
                <w:color w:val="394A58"/>
                <w:sz w:val="16"/>
                <w:szCs w:val="16"/>
              </w:rPr>
              <w:t xml:space="preserve">. </w:t>
            </w:r>
          </w:p>
          <w:p w14:paraId="269969AA" w14:textId="1F7C1E51" w:rsidR="00F3630F" w:rsidRPr="00662906" w:rsidRDefault="00F3630F" w:rsidP="005C5546">
            <w:pPr>
              <w:pStyle w:val="ListParagraph"/>
              <w:numPr>
                <w:ilvl w:val="0"/>
                <w:numId w:val="65"/>
              </w:numPr>
              <w:spacing w:before="40" w:after="40"/>
              <w:ind w:left="367"/>
              <w:jc w:val="left"/>
              <w:rPr>
                <w:rFonts w:eastAsia="Arial" w:cs="Arial"/>
                <w:color w:val="394A58"/>
                <w:sz w:val="16"/>
                <w:szCs w:val="16"/>
              </w:rPr>
            </w:pPr>
            <w:r w:rsidRPr="00662906">
              <w:rPr>
                <w:rFonts w:eastAsia="Arial" w:cs="Arial"/>
                <w:color w:val="394A58"/>
                <w:sz w:val="16"/>
                <w:szCs w:val="16"/>
              </w:rPr>
              <w:t>Provide ongoing technical support for data collection</w:t>
            </w:r>
            <w:r w:rsidR="00815469" w:rsidRPr="00662906">
              <w:rPr>
                <w:rFonts w:eastAsia="Arial" w:cs="Arial"/>
                <w:color w:val="394A58"/>
                <w:sz w:val="16"/>
                <w:szCs w:val="16"/>
              </w:rPr>
              <w:t>, loss</w:t>
            </w:r>
            <w:r w:rsidRPr="00662906">
              <w:rPr>
                <w:rFonts w:eastAsia="Arial" w:cs="Arial"/>
                <w:color w:val="394A58"/>
                <w:sz w:val="16"/>
                <w:szCs w:val="16"/>
              </w:rPr>
              <w:t xml:space="preserve"> validation</w:t>
            </w:r>
            <w:r w:rsidR="00815469" w:rsidRPr="00662906">
              <w:rPr>
                <w:rFonts w:eastAsia="Arial" w:cs="Arial"/>
                <w:color w:val="394A58"/>
                <w:sz w:val="16"/>
                <w:szCs w:val="16"/>
              </w:rPr>
              <w:t xml:space="preserve"> and reporting</w:t>
            </w:r>
          </w:p>
        </w:tc>
        <w:tc>
          <w:tcPr>
            <w:tcW w:w="1276" w:type="dxa"/>
            <w:shd w:val="clear" w:color="auto" w:fill="FFFFFF"/>
            <w:tcMar>
              <w:left w:w="57" w:type="dxa"/>
              <w:right w:w="57" w:type="dxa"/>
            </w:tcMar>
          </w:tcPr>
          <w:p w14:paraId="0C440655" w14:textId="06F09705" w:rsidR="00F3630F" w:rsidRPr="00662906" w:rsidRDefault="00F3630F" w:rsidP="00F3630F">
            <w:pPr>
              <w:spacing w:before="40" w:after="40"/>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28B3A1CE" w14:textId="56DE6179" w:rsidR="00F3630F" w:rsidRPr="00662906" w:rsidRDefault="00F3630F" w:rsidP="00F3630F">
            <w:pPr>
              <w:spacing w:before="40" w:after="40"/>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091F5264" w14:textId="77777777" w:rsidR="00F3630F" w:rsidRPr="00662906" w:rsidRDefault="00F3630F" w:rsidP="00F3630F">
            <w:pPr>
              <w:spacing w:before="40" w:after="40"/>
              <w:rPr>
                <w:rFonts w:cs="Arial"/>
                <w:sz w:val="16"/>
                <w:szCs w:val="16"/>
              </w:rPr>
            </w:pPr>
            <w:r w:rsidRPr="00662906">
              <w:rPr>
                <w:rFonts w:cs="Arial"/>
                <w:sz w:val="16"/>
                <w:szCs w:val="16"/>
              </w:rPr>
              <w:t>AUDA-NEPAD, Power Pools, Regional Regulators, Power Utilities</w:t>
            </w:r>
          </w:p>
          <w:p w14:paraId="2451184C" w14:textId="0B5F3022" w:rsidR="00815469" w:rsidRPr="00662906" w:rsidRDefault="00815469" w:rsidP="00F3630F">
            <w:pPr>
              <w:spacing w:before="40" w:after="40"/>
              <w:rPr>
                <w:rFonts w:eastAsia="Arial" w:cs="Arial"/>
                <w:color w:val="53575A"/>
                <w:sz w:val="16"/>
                <w:szCs w:val="16"/>
              </w:rPr>
            </w:pPr>
            <w:r w:rsidRPr="00662906">
              <w:rPr>
                <w:rFonts w:cs="Arial"/>
                <w:sz w:val="16"/>
                <w:szCs w:val="16"/>
              </w:rPr>
              <w:t>Ministries in charge of Energy</w:t>
            </w:r>
          </w:p>
        </w:tc>
        <w:tc>
          <w:tcPr>
            <w:tcW w:w="851" w:type="dxa"/>
            <w:shd w:val="clear" w:color="auto" w:fill="FFFFFF"/>
            <w:tcMar>
              <w:left w:w="57" w:type="dxa"/>
              <w:right w:w="57" w:type="dxa"/>
            </w:tcMar>
          </w:tcPr>
          <w:p w14:paraId="561DD4B4" w14:textId="518C48C5" w:rsidR="00F3630F" w:rsidRPr="00662906" w:rsidRDefault="00F3630F" w:rsidP="00F3630F">
            <w:pPr>
              <w:spacing w:before="40" w:after="40"/>
              <w:rPr>
                <w:rFonts w:eastAsia="Arial" w:cs="Arial"/>
                <w:color w:val="53575A"/>
                <w:sz w:val="16"/>
                <w:szCs w:val="16"/>
              </w:rPr>
            </w:pPr>
            <w:r w:rsidRPr="00662906">
              <w:rPr>
                <w:rFonts w:cs="Arial"/>
                <w:sz w:val="16"/>
                <w:szCs w:val="16"/>
              </w:rPr>
              <w:t>Short to Long Term</w:t>
            </w:r>
          </w:p>
        </w:tc>
        <w:tc>
          <w:tcPr>
            <w:tcW w:w="1842" w:type="dxa"/>
            <w:shd w:val="clear" w:color="auto" w:fill="FFFFFF"/>
          </w:tcPr>
          <w:p w14:paraId="05ABC11E" w14:textId="248157EC"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Training materials and workshops </w:t>
            </w:r>
            <w:r w:rsidR="005215DD" w:rsidRPr="00662906">
              <w:rPr>
                <w:rFonts w:eastAsia="Arial" w:cs="Arial"/>
                <w:color w:val="53575A"/>
                <w:sz w:val="16"/>
                <w:szCs w:val="16"/>
              </w:rPr>
              <w:t>on loss assessment, validation, Reporting</w:t>
            </w:r>
          </w:p>
          <w:p w14:paraId="291C4184" w14:textId="6BBB84C6"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T&amp;D loss reporting guidelines </w:t>
            </w:r>
          </w:p>
          <w:p w14:paraId="7D08F63C" w14:textId="6197A3E8"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Data exchange protocols for MS</w:t>
            </w:r>
            <w:r w:rsidR="005215DD" w:rsidRPr="00662906">
              <w:rPr>
                <w:rFonts w:eastAsia="Arial" w:cs="Arial"/>
                <w:color w:val="53575A"/>
                <w:sz w:val="16"/>
                <w:szCs w:val="16"/>
              </w:rPr>
              <w:t xml:space="preserve"> with AFREC</w:t>
            </w:r>
          </w:p>
        </w:tc>
        <w:tc>
          <w:tcPr>
            <w:tcW w:w="1701" w:type="dxa"/>
            <w:shd w:val="clear" w:color="auto" w:fill="FFFFFF"/>
          </w:tcPr>
          <w:p w14:paraId="5BDB5255" w14:textId="2141E61B" w:rsidR="00F3630F" w:rsidRPr="00662906" w:rsidRDefault="00F3630F" w:rsidP="00F3630F">
            <w:pPr>
              <w:spacing w:before="40" w:after="40"/>
              <w:rPr>
                <w:rFonts w:eastAsia="Arial" w:cs="Arial"/>
                <w:color w:val="53575A"/>
                <w:sz w:val="16"/>
                <w:szCs w:val="16"/>
              </w:rPr>
            </w:pPr>
            <w:r w:rsidRPr="00662906">
              <w:rPr>
                <w:sz w:val="16"/>
                <w:szCs w:val="16"/>
              </w:rPr>
              <w:t>Enhanced capacity in monitoring and reducing T&amp;D losses through consistent measurement and reporting across Member States</w:t>
            </w:r>
            <w:r w:rsidR="005215DD" w:rsidRPr="00662906">
              <w:rPr>
                <w:sz w:val="16"/>
                <w:szCs w:val="16"/>
              </w:rPr>
              <w:t>, Power Pools and at Continental level</w:t>
            </w:r>
            <w:r w:rsidR="00614A2F" w:rsidRPr="00662906">
              <w:rPr>
                <w:sz w:val="16"/>
                <w:szCs w:val="16"/>
              </w:rPr>
              <w:t>.</w:t>
            </w:r>
          </w:p>
        </w:tc>
        <w:tc>
          <w:tcPr>
            <w:tcW w:w="1843" w:type="dxa"/>
            <w:shd w:val="clear" w:color="auto" w:fill="FFFFFF"/>
          </w:tcPr>
          <w:p w14:paraId="76AA4599" w14:textId="788D9F3B" w:rsidR="00F3630F" w:rsidRPr="00662906" w:rsidRDefault="008D77C3"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 of AU </w:t>
            </w:r>
            <w:r w:rsidR="00F3630F" w:rsidRPr="00662906">
              <w:rPr>
                <w:sz w:val="16"/>
                <w:szCs w:val="16"/>
              </w:rPr>
              <w:t xml:space="preserve">MS reporting T&amp;D </w:t>
            </w:r>
            <w:r w:rsidRPr="00662906">
              <w:rPr>
                <w:sz w:val="16"/>
                <w:szCs w:val="16"/>
              </w:rPr>
              <w:t xml:space="preserve">Loss </w:t>
            </w:r>
            <w:r w:rsidR="00F3630F" w:rsidRPr="00662906">
              <w:rPr>
                <w:sz w:val="16"/>
                <w:szCs w:val="16"/>
              </w:rPr>
              <w:t xml:space="preserve">data </w:t>
            </w:r>
          </w:p>
          <w:p w14:paraId="086E713A" w14:textId="0D12ACF0" w:rsidR="005215DD" w:rsidRPr="00662906" w:rsidRDefault="008D77C3"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Updated </w:t>
            </w:r>
            <w:r w:rsidR="005215DD" w:rsidRPr="00662906">
              <w:rPr>
                <w:sz w:val="16"/>
                <w:szCs w:val="16"/>
              </w:rPr>
              <w:t>Network loss reporting and database at AFREC</w:t>
            </w:r>
          </w:p>
        </w:tc>
      </w:tr>
      <w:tr w:rsidR="00F3630F" w:rsidRPr="00662906" w14:paraId="7FFBE66A" w14:textId="77777777" w:rsidTr="00E8722A">
        <w:trPr>
          <w:trHeight w:val="300"/>
        </w:trPr>
        <w:tc>
          <w:tcPr>
            <w:tcW w:w="167" w:type="dxa"/>
            <w:shd w:val="clear" w:color="auto" w:fill="FFFFFF"/>
            <w:tcMar>
              <w:left w:w="57" w:type="dxa"/>
              <w:right w:w="57" w:type="dxa"/>
            </w:tcMar>
          </w:tcPr>
          <w:p w14:paraId="18BCF8AF" w14:textId="77777777" w:rsidR="00F3630F" w:rsidRPr="00662906" w:rsidRDefault="00F3630F" w:rsidP="00F3630F">
            <w:pPr>
              <w:spacing w:before="40" w:after="40"/>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249D2007" w14:textId="74C50D37"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Support MS to enforce standards for Smart distribution networks </w:t>
            </w:r>
          </w:p>
        </w:tc>
        <w:tc>
          <w:tcPr>
            <w:tcW w:w="3260" w:type="dxa"/>
            <w:tcBorders>
              <w:top w:val="single" w:sz="4" w:space="0" w:color="9F2241"/>
              <w:left w:val="nil"/>
              <w:bottom w:val="single" w:sz="4" w:space="0" w:color="9F2241"/>
              <w:right w:val="nil"/>
            </w:tcBorders>
            <w:tcMar>
              <w:left w:w="57" w:type="dxa"/>
              <w:right w:w="57" w:type="dxa"/>
            </w:tcMar>
          </w:tcPr>
          <w:p w14:paraId="5E66860A" w14:textId="0B1994C3" w:rsidR="00F3630F" w:rsidRPr="00662906" w:rsidRDefault="00F3630F" w:rsidP="005C5546">
            <w:pPr>
              <w:pStyle w:val="ListParagraph"/>
              <w:numPr>
                <w:ilvl w:val="0"/>
                <w:numId w:val="66"/>
              </w:numPr>
              <w:spacing w:before="40" w:after="40"/>
              <w:ind w:left="367"/>
              <w:jc w:val="left"/>
              <w:rPr>
                <w:rFonts w:eastAsia="Arial" w:cs="Arial"/>
                <w:color w:val="394A58"/>
                <w:sz w:val="16"/>
                <w:szCs w:val="16"/>
              </w:rPr>
            </w:pPr>
            <w:r w:rsidRPr="00662906">
              <w:rPr>
                <w:rFonts w:eastAsia="Arial" w:cs="Arial"/>
                <w:color w:val="394A58"/>
                <w:sz w:val="16"/>
                <w:szCs w:val="16"/>
              </w:rPr>
              <w:t xml:space="preserve">Review existing smart grid standards and identify gaps </w:t>
            </w:r>
          </w:p>
          <w:p w14:paraId="1E311928" w14:textId="744B6B9F" w:rsidR="00F3630F" w:rsidRPr="00662906" w:rsidRDefault="00F3630F" w:rsidP="005C5546">
            <w:pPr>
              <w:pStyle w:val="ListParagraph"/>
              <w:numPr>
                <w:ilvl w:val="0"/>
                <w:numId w:val="66"/>
              </w:numPr>
              <w:spacing w:before="40" w:after="40"/>
              <w:ind w:left="367"/>
              <w:jc w:val="left"/>
              <w:rPr>
                <w:rFonts w:eastAsia="Arial" w:cs="Arial"/>
                <w:color w:val="394A58"/>
                <w:sz w:val="16"/>
                <w:szCs w:val="16"/>
              </w:rPr>
            </w:pPr>
            <w:r w:rsidRPr="00662906">
              <w:rPr>
                <w:rFonts w:eastAsia="Arial" w:cs="Arial"/>
                <w:color w:val="394A58"/>
                <w:sz w:val="16"/>
                <w:szCs w:val="16"/>
              </w:rPr>
              <w:t xml:space="preserve">Develop or adapt standards for various voltage levels </w:t>
            </w:r>
          </w:p>
          <w:p w14:paraId="5C9EE01B" w14:textId="0F488894" w:rsidR="00F3630F" w:rsidRPr="00662906" w:rsidRDefault="00F3630F" w:rsidP="005C5546">
            <w:pPr>
              <w:pStyle w:val="ListParagraph"/>
              <w:numPr>
                <w:ilvl w:val="0"/>
                <w:numId w:val="66"/>
              </w:numPr>
              <w:spacing w:before="40" w:after="40"/>
              <w:ind w:left="367"/>
              <w:jc w:val="left"/>
              <w:rPr>
                <w:rFonts w:eastAsia="Arial" w:cs="Arial"/>
                <w:color w:val="394A58"/>
                <w:sz w:val="16"/>
                <w:szCs w:val="16"/>
              </w:rPr>
            </w:pPr>
            <w:r w:rsidRPr="00662906">
              <w:rPr>
                <w:rFonts w:eastAsia="Arial" w:cs="Arial"/>
                <w:color w:val="394A58"/>
                <w:sz w:val="16"/>
                <w:szCs w:val="16"/>
              </w:rPr>
              <w:t xml:space="preserve">Conduct capacity-building workshops for regulators and utilities </w:t>
            </w:r>
          </w:p>
          <w:p w14:paraId="63DC8626" w14:textId="7BD6309F" w:rsidR="00F3630F" w:rsidRPr="00662906" w:rsidRDefault="00F3630F" w:rsidP="005C5546">
            <w:pPr>
              <w:pStyle w:val="ListParagraph"/>
              <w:numPr>
                <w:ilvl w:val="0"/>
                <w:numId w:val="66"/>
              </w:numPr>
              <w:spacing w:before="40" w:after="40"/>
              <w:ind w:left="367"/>
              <w:jc w:val="left"/>
              <w:rPr>
                <w:rFonts w:eastAsia="Arial" w:cs="Arial"/>
                <w:color w:val="394A58"/>
                <w:sz w:val="16"/>
                <w:szCs w:val="16"/>
              </w:rPr>
            </w:pPr>
            <w:r w:rsidRPr="00662906">
              <w:rPr>
                <w:rFonts w:eastAsia="Arial" w:cs="Arial"/>
                <w:color w:val="394A58"/>
                <w:sz w:val="16"/>
                <w:szCs w:val="16"/>
              </w:rPr>
              <w:t>Provide technical assistance for domestication of standards.</w:t>
            </w:r>
          </w:p>
        </w:tc>
        <w:tc>
          <w:tcPr>
            <w:tcW w:w="1276" w:type="dxa"/>
            <w:shd w:val="clear" w:color="auto" w:fill="FFFFFF"/>
            <w:tcMar>
              <w:left w:w="57" w:type="dxa"/>
              <w:right w:w="57" w:type="dxa"/>
            </w:tcMar>
          </w:tcPr>
          <w:p w14:paraId="1E13445C" w14:textId="0DD08EFA" w:rsidR="00F3630F" w:rsidRPr="00662906" w:rsidRDefault="00F3630F" w:rsidP="00F3630F">
            <w:pPr>
              <w:spacing w:before="40" w:after="40"/>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4324E1E" w14:textId="77A3CD4F" w:rsidR="00F3630F" w:rsidRPr="00662906" w:rsidRDefault="00F3630F" w:rsidP="00F3630F">
            <w:pPr>
              <w:spacing w:before="40" w:after="40"/>
              <w:rPr>
                <w:rFonts w:eastAsia="Arial" w:cs="Arial"/>
                <w:color w:val="53575A"/>
                <w:sz w:val="16"/>
                <w:szCs w:val="16"/>
              </w:rPr>
            </w:pPr>
            <w:r w:rsidRPr="00662906">
              <w:rPr>
                <w:rFonts w:cs="Arial"/>
                <w:sz w:val="16"/>
                <w:szCs w:val="16"/>
              </w:rPr>
              <w:t xml:space="preserve">Ministries in charge of Energy </w:t>
            </w:r>
          </w:p>
        </w:tc>
        <w:tc>
          <w:tcPr>
            <w:tcW w:w="1198" w:type="dxa"/>
            <w:shd w:val="clear" w:color="auto" w:fill="FFFFFF"/>
            <w:tcMar>
              <w:left w:w="57" w:type="dxa"/>
              <w:right w:w="57" w:type="dxa"/>
            </w:tcMar>
          </w:tcPr>
          <w:p w14:paraId="64ADC42D" w14:textId="62083F44" w:rsidR="00F3630F" w:rsidRPr="00662906" w:rsidRDefault="00883457" w:rsidP="00F3630F">
            <w:pPr>
              <w:spacing w:before="40" w:after="40"/>
              <w:rPr>
                <w:rFonts w:cs="Arial"/>
                <w:sz w:val="16"/>
                <w:szCs w:val="16"/>
              </w:rPr>
            </w:pPr>
            <w:r w:rsidRPr="00662906">
              <w:rPr>
                <w:rFonts w:cs="Arial"/>
                <w:sz w:val="16"/>
                <w:szCs w:val="16"/>
              </w:rPr>
              <w:t xml:space="preserve">Power Utilities </w:t>
            </w:r>
            <w:r w:rsidR="00F3630F" w:rsidRPr="00662906">
              <w:rPr>
                <w:rFonts w:cs="Arial"/>
                <w:sz w:val="16"/>
                <w:szCs w:val="16"/>
              </w:rPr>
              <w:t>National Electricity Regulators</w:t>
            </w:r>
          </w:p>
          <w:p w14:paraId="3D03A69F" w14:textId="77777777" w:rsidR="00883457" w:rsidRPr="00662906" w:rsidRDefault="00883457" w:rsidP="00883457">
            <w:pPr>
              <w:spacing w:before="40" w:after="40"/>
              <w:rPr>
                <w:rFonts w:cs="Arial"/>
                <w:sz w:val="16"/>
                <w:szCs w:val="16"/>
              </w:rPr>
            </w:pPr>
            <w:r w:rsidRPr="00662906">
              <w:rPr>
                <w:rFonts w:cs="Arial"/>
                <w:sz w:val="16"/>
                <w:szCs w:val="16"/>
              </w:rPr>
              <w:t xml:space="preserve">Regional Power Pools, </w:t>
            </w:r>
          </w:p>
          <w:p w14:paraId="78EBC6C9" w14:textId="13375AE4" w:rsidR="00883457" w:rsidRPr="00662906" w:rsidRDefault="00883457" w:rsidP="00883457">
            <w:pPr>
              <w:spacing w:before="40" w:after="40"/>
              <w:rPr>
                <w:rFonts w:eastAsia="Arial" w:cs="Arial"/>
                <w:color w:val="53575A"/>
                <w:sz w:val="16"/>
                <w:szCs w:val="16"/>
              </w:rPr>
            </w:pPr>
            <w:r w:rsidRPr="00662906">
              <w:rPr>
                <w:rFonts w:cs="Arial"/>
                <w:sz w:val="16"/>
                <w:szCs w:val="16"/>
              </w:rPr>
              <w:t>And regulators</w:t>
            </w:r>
          </w:p>
        </w:tc>
        <w:tc>
          <w:tcPr>
            <w:tcW w:w="851" w:type="dxa"/>
            <w:shd w:val="clear" w:color="auto" w:fill="FFFFFF"/>
            <w:tcMar>
              <w:left w:w="57" w:type="dxa"/>
              <w:right w:w="57" w:type="dxa"/>
            </w:tcMar>
          </w:tcPr>
          <w:p w14:paraId="083610D2" w14:textId="4CDCC51C" w:rsidR="00F3630F" w:rsidRPr="00662906" w:rsidRDefault="00F3630F" w:rsidP="00F3630F">
            <w:pPr>
              <w:spacing w:before="40" w:after="40"/>
              <w:rPr>
                <w:rFonts w:eastAsia="Arial" w:cs="Arial"/>
                <w:color w:val="53575A"/>
                <w:sz w:val="16"/>
                <w:szCs w:val="16"/>
              </w:rPr>
            </w:pPr>
            <w:r w:rsidRPr="00662906">
              <w:rPr>
                <w:rFonts w:cs="Arial"/>
                <w:sz w:val="16"/>
                <w:szCs w:val="16"/>
              </w:rPr>
              <w:t>Short Term (ongoing)</w:t>
            </w:r>
          </w:p>
        </w:tc>
        <w:tc>
          <w:tcPr>
            <w:tcW w:w="1842" w:type="dxa"/>
            <w:shd w:val="clear" w:color="auto" w:fill="FFFFFF"/>
          </w:tcPr>
          <w:p w14:paraId="6A885BE3" w14:textId="24340118"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Consolidated </w:t>
            </w:r>
            <w:r w:rsidR="00883457" w:rsidRPr="00662906">
              <w:rPr>
                <w:rFonts w:eastAsia="Arial" w:cs="Arial"/>
                <w:color w:val="53575A"/>
                <w:sz w:val="16"/>
                <w:szCs w:val="16"/>
              </w:rPr>
              <w:t xml:space="preserve">and harmonized </w:t>
            </w:r>
            <w:r w:rsidRPr="00662906">
              <w:rPr>
                <w:rFonts w:eastAsia="Arial" w:cs="Arial"/>
                <w:color w:val="53575A"/>
                <w:sz w:val="16"/>
                <w:szCs w:val="16"/>
              </w:rPr>
              <w:t xml:space="preserve">smart grid standards </w:t>
            </w:r>
          </w:p>
          <w:p w14:paraId="0C3A14F2" w14:textId="1A8223E0"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Workshop materials and training sessions </w:t>
            </w:r>
            <w:r w:rsidR="00883457" w:rsidRPr="00662906">
              <w:rPr>
                <w:rFonts w:eastAsia="Arial" w:cs="Arial"/>
                <w:color w:val="53575A"/>
                <w:sz w:val="16"/>
                <w:szCs w:val="16"/>
              </w:rPr>
              <w:t>from capacity building workshops</w:t>
            </w:r>
          </w:p>
          <w:p w14:paraId="57C5BE40" w14:textId="0CBAC6CD"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Implementation guidelines for MS</w:t>
            </w:r>
          </w:p>
        </w:tc>
        <w:tc>
          <w:tcPr>
            <w:tcW w:w="1701" w:type="dxa"/>
            <w:shd w:val="clear" w:color="auto" w:fill="FFFFFF"/>
          </w:tcPr>
          <w:p w14:paraId="58207956" w14:textId="216F987B" w:rsidR="00F3630F" w:rsidRPr="00662906" w:rsidRDefault="00F3630F" w:rsidP="00F3630F">
            <w:pPr>
              <w:spacing w:before="40" w:after="40"/>
              <w:rPr>
                <w:rFonts w:eastAsia="Arial" w:cs="Arial"/>
                <w:color w:val="53575A"/>
                <w:sz w:val="16"/>
                <w:szCs w:val="16"/>
              </w:rPr>
            </w:pPr>
            <w:r w:rsidRPr="00662906">
              <w:rPr>
                <w:sz w:val="16"/>
                <w:szCs w:val="16"/>
              </w:rPr>
              <w:t xml:space="preserve">Upgraded </w:t>
            </w:r>
            <w:r w:rsidR="00883457" w:rsidRPr="00662906">
              <w:rPr>
                <w:sz w:val="16"/>
                <w:szCs w:val="16"/>
              </w:rPr>
              <w:t xml:space="preserve">and modernized </w:t>
            </w:r>
            <w:r w:rsidRPr="00662906">
              <w:rPr>
                <w:sz w:val="16"/>
                <w:szCs w:val="16"/>
              </w:rPr>
              <w:t>distribution networks through adoption of robust smart grid standards, minimizing losses and enhancing network reliability</w:t>
            </w:r>
            <w:r w:rsidR="00614A2F" w:rsidRPr="00662906">
              <w:rPr>
                <w:sz w:val="16"/>
                <w:szCs w:val="16"/>
              </w:rPr>
              <w:t>.</w:t>
            </w:r>
          </w:p>
        </w:tc>
        <w:tc>
          <w:tcPr>
            <w:tcW w:w="1843" w:type="dxa"/>
            <w:shd w:val="clear" w:color="auto" w:fill="FFFFFF"/>
          </w:tcPr>
          <w:p w14:paraId="0ABFED36" w14:textId="70A4E063" w:rsidR="00F3630F" w:rsidRPr="00662906" w:rsidRDefault="00D57420"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Number of </w:t>
            </w:r>
            <w:r w:rsidR="00883457" w:rsidRPr="00662906">
              <w:rPr>
                <w:sz w:val="16"/>
                <w:szCs w:val="16"/>
              </w:rPr>
              <w:t xml:space="preserve">AU-MS </w:t>
            </w:r>
            <w:r w:rsidR="00FE74BB" w:rsidRPr="00662906">
              <w:rPr>
                <w:sz w:val="16"/>
                <w:szCs w:val="16"/>
              </w:rPr>
              <w:t xml:space="preserve">with </w:t>
            </w:r>
            <w:r w:rsidRPr="00662906">
              <w:rPr>
                <w:sz w:val="16"/>
                <w:szCs w:val="16"/>
              </w:rPr>
              <w:t>enforced</w:t>
            </w:r>
            <w:r w:rsidR="008D77C3" w:rsidRPr="00662906">
              <w:rPr>
                <w:sz w:val="16"/>
                <w:szCs w:val="16"/>
              </w:rPr>
              <w:t xml:space="preserve"> </w:t>
            </w:r>
            <w:r w:rsidR="00883457" w:rsidRPr="00662906">
              <w:rPr>
                <w:sz w:val="16"/>
                <w:szCs w:val="16"/>
              </w:rPr>
              <w:t>harmonized smart distribution grids</w:t>
            </w:r>
            <w:r w:rsidR="008D77C3" w:rsidRPr="00662906">
              <w:rPr>
                <w:sz w:val="16"/>
                <w:szCs w:val="16"/>
              </w:rPr>
              <w:t xml:space="preserve"> standards</w:t>
            </w:r>
          </w:p>
        </w:tc>
      </w:tr>
      <w:tr w:rsidR="00F3630F" w:rsidRPr="00662906" w14:paraId="0E07E866" w14:textId="77777777" w:rsidTr="00E8722A">
        <w:trPr>
          <w:trHeight w:val="300"/>
        </w:trPr>
        <w:tc>
          <w:tcPr>
            <w:tcW w:w="167" w:type="dxa"/>
            <w:shd w:val="clear" w:color="auto" w:fill="FFFFFF"/>
            <w:tcMar>
              <w:left w:w="57" w:type="dxa"/>
              <w:right w:w="57" w:type="dxa"/>
            </w:tcMar>
          </w:tcPr>
          <w:p w14:paraId="7DC35A61" w14:textId="77777777" w:rsidR="00F3630F" w:rsidRPr="00662906" w:rsidRDefault="00F3630F" w:rsidP="00F3630F">
            <w:pPr>
              <w:spacing w:before="40" w:after="40"/>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4A6F2E67" w14:textId="1EF48190"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Promote sustainable cross-border network Standards and pricing  </w:t>
            </w:r>
          </w:p>
        </w:tc>
        <w:tc>
          <w:tcPr>
            <w:tcW w:w="3260" w:type="dxa"/>
            <w:tcBorders>
              <w:top w:val="single" w:sz="4" w:space="0" w:color="9F2241"/>
              <w:left w:val="nil"/>
              <w:bottom w:val="single" w:sz="4" w:space="0" w:color="9F2241"/>
              <w:right w:val="nil"/>
            </w:tcBorders>
            <w:tcMar>
              <w:left w:w="57" w:type="dxa"/>
              <w:right w:w="57" w:type="dxa"/>
            </w:tcMar>
          </w:tcPr>
          <w:p w14:paraId="0449376B" w14:textId="5C6A8749" w:rsidR="00F3630F" w:rsidRPr="00662906" w:rsidRDefault="00F3630F" w:rsidP="005C5546">
            <w:pPr>
              <w:pStyle w:val="ListParagraph"/>
              <w:numPr>
                <w:ilvl w:val="0"/>
                <w:numId w:val="67"/>
              </w:numPr>
              <w:spacing w:before="40" w:after="40"/>
              <w:ind w:left="367"/>
              <w:jc w:val="left"/>
              <w:rPr>
                <w:rFonts w:eastAsia="Arial" w:cs="Arial"/>
                <w:color w:val="394A58"/>
                <w:sz w:val="16"/>
                <w:szCs w:val="16"/>
              </w:rPr>
            </w:pPr>
            <w:r w:rsidRPr="00662906">
              <w:rPr>
                <w:rFonts w:eastAsia="Arial" w:cs="Arial"/>
                <w:color w:val="394A58"/>
                <w:sz w:val="16"/>
                <w:szCs w:val="16"/>
              </w:rPr>
              <w:t>Review existing cross-border codes and tariff structures.</w:t>
            </w:r>
          </w:p>
          <w:p w14:paraId="07DFBC5F" w14:textId="081EDA9B" w:rsidR="00F3630F" w:rsidRPr="00662906" w:rsidRDefault="00F3630F" w:rsidP="005C5546">
            <w:pPr>
              <w:pStyle w:val="ListParagraph"/>
              <w:numPr>
                <w:ilvl w:val="0"/>
                <w:numId w:val="67"/>
              </w:numPr>
              <w:spacing w:before="40" w:after="40"/>
              <w:ind w:left="367"/>
              <w:jc w:val="left"/>
              <w:rPr>
                <w:rFonts w:eastAsia="Arial" w:cs="Arial"/>
                <w:color w:val="394A58"/>
                <w:sz w:val="16"/>
                <w:szCs w:val="16"/>
              </w:rPr>
            </w:pPr>
            <w:r w:rsidRPr="00662906">
              <w:rPr>
                <w:rFonts w:eastAsia="Arial" w:cs="Arial"/>
                <w:color w:val="394A58"/>
                <w:sz w:val="16"/>
                <w:szCs w:val="16"/>
              </w:rPr>
              <w:t>Provide technical assistance to align cross-border standards, codes, and tariff methodologies.</w:t>
            </w:r>
          </w:p>
          <w:p w14:paraId="2D4A3A57" w14:textId="4F4ACCF3" w:rsidR="00F3630F" w:rsidRPr="00662906" w:rsidRDefault="00F3630F" w:rsidP="005C5546">
            <w:pPr>
              <w:pStyle w:val="ListParagraph"/>
              <w:numPr>
                <w:ilvl w:val="0"/>
                <w:numId w:val="67"/>
              </w:numPr>
              <w:spacing w:before="40" w:after="40"/>
              <w:ind w:left="367"/>
              <w:jc w:val="left"/>
              <w:rPr>
                <w:rFonts w:eastAsia="Arial" w:cs="Arial"/>
                <w:color w:val="394A58"/>
                <w:sz w:val="16"/>
                <w:szCs w:val="16"/>
              </w:rPr>
            </w:pPr>
            <w:r w:rsidRPr="00662906">
              <w:rPr>
                <w:rFonts w:eastAsia="Arial" w:cs="Arial"/>
                <w:color w:val="394A58"/>
                <w:sz w:val="16"/>
                <w:szCs w:val="16"/>
              </w:rPr>
              <w:t>Organize regional stakeholder workshops.</w:t>
            </w:r>
          </w:p>
          <w:p w14:paraId="66A83AF3" w14:textId="27242671" w:rsidR="00F3630F" w:rsidRPr="00662906" w:rsidRDefault="00F3630F" w:rsidP="005C5546">
            <w:pPr>
              <w:pStyle w:val="ListParagraph"/>
              <w:numPr>
                <w:ilvl w:val="0"/>
                <w:numId w:val="67"/>
              </w:numPr>
              <w:spacing w:before="40" w:after="40"/>
              <w:ind w:left="367"/>
              <w:jc w:val="left"/>
              <w:rPr>
                <w:rFonts w:eastAsia="Arial" w:cs="Arial"/>
                <w:color w:val="394A58"/>
                <w:sz w:val="16"/>
                <w:szCs w:val="16"/>
              </w:rPr>
            </w:pPr>
            <w:r w:rsidRPr="00662906">
              <w:rPr>
                <w:rFonts w:eastAsia="Arial" w:cs="Arial"/>
                <w:color w:val="394A58"/>
                <w:sz w:val="16"/>
                <w:szCs w:val="16"/>
              </w:rPr>
              <w:t xml:space="preserve">Monitor uptake of harmonized </w:t>
            </w:r>
            <w:r w:rsidR="00883457" w:rsidRPr="00662906">
              <w:rPr>
                <w:rFonts w:eastAsia="Arial" w:cs="Arial"/>
                <w:color w:val="394A58"/>
                <w:sz w:val="16"/>
                <w:szCs w:val="16"/>
              </w:rPr>
              <w:t xml:space="preserve">cross border </w:t>
            </w:r>
            <w:r w:rsidRPr="00662906">
              <w:rPr>
                <w:rFonts w:eastAsia="Arial" w:cs="Arial"/>
                <w:color w:val="394A58"/>
                <w:sz w:val="16"/>
                <w:szCs w:val="16"/>
              </w:rPr>
              <w:t xml:space="preserve">standards and </w:t>
            </w:r>
            <w:r w:rsidR="00AE7D1F" w:rsidRPr="00662906">
              <w:rPr>
                <w:rFonts w:eastAsia="Arial" w:cs="Arial"/>
                <w:color w:val="394A58"/>
                <w:sz w:val="16"/>
                <w:szCs w:val="16"/>
              </w:rPr>
              <w:t>tariffs and</w:t>
            </w:r>
            <w:r w:rsidR="00883457" w:rsidRPr="00662906">
              <w:rPr>
                <w:rFonts w:eastAsia="Arial" w:cs="Arial"/>
                <w:color w:val="394A58"/>
                <w:sz w:val="16"/>
                <w:szCs w:val="16"/>
              </w:rPr>
              <w:t xml:space="preserve"> </w:t>
            </w:r>
            <w:r w:rsidRPr="00662906">
              <w:rPr>
                <w:rFonts w:eastAsia="Arial" w:cs="Arial"/>
                <w:color w:val="394A58"/>
                <w:sz w:val="16"/>
                <w:szCs w:val="16"/>
              </w:rPr>
              <w:t>evaluate outcomes.</w:t>
            </w:r>
          </w:p>
        </w:tc>
        <w:tc>
          <w:tcPr>
            <w:tcW w:w="1276" w:type="dxa"/>
            <w:shd w:val="clear" w:color="auto" w:fill="FFFFFF"/>
            <w:tcMar>
              <w:left w:w="57" w:type="dxa"/>
              <w:right w:w="57" w:type="dxa"/>
            </w:tcMar>
          </w:tcPr>
          <w:p w14:paraId="5EEA61C4" w14:textId="4C82AADF" w:rsidR="00F3630F" w:rsidRPr="00662906" w:rsidRDefault="00F3630F" w:rsidP="00F3630F">
            <w:pPr>
              <w:spacing w:before="40" w:after="40"/>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60B58A7F" w14:textId="4BE215D6" w:rsidR="00F3630F" w:rsidRPr="00662906" w:rsidRDefault="00F3630F" w:rsidP="00F3630F">
            <w:pPr>
              <w:spacing w:before="40" w:after="40"/>
              <w:rPr>
                <w:rFonts w:eastAsia="Arial" w:cs="Arial"/>
                <w:color w:val="53575A"/>
                <w:sz w:val="16"/>
                <w:szCs w:val="16"/>
              </w:rPr>
            </w:pPr>
            <w:r w:rsidRPr="00662906">
              <w:rPr>
                <w:rFonts w:cs="Arial"/>
                <w:sz w:val="16"/>
                <w:szCs w:val="16"/>
              </w:rPr>
              <w:t>Regional Regulators</w:t>
            </w:r>
          </w:p>
        </w:tc>
        <w:tc>
          <w:tcPr>
            <w:tcW w:w="1198" w:type="dxa"/>
            <w:shd w:val="clear" w:color="auto" w:fill="FFFFFF"/>
            <w:tcMar>
              <w:left w:w="57" w:type="dxa"/>
              <w:right w:w="57" w:type="dxa"/>
            </w:tcMar>
          </w:tcPr>
          <w:p w14:paraId="2F8F125D" w14:textId="3324DC9E" w:rsidR="00F3630F" w:rsidRPr="00662906" w:rsidRDefault="00F3630F" w:rsidP="00F3630F">
            <w:pPr>
              <w:spacing w:before="40" w:after="40"/>
              <w:rPr>
                <w:rFonts w:eastAsia="Arial" w:cs="Arial"/>
                <w:color w:val="53575A"/>
                <w:sz w:val="16"/>
                <w:szCs w:val="16"/>
              </w:rPr>
            </w:pPr>
            <w:r w:rsidRPr="00662906">
              <w:rPr>
                <w:rFonts w:cs="Arial"/>
                <w:sz w:val="16"/>
                <w:szCs w:val="16"/>
              </w:rPr>
              <w:t>African Forum for Utility Regulators, Power Pools,</w:t>
            </w:r>
            <w:r w:rsidR="00883457" w:rsidRPr="00662906">
              <w:rPr>
                <w:rFonts w:cs="Arial"/>
                <w:sz w:val="16"/>
                <w:szCs w:val="16"/>
              </w:rPr>
              <w:t xml:space="preserve"> AUDA NEPAD</w:t>
            </w:r>
            <w:r w:rsidRPr="00662906">
              <w:rPr>
                <w:rFonts w:cs="Arial"/>
                <w:sz w:val="16"/>
                <w:szCs w:val="16"/>
              </w:rPr>
              <w:t xml:space="preserve"> Ministries in charge of Energy</w:t>
            </w:r>
          </w:p>
        </w:tc>
        <w:tc>
          <w:tcPr>
            <w:tcW w:w="851" w:type="dxa"/>
            <w:shd w:val="clear" w:color="auto" w:fill="FFFFFF"/>
            <w:tcMar>
              <w:left w:w="57" w:type="dxa"/>
              <w:right w:w="57" w:type="dxa"/>
            </w:tcMar>
          </w:tcPr>
          <w:p w14:paraId="1EC046AA" w14:textId="4F039A2C" w:rsidR="00F3630F" w:rsidRPr="00662906" w:rsidRDefault="00F3630F" w:rsidP="00F3630F">
            <w:pPr>
              <w:spacing w:before="40" w:after="40"/>
              <w:rPr>
                <w:rFonts w:eastAsia="Arial" w:cs="Arial"/>
                <w:color w:val="53575A"/>
                <w:sz w:val="16"/>
                <w:szCs w:val="16"/>
              </w:rPr>
            </w:pPr>
            <w:r w:rsidRPr="00662906">
              <w:rPr>
                <w:rFonts w:cs="Arial"/>
                <w:sz w:val="16"/>
                <w:szCs w:val="16"/>
              </w:rPr>
              <w:t>Short Term</w:t>
            </w:r>
          </w:p>
        </w:tc>
        <w:tc>
          <w:tcPr>
            <w:tcW w:w="1842" w:type="dxa"/>
            <w:shd w:val="clear" w:color="auto" w:fill="FFFFFF"/>
          </w:tcPr>
          <w:p w14:paraId="670C401B" w14:textId="719FA7D0"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Harmonized cross-border codes and tariff methodologies </w:t>
            </w:r>
            <w:r w:rsidR="00883457" w:rsidRPr="00662906">
              <w:rPr>
                <w:rFonts w:eastAsia="Arial" w:cs="Arial"/>
                <w:color w:val="53575A"/>
                <w:sz w:val="16"/>
                <w:szCs w:val="16"/>
              </w:rPr>
              <w:t>reported</w:t>
            </w:r>
          </w:p>
          <w:p w14:paraId="73527092" w14:textId="4EAA00F0" w:rsidR="00883457" w:rsidRPr="00662906" w:rsidRDefault="00883457"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De</w:t>
            </w:r>
            <w:r w:rsidR="00C45175" w:rsidRPr="00662906">
              <w:rPr>
                <w:rFonts w:eastAsia="Arial" w:cs="Arial"/>
                <w:color w:val="53575A"/>
                <w:sz w:val="16"/>
                <w:szCs w:val="16"/>
              </w:rPr>
              <w:t>veloped and adopted cross border standards, codes, tariffs</w:t>
            </w:r>
          </w:p>
          <w:p w14:paraId="5C0426D8" w14:textId="16F555F9"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Workshop proceedings </w:t>
            </w:r>
            <w:r w:rsidR="00883457" w:rsidRPr="00662906">
              <w:rPr>
                <w:rFonts w:eastAsia="Arial" w:cs="Arial"/>
                <w:color w:val="53575A"/>
                <w:sz w:val="16"/>
                <w:szCs w:val="16"/>
              </w:rPr>
              <w:t>and Reports</w:t>
            </w:r>
          </w:p>
          <w:p w14:paraId="6391AAA5" w14:textId="62B3AD95"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Policy briefs on improved network </w:t>
            </w:r>
            <w:r w:rsidR="00C45175" w:rsidRPr="00662906">
              <w:rPr>
                <w:rFonts w:eastAsia="Arial" w:cs="Arial"/>
                <w:color w:val="53575A"/>
                <w:sz w:val="16"/>
                <w:szCs w:val="16"/>
              </w:rPr>
              <w:t xml:space="preserve">and electricity </w:t>
            </w:r>
            <w:r w:rsidRPr="00662906">
              <w:rPr>
                <w:rFonts w:eastAsia="Arial" w:cs="Arial"/>
                <w:color w:val="53575A"/>
                <w:sz w:val="16"/>
                <w:szCs w:val="16"/>
              </w:rPr>
              <w:t>trade practices</w:t>
            </w:r>
          </w:p>
        </w:tc>
        <w:tc>
          <w:tcPr>
            <w:tcW w:w="1701" w:type="dxa"/>
            <w:shd w:val="clear" w:color="auto" w:fill="FFFFFF"/>
          </w:tcPr>
          <w:p w14:paraId="664C698F" w14:textId="04B3C955" w:rsidR="00F3630F" w:rsidRPr="00662906" w:rsidRDefault="00F3630F" w:rsidP="00F3630F">
            <w:pPr>
              <w:spacing w:before="40" w:after="40"/>
              <w:rPr>
                <w:rFonts w:eastAsia="Arial" w:cs="Arial"/>
                <w:color w:val="53575A"/>
                <w:sz w:val="16"/>
                <w:szCs w:val="16"/>
              </w:rPr>
            </w:pPr>
            <w:r w:rsidRPr="00662906">
              <w:rPr>
                <w:sz w:val="16"/>
                <w:szCs w:val="16"/>
              </w:rPr>
              <w:t xml:space="preserve">Enhanced regional power trade, network performance, and cost-effective electricity exchange through </w:t>
            </w:r>
            <w:r w:rsidR="00614A2F" w:rsidRPr="00662906">
              <w:rPr>
                <w:sz w:val="16"/>
                <w:szCs w:val="16"/>
              </w:rPr>
              <w:t>s</w:t>
            </w:r>
            <w:r w:rsidRPr="00662906">
              <w:rPr>
                <w:sz w:val="16"/>
                <w:szCs w:val="16"/>
              </w:rPr>
              <w:t>tandardi</w:t>
            </w:r>
            <w:r w:rsidR="007505D7" w:rsidRPr="00662906">
              <w:rPr>
                <w:sz w:val="16"/>
                <w:szCs w:val="16"/>
              </w:rPr>
              <w:t>s</w:t>
            </w:r>
            <w:r w:rsidRPr="00662906">
              <w:rPr>
                <w:sz w:val="16"/>
                <w:szCs w:val="16"/>
              </w:rPr>
              <w:t>ed cross-border protocols</w:t>
            </w:r>
            <w:r w:rsidR="00614A2F" w:rsidRPr="00662906">
              <w:rPr>
                <w:sz w:val="16"/>
                <w:szCs w:val="16"/>
              </w:rPr>
              <w:t>.</w:t>
            </w:r>
          </w:p>
        </w:tc>
        <w:tc>
          <w:tcPr>
            <w:tcW w:w="1843" w:type="dxa"/>
            <w:shd w:val="clear" w:color="auto" w:fill="FFFFFF"/>
          </w:tcPr>
          <w:p w14:paraId="1B9A2D9C" w14:textId="42B14D6E" w:rsidR="00C45175" w:rsidRPr="00662906" w:rsidRDefault="00D57420" w:rsidP="005C5546">
            <w:pPr>
              <w:pStyle w:val="ListParagraph"/>
              <w:numPr>
                <w:ilvl w:val="0"/>
                <w:numId w:val="63"/>
              </w:numPr>
              <w:spacing w:before="40" w:after="40"/>
              <w:ind w:left="181" w:hanging="181"/>
              <w:jc w:val="left"/>
              <w:rPr>
                <w:rFonts w:eastAsia="Arial" w:cs="Arial"/>
                <w:color w:val="53575A"/>
                <w:sz w:val="16"/>
                <w:szCs w:val="16"/>
              </w:rPr>
            </w:pPr>
            <w:r w:rsidRPr="00662906">
              <w:rPr>
                <w:rFonts w:eastAsia="Arial" w:cs="Arial"/>
                <w:color w:val="53575A"/>
                <w:sz w:val="16"/>
                <w:szCs w:val="16"/>
              </w:rPr>
              <w:t xml:space="preserve">Number of </w:t>
            </w:r>
            <w:r w:rsidR="00C45175" w:rsidRPr="00662906">
              <w:rPr>
                <w:rFonts w:eastAsia="Arial" w:cs="Arial"/>
                <w:color w:val="53575A"/>
                <w:sz w:val="16"/>
                <w:szCs w:val="16"/>
              </w:rPr>
              <w:t xml:space="preserve">Regions with </w:t>
            </w:r>
            <w:r w:rsidR="007505D7" w:rsidRPr="00662906">
              <w:rPr>
                <w:rFonts w:eastAsia="Arial" w:cs="Arial"/>
                <w:color w:val="53575A"/>
                <w:sz w:val="16"/>
                <w:szCs w:val="16"/>
              </w:rPr>
              <w:t>enforced</w:t>
            </w:r>
            <w:r w:rsidR="008D77C3" w:rsidRPr="00662906">
              <w:rPr>
                <w:rFonts w:eastAsia="Arial" w:cs="Arial"/>
                <w:color w:val="53575A"/>
                <w:sz w:val="16"/>
                <w:szCs w:val="16"/>
              </w:rPr>
              <w:t xml:space="preserve"> </w:t>
            </w:r>
            <w:r w:rsidR="00C45175" w:rsidRPr="00662906">
              <w:rPr>
                <w:rFonts w:eastAsia="Arial" w:cs="Arial"/>
                <w:color w:val="53575A"/>
                <w:sz w:val="16"/>
                <w:szCs w:val="16"/>
              </w:rPr>
              <w:t>cross border st</w:t>
            </w:r>
            <w:r w:rsidR="00FE74BB" w:rsidRPr="00662906">
              <w:rPr>
                <w:rFonts w:eastAsia="Arial" w:cs="Arial"/>
                <w:color w:val="53575A"/>
                <w:sz w:val="16"/>
                <w:szCs w:val="16"/>
              </w:rPr>
              <w:t>a</w:t>
            </w:r>
            <w:r w:rsidR="00C45175" w:rsidRPr="00662906">
              <w:rPr>
                <w:rFonts w:eastAsia="Arial" w:cs="Arial"/>
                <w:color w:val="53575A"/>
                <w:sz w:val="16"/>
                <w:szCs w:val="16"/>
              </w:rPr>
              <w:t>nd</w:t>
            </w:r>
            <w:r w:rsidR="00FE74BB" w:rsidRPr="00662906">
              <w:rPr>
                <w:rFonts w:eastAsia="Arial" w:cs="Arial"/>
                <w:color w:val="53575A"/>
                <w:sz w:val="16"/>
                <w:szCs w:val="16"/>
              </w:rPr>
              <w:t>a</w:t>
            </w:r>
            <w:r w:rsidR="00C45175" w:rsidRPr="00662906">
              <w:rPr>
                <w:rFonts w:eastAsia="Arial" w:cs="Arial"/>
                <w:color w:val="53575A"/>
                <w:sz w:val="16"/>
                <w:szCs w:val="16"/>
              </w:rPr>
              <w:t>rds/codes/tariffs</w:t>
            </w:r>
          </w:p>
          <w:p w14:paraId="7339DE09" w14:textId="18F71088" w:rsidR="00F3630F" w:rsidRPr="00662906" w:rsidRDefault="00F3630F"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Number of training workshops held </w:t>
            </w:r>
          </w:p>
        </w:tc>
      </w:tr>
      <w:tr w:rsidR="00F3630F" w:rsidRPr="00662906" w14:paraId="6D4E8C8A" w14:textId="77777777" w:rsidTr="00E8722A">
        <w:trPr>
          <w:trHeight w:val="300"/>
        </w:trPr>
        <w:tc>
          <w:tcPr>
            <w:tcW w:w="167" w:type="dxa"/>
            <w:shd w:val="clear" w:color="auto" w:fill="FFFFFF"/>
            <w:tcMar>
              <w:left w:w="57" w:type="dxa"/>
              <w:right w:w="57" w:type="dxa"/>
            </w:tcMar>
          </w:tcPr>
          <w:p w14:paraId="606B3E89" w14:textId="77777777"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0D4AF16D" w14:textId="21538A0C" w:rsidR="00F3630F" w:rsidRPr="00662906" w:rsidRDefault="00F3630F" w:rsidP="00F3630F">
            <w:pPr>
              <w:spacing w:before="40" w:after="40"/>
              <w:rPr>
                <w:rFonts w:eastAsia="Arial" w:cs="Arial"/>
                <w:color w:val="53575A"/>
                <w:sz w:val="16"/>
                <w:szCs w:val="16"/>
              </w:rPr>
            </w:pPr>
            <w:r w:rsidRPr="00662906">
              <w:rPr>
                <w:rFonts w:eastAsia="Arial" w:cs="Arial"/>
                <w:color w:val="53575A"/>
                <w:sz w:val="16"/>
                <w:szCs w:val="16"/>
              </w:rPr>
              <w:t>R&amp;D for new and emerging network efficient technologies</w:t>
            </w:r>
          </w:p>
        </w:tc>
        <w:tc>
          <w:tcPr>
            <w:tcW w:w="3260" w:type="dxa"/>
            <w:tcBorders>
              <w:top w:val="single" w:sz="4" w:space="0" w:color="9F2241"/>
              <w:left w:val="nil"/>
              <w:bottom w:val="single" w:sz="4" w:space="0" w:color="9F2241"/>
              <w:right w:val="nil"/>
            </w:tcBorders>
            <w:tcMar>
              <w:left w:w="57" w:type="dxa"/>
              <w:right w:w="57" w:type="dxa"/>
            </w:tcMar>
          </w:tcPr>
          <w:p w14:paraId="5893B6C6" w14:textId="00411FFE" w:rsidR="00F3630F" w:rsidRPr="00662906" w:rsidRDefault="00F3630F" w:rsidP="005C5546">
            <w:pPr>
              <w:pStyle w:val="ListParagraph"/>
              <w:numPr>
                <w:ilvl w:val="0"/>
                <w:numId w:val="68"/>
              </w:numPr>
              <w:spacing w:before="40" w:after="40"/>
              <w:ind w:left="367"/>
              <w:jc w:val="left"/>
              <w:rPr>
                <w:rFonts w:eastAsia="Arial" w:cs="Arial"/>
                <w:color w:val="394A58"/>
                <w:sz w:val="16"/>
                <w:szCs w:val="16"/>
              </w:rPr>
            </w:pPr>
            <w:r w:rsidRPr="00662906">
              <w:rPr>
                <w:rFonts w:eastAsia="Arial" w:cs="Arial"/>
                <w:color w:val="394A58"/>
                <w:sz w:val="16"/>
                <w:szCs w:val="16"/>
              </w:rPr>
              <w:t>Identify priority research areas (e.g., digitalization, cybersecurity, advanced transmission</w:t>
            </w:r>
            <w:r w:rsidR="00C45175" w:rsidRPr="00662906">
              <w:rPr>
                <w:rFonts w:eastAsia="Arial" w:cs="Arial"/>
                <w:color w:val="394A58"/>
                <w:sz w:val="16"/>
                <w:szCs w:val="16"/>
              </w:rPr>
              <w:t xml:space="preserve"> super conductors etc</w:t>
            </w:r>
            <w:r w:rsidRPr="00662906">
              <w:rPr>
                <w:rFonts w:eastAsia="Arial" w:cs="Arial"/>
                <w:color w:val="394A58"/>
                <w:sz w:val="16"/>
                <w:szCs w:val="16"/>
              </w:rPr>
              <w:t>).</w:t>
            </w:r>
          </w:p>
          <w:p w14:paraId="35D7B5E7" w14:textId="2D3B90DF" w:rsidR="00F3630F" w:rsidRPr="00662906" w:rsidRDefault="00F3630F" w:rsidP="005C5546">
            <w:pPr>
              <w:pStyle w:val="ListParagraph"/>
              <w:numPr>
                <w:ilvl w:val="0"/>
                <w:numId w:val="68"/>
              </w:numPr>
              <w:spacing w:before="40" w:after="40"/>
              <w:ind w:left="367"/>
              <w:jc w:val="left"/>
              <w:rPr>
                <w:rFonts w:eastAsia="Arial" w:cs="Arial"/>
                <w:color w:val="394A58"/>
                <w:sz w:val="16"/>
                <w:szCs w:val="16"/>
              </w:rPr>
            </w:pPr>
            <w:r w:rsidRPr="00662906">
              <w:rPr>
                <w:rFonts w:eastAsia="Arial" w:cs="Arial"/>
                <w:color w:val="394A58"/>
                <w:sz w:val="16"/>
                <w:szCs w:val="16"/>
              </w:rPr>
              <w:t xml:space="preserve">Collaborate with research institutions </w:t>
            </w:r>
            <w:r w:rsidR="00C45175" w:rsidRPr="00662906">
              <w:rPr>
                <w:rFonts w:eastAsia="Arial" w:cs="Arial"/>
                <w:color w:val="394A58"/>
                <w:sz w:val="16"/>
                <w:szCs w:val="16"/>
              </w:rPr>
              <w:t xml:space="preserve">and utilities </w:t>
            </w:r>
            <w:r w:rsidRPr="00662906">
              <w:rPr>
                <w:rFonts w:eastAsia="Arial" w:cs="Arial"/>
                <w:color w:val="394A58"/>
                <w:sz w:val="16"/>
                <w:szCs w:val="16"/>
              </w:rPr>
              <w:t xml:space="preserve">for pilot projects </w:t>
            </w:r>
          </w:p>
          <w:p w14:paraId="2F6A2EF1" w14:textId="65347417" w:rsidR="00F3630F" w:rsidRPr="00662906" w:rsidRDefault="00F3630F" w:rsidP="005C5546">
            <w:pPr>
              <w:pStyle w:val="ListParagraph"/>
              <w:numPr>
                <w:ilvl w:val="0"/>
                <w:numId w:val="68"/>
              </w:numPr>
              <w:spacing w:before="40" w:after="40"/>
              <w:ind w:left="367"/>
              <w:jc w:val="left"/>
              <w:rPr>
                <w:rFonts w:eastAsia="Arial" w:cs="Arial"/>
                <w:color w:val="394A58"/>
                <w:sz w:val="16"/>
                <w:szCs w:val="16"/>
              </w:rPr>
            </w:pPr>
            <w:r w:rsidRPr="00662906">
              <w:rPr>
                <w:rFonts w:eastAsia="Arial" w:cs="Arial"/>
                <w:color w:val="394A58"/>
                <w:sz w:val="16"/>
                <w:szCs w:val="16"/>
              </w:rPr>
              <w:t>Perform cost-benefit analyses of T&amp;D innovations.</w:t>
            </w:r>
          </w:p>
          <w:p w14:paraId="63795E65" w14:textId="727906D5" w:rsidR="00F3630F" w:rsidRPr="00662906" w:rsidRDefault="00F3630F" w:rsidP="005C5546">
            <w:pPr>
              <w:pStyle w:val="ListParagraph"/>
              <w:numPr>
                <w:ilvl w:val="0"/>
                <w:numId w:val="68"/>
              </w:numPr>
              <w:spacing w:before="40" w:after="40"/>
              <w:ind w:left="367"/>
              <w:jc w:val="left"/>
              <w:rPr>
                <w:rFonts w:eastAsia="Arial" w:cs="Arial"/>
                <w:color w:val="394A58"/>
                <w:sz w:val="16"/>
                <w:szCs w:val="16"/>
              </w:rPr>
            </w:pPr>
            <w:r w:rsidRPr="00662906">
              <w:rPr>
                <w:rFonts w:eastAsia="Arial" w:cs="Arial"/>
                <w:color w:val="394A58"/>
                <w:sz w:val="16"/>
                <w:szCs w:val="16"/>
              </w:rPr>
              <w:t>Disseminate findings to MS, regulators, and investors.</w:t>
            </w:r>
          </w:p>
        </w:tc>
        <w:tc>
          <w:tcPr>
            <w:tcW w:w="1276" w:type="dxa"/>
            <w:shd w:val="clear" w:color="auto" w:fill="FFFFFF"/>
            <w:tcMar>
              <w:left w:w="57" w:type="dxa"/>
              <w:right w:w="57" w:type="dxa"/>
            </w:tcMar>
          </w:tcPr>
          <w:p w14:paraId="42272D2C" w14:textId="583E5669" w:rsidR="00F3630F" w:rsidRPr="00662906" w:rsidRDefault="00F3630F" w:rsidP="00F3630F">
            <w:pPr>
              <w:spacing w:before="40" w:after="40"/>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73FCD1B7" w14:textId="319F4CFE" w:rsidR="00F3630F" w:rsidRPr="00662906" w:rsidRDefault="00F3630F" w:rsidP="00F3630F">
            <w:pPr>
              <w:spacing w:before="40" w:after="40"/>
              <w:rPr>
                <w:rFonts w:eastAsia="Arial" w:cs="Arial"/>
                <w:color w:val="53575A"/>
                <w:sz w:val="16"/>
                <w:szCs w:val="16"/>
              </w:rPr>
            </w:pPr>
            <w:r w:rsidRPr="00662906">
              <w:rPr>
                <w:rFonts w:cs="Arial"/>
                <w:sz w:val="16"/>
                <w:szCs w:val="16"/>
              </w:rPr>
              <w:t>AFREC/AU-</w:t>
            </w:r>
            <w:r w:rsidR="00AB79DA" w:rsidRPr="00662906">
              <w:rPr>
                <w:rFonts w:cs="Arial"/>
                <w:sz w:val="16"/>
                <w:szCs w:val="16"/>
              </w:rPr>
              <w:t>DIE</w:t>
            </w:r>
          </w:p>
        </w:tc>
        <w:tc>
          <w:tcPr>
            <w:tcW w:w="1198" w:type="dxa"/>
            <w:shd w:val="clear" w:color="auto" w:fill="FFFFFF"/>
            <w:tcMar>
              <w:left w:w="57" w:type="dxa"/>
              <w:right w:w="57" w:type="dxa"/>
            </w:tcMar>
          </w:tcPr>
          <w:p w14:paraId="052FAE9E" w14:textId="3AD0B930" w:rsidR="00F3630F" w:rsidRPr="00662906" w:rsidRDefault="00F3630F" w:rsidP="00F3630F">
            <w:pPr>
              <w:spacing w:before="40" w:after="40"/>
              <w:rPr>
                <w:rFonts w:cs="Arial"/>
                <w:sz w:val="16"/>
                <w:szCs w:val="16"/>
              </w:rPr>
            </w:pPr>
            <w:r w:rsidRPr="00662906">
              <w:rPr>
                <w:rFonts w:cs="Arial"/>
                <w:sz w:val="16"/>
                <w:szCs w:val="16"/>
              </w:rPr>
              <w:t xml:space="preserve">African Forum for Utility Regulators, </w:t>
            </w:r>
            <w:r w:rsidR="007505D7" w:rsidRPr="00662906">
              <w:rPr>
                <w:rFonts w:cs="Arial"/>
                <w:sz w:val="16"/>
                <w:szCs w:val="16"/>
              </w:rPr>
              <w:t>Association of Power Utilities in Africa (</w:t>
            </w:r>
            <w:r w:rsidR="00C45175" w:rsidRPr="00662906">
              <w:rPr>
                <w:rFonts w:cs="Arial"/>
                <w:sz w:val="16"/>
                <w:szCs w:val="16"/>
              </w:rPr>
              <w:t>APUA</w:t>
            </w:r>
            <w:r w:rsidR="007505D7" w:rsidRPr="00662906">
              <w:rPr>
                <w:rFonts w:cs="Arial"/>
                <w:sz w:val="16"/>
                <w:szCs w:val="16"/>
              </w:rPr>
              <w:t>)</w:t>
            </w:r>
            <w:r w:rsidR="00C45175" w:rsidRPr="00662906">
              <w:rPr>
                <w:rFonts w:cs="Arial"/>
                <w:sz w:val="16"/>
                <w:szCs w:val="16"/>
              </w:rPr>
              <w:t xml:space="preserve">, </w:t>
            </w:r>
            <w:r w:rsidRPr="00662906">
              <w:rPr>
                <w:rFonts w:cs="Arial"/>
                <w:sz w:val="16"/>
                <w:szCs w:val="16"/>
              </w:rPr>
              <w:t>Power Pools, RCREEES, Ministries in charge of Energy</w:t>
            </w:r>
          </w:p>
          <w:p w14:paraId="4506466D" w14:textId="7F2C0761" w:rsidR="00C45175" w:rsidRPr="00662906" w:rsidRDefault="00C45175" w:rsidP="00F3630F">
            <w:pPr>
              <w:spacing w:before="40" w:after="40"/>
              <w:rPr>
                <w:rFonts w:eastAsia="Arial" w:cs="Arial"/>
                <w:color w:val="53575A"/>
                <w:sz w:val="16"/>
                <w:szCs w:val="16"/>
              </w:rPr>
            </w:pPr>
            <w:r w:rsidRPr="00662906">
              <w:rPr>
                <w:rFonts w:cs="Arial"/>
                <w:sz w:val="16"/>
                <w:szCs w:val="16"/>
              </w:rPr>
              <w:t>National Utilities</w:t>
            </w:r>
          </w:p>
        </w:tc>
        <w:tc>
          <w:tcPr>
            <w:tcW w:w="851" w:type="dxa"/>
            <w:shd w:val="clear" w:color="auto" w:fill="FFFFFF"/>
            <w:tcMar>
              <w:left w:w="57" w:type="dxa"/>
              <w:right w:w="57" w:type="dxa"/>
            </w:tcMar>
          </w:tcPr>
          <w:p w14:paraId="1CC8A1A3" w14:textId="29EEF26D" w:rsidR="00F3630F" w:rsidRPr="00662906" w:rsidRDefault="00F3630F" w:rsidP="00F3630F">
            <w:pPr>
              <w:spacing w:before="40" w:after="40"/>
              <w:rPr>
                <w:rFonts w:eastAsia="Arial" w:cs="Arial"/>
                <w:color w:val="53575A"/>
                <w:sz w:val="16"/>
                <w:szCs w:val="16"/>
              </w:rPr>
            </w:pPr>
            <w:r w:rsidRPr="00662906">
              <w:rPr>
                <w:rFonts w:cs="Arial"/>
                <w:sz w:val="16"/>
                <w:szCs w:val="16"/>
              </w:rPr>
              <w:t>Short to Long Term</w:t>
            </w:r>
          </w:p>
        </w:tc>
        <w:tc>
          <w:tcPr>
            <w:tcW w:w="1842" w:type="dxa"/>
            <w:shd w:val="clear" w:color="auto" w:fill="FFFFFF"/>
          </w:tcPr>
          <w:p w14:paraId="23E1FFB9" w14:textId="233137A3"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 xml:space="preserve">R&amp;D studies on advanced T&amp;D solutions </w:t>
            </w:r>
          </w:p>
          <w:p w14:paraId="301C2EDB" w14:textId="745D3A48"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Pilot project</w:t>
            </w:r>
            <w:r w:rsidR="00C45175" w:rsidRPr="00662906">
              <w:rPr>
                <w:rFonts w:eastAsia="Arial" w:cs="Arial"/>
                <w:color w:val="53575A"/>
                <w:sz w:val="16"/>
                <w:szCs w:val="16"/>
              </w:rPr>
              <w:t xml:space="preserve">s undertaken and </w:t>
            </w:r>
            <w:r w:rsidRPr="00662906">
              <w:rPr>
                <w:rFonts w:eastAsia="Arial" w:cs="Arial"/>
                <w:color w:val="53575A"/>
                <w:sz w:val="16"/>
                <w:szCs w:val="16"/>
              </w:rPr>
              <w:t xml:space="preserve">outcomes </w:t>
            </w:r>
          </w:p>
          <w:p w14:paraId="5D195A24" w14:textId="042EAA0B" w:rsidR="00F3630F" w:rsidRPr="00662906" w:rsidRDefault="00F3630F" w:rsidP="005C5546">
            <w:pPr>
              <w:pStyle w:val="ListParagraph"/>
              <w:numPr>
                <w:ilvl w:val="0"/>
                <w:numId w:val="63"/>
              </w:numPr>
              <w:spacing w:before="40" w:after="40"/>
              <w:ind w:left="176" w:hanging="218"/>
              <w:jc w:val="left"/>
              <w:rPr>
                <w:rFonts w:eastAsia="Arial" w:cs="Arial"/>
                <w:color w:val="53575A"/>
                <w:sz w:val="16"/>
                <w:szCs w:val="16"/>
              </w:rPr>
            </w:pPr>
            <w:r w:rsidRPr="00662906">
              <w:rPr>
                <w:rFonts w:eastAsia="Arial" w:cs="Arial"/>
                <w:color w:val="53575A"/>
                <w:sz w:val="16"/>
                <w:szCs w:val="16"/>
              </w:rPr>
              <w:t>Policy briefs or guidelines for</w:t>
            </w:r>
            <w:r w:rsidR="00C45175" w:rsidRPr="00662906">
              <w:rPr>
                <w:rFonts w:eastAsia="Arial" w:cs="Arial"/>
                <w:color w:val="53575A"/>
                <w:sz w:val="16"/>
                <w:szCs w:val="16"/>
              </w:rPr>
              <w:t xml:space="preserve"> knowledge dissemination and</w:t>
            </w:r>
            <w:r w:rsidRPr="00662906">
              <w:rPr>
                <w:rFonts w:eastAsia="Arial" w:cs="Arial"/>
                <w:color w:val="53575A"/>
                <w:sz w:val="16"/>
                <w:szCs w:val="16"/>
              </w:rPr>
              <w:t xml:space="preserve"> technology adoption</w:t>
            </w:r>
          </w:p>
        </w:tc>
        <w:tc>
          <w:tcPr>
            <w:tcW w:w="1701" w:type="dxa"/>
            <w:shd w:val="clear" w:color="auto" w:fill="FFFFFF"/>
          </w:tcPr>
          <w:p w14:paraId="30A403CD" w14:textId="591C3E7B" w:rsidR="00F3630F" w:rsidRPr="00662906" w:rsidRDefault="00F3630F" w:rsidP="00F3630F">
            <w:pPr>
              <w:spacing w:before="40" w:after="40"/>
              <w:rPr>
                <w:rFonts w:eastAsia="Arial" w:cs="Arial"/>
                <w:color w:val="53575A"/>
                <w:sz w:val="16"/>
                <w:szCs w:val="16"/>
              </w:rPr>
            </w:pPr>
            <w:r w:rsidRPr="00662906">
              <w:rPr>
                <w:color w:val="53575A"/>
                <w:sz w:val="16"/>
                <w:szCs w:val="16"/>
              </w:rPr>
              <w:t xml:space="preserve">Faster adoption of innovative, resilient network technologies across Africa, reducing technical and commercial losses and </w:t>
            </w:r>
            <w:r w:rsidR="00614A2F" w:rsidRPr="00662906">
              <w:rPr>
                <w:color w:val="53575A"/>
                <w:sz w:val="16"/>
                <w:szCs w:val="16"/>
              </w:rPr>
              <w:t>improving</w:t>
            </w:r>
            <w:r w:rsidRPr="00662906">
              <w:rPr>
                <w:color w:val="53575A"/>
                <w:sz w:val="16"/>
                <w:szCs w:val="16"/>
              </w:rPr>
              <w:t xml:space="preserve"> </w:t>
            </w:r>
            <w:r w:rsidRPr="00662906">
              <w:rPr>
                <w:sz w:val="16"/>
                <w:szCs w:val="16"/>
              </w:rPr>
              <w:t>reliability</w:t>
            </w:r>
            <w:r w:rsidR="00C45175" w:rsidRPr="00662906">
              <w:rPr>
                <w:sz w:val="16"/>
                <w:szCs w:val="16"/>
              </w:rPr>
              <w:t xml:space="preserve"> of supply</w:t>
            </w:r>
            <w:r w:rsidR="00614A2F" w:rsidRPr="00662906">
              <w:rPr>
                <w:sz w:val="16"/>
                <w:szCs w:val="16"/>
              </w:rPr>
              <w:t>.</w:t>
            </w:r>
          </w:p>
        </w:tc>
        <w:tc>
          <w:tcPr>
            <w:tcW w:w="1843" w:type="dxa"/>
            <w:shd w:val="clear" w:color="auto" w:fill="FFFFFF"/>
          </w:tcPr>
          <w:p w14:paraId="32687B4A" w14:textId="7675E873" w:rsidR="00F3630F" w:rsidRPr="00662906" w:rsidRDefault="00F3630F" w:rsidP="005C5546">
            <w:pPr>
              <w:pStyle w:val="ListParagraph"/>
              <w:numPr>
                <w:ilvl w:val="0"/>
                <w:numId w:val="63"/>
              </w:numPr>
              <w:spacing w:before="40" w:after="40"/>
              <w:ind w:left="181" w:hanging="181"/>
              <w:jc w:val="left"/>
              <w:rPr>
                <w:rFonts w:eastAsia="Arial" w:cs="Arial"/>
                <w:color w:val="53575A"/>
                <w:sz w:val="16"/>
                <w:szCs w:val="16"/>
              </w:rPr>
            </w:pPr>
            <w:r w:rsidRPr="00662906">
              <w:rPr>
                <w:sz w:val="16"/>
                <w:szCs w:val="16"/>
              </w:rPr>
              <w:t xml:space="preserve">T&amp;D </w:t>
            </w:r>
            <w:r w:rsidR="00C45175" w:rsidRPr="00662906">
              <w:rPr>
                <w:sz w:val="16"/>
                <w:szCs w:val="16"/>
              </w:rPr>
              <w:t xml:space="preserve">innovative technology </w:t>
            </w:r>
            <w:r w:rsidR="00A36E63" w:rsidRPr="00662906">
              <w:rPr>
                <w:sz w:val="16"/>
                <w:szCs w:val="16"/>
              </w:rPr>
              <w:t>data</w:t>
            </w:r>
            <w:r w:rsidR="00C45175" w:rsidRPr="00662906">
              <w:rPr>
                <w:sz w:val="16"/>
                <w:szCs w:val="16"/>
              </w:rPr>
              <w:t xml:space="preserve">base </w:t>
            </w:r>
            <w:r w:rsidR="008D77C3" w:rsidRPr="00662906">
              <w:rPr>
                <w:sz w:val="16"/>
                <w:szCs w:val="16"/>
              </w:rPr>
              <w:t>established</w:t>
            </w:r>
          </w:p>
        </w:tc>
      </w:tr>
    </w:tbl>
    <w:p w14:paraId="4FCC4393" w14:textId="77777777" w:rsidR="004833A3" w:rsidRPr="00662906" w:rsidRDefault="004833A3" w:rsidP="004833A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D031B20" w14:textId="77777777" w:rsidR="00D41C50" w:rsidRPr="00662906" w:rsidRDefault="00D41C50" w:rsidP="006250C4">
      <w:pPr>
        <w:pStyle w:val="Heading2"/>
        <w:sectPr w:rsidR="00D41C50" w:rsidRPr="00662906" w:rsidSect="005852FE">
          <w:pgSz w:w="16838" w:h="11906" w:orient="landscape"/>
          <w:pgMar w:top="1440" w:right="1440" w:bottom="1440" w:left="1440" w:header="720" w:footer="720" w:gutter="0"/>
          <w:cols w:space="720"/>
          <w:titlePg/>
          <w:docGrid w:linePitch="360"/>
        </w:sectPr>
      </w:pPr>
    </w:p>
    <w:p w14:paraId="2BCDBEBC" w14:textId="51E9350E" w:rsidR="008D3F77" w:rsidRPr="00662906" w:rsidRDefault="008D3F77" w:rsidP="006250C4">
      <w:pPr>
        <w:pStyle w:val="Heading2"/>
      </w:pPr>
      <w:bookmarkStart w:id="608" w:name="_Toc197433857"/>
      <w:r w:rsidRPr="00662906">
        <w:lastRenderedPageBreak/>
        <w:t>Transport</w:t>
      </w:r>
      <w:bookmarkEnd w:id="608"/>
      <w:r w:rsidRPr="00662906">
        <w:t xml:space="preserve"> </w:t>
      </w:r>
      <w:bookmarkEnd w:id="600"/>
      <w:bookmarkEnd w:id="601"/>
      <w:bookmarkEnd w:id="602"/>
      <w:bookmarkEnd w:id="603"/>
      <w:bookmarkEnd w:id="604"/>
      <w:bookmarkEnd w:id="605"/>
      <w:bookmarkEnd w:id="606"/>
      <w:bookmarkEnd w:id="607"/>
    </w:p>
    <w:p w14:paraId="53723AD0" w14:textId="516B7899" w:rsidR="0092331F" w:rsidRPr="00662906" w:rsidRDefault="3D90041B" w:rsidP="0098698D">
      <w:r w:rsidRPr="00662906">
        <w:t>For the ETSAP, t</w:t>
      </w:r>
      <w:r w:rsidR="4ED2DEB4" w:rsidRPr="00662906">
        <w:t xml:space="preserve">here </w:t>
      </w:r>
      <w:r w:rsidR="00F346CC" w:rsidRPr="00662906">
        <w:t>is a</w:t>
      </w:r>
      <w:r w:rsidR="4ED2DEB4" w:rsidRPr="00662906">
        <w:t xml:space="preserve"> n</w:t>
      </w:r>
      <w:r w:rsidR="24B1F87D" w:rsidRPr="00662906">
        <w:t xml:space="preserve">eed for a strategic reorientation towards more sustainable and resilient energy </w:t>
      </w:r>
      <w:r w:rsidR="4ED2DEB4" w:rsidRPr="00662906">
        <w:t xml:space="preserve">efficient </w:t>
      </w:r>
      <w:r w:rsidR="24B1F87D" w:rsidRPr="00662906">
        <w:t>consumption</w:t>
      </w:r>
      <w:r w:rsidR="4ED2DEB4" w:rsidRPr="00662906">
        <w:t xml:space="preserve"> in the transport subsectors of road, rail, aviation</w:t>
      </w:r>
      <w:r w:rsidR="1601E61C" w:rsidRPr="00662906">
        <w:t xml:space="preserve"> and</w:t>
      </w:r>
      <w:r w:rsidR="4ED2DEB4" w:rsidRPr="00662906">
        <w:t xml:space="preserve"> navigation. The most fuel intensive subsector is the road </w:t>
      </w:r>
      <w:r w:rsidR="77CD2EDF" w:rsidRPr="00662906">
        <w:t>sub-</w:t>
      </w:r>
      <w:r w:rsidR="423191B0" w:rsidRPr="00662906">
        <w:t>sector,</w:t>
      </w:r>
      <w:r w:rsidR="4ED2DEB4" w:rsidRPr="00662906">
        <w:t xml:space="preserve"> and this</w:t>
      </w:r>
      <w:r w:rsidR="0092331F" w:rsidRPr="00662906">
        <w:t xml:space="preserve"> has been the</w:t>
      </w:r>
      <w:r w:rsidR="4ED2DEB4" w:rsidRPr="00662906">
        <w:t xml:space="preserve"> main target for decarbonization for the transport sector</w:t>
      </w:r>
      <w:r w:rsidR="77CD2EDF" w:rsidRPr="00662906">
        <w:t xml:space="preserve"> in the ETSAP</w:t>
      </w:r>
      <w:r w:rsidR="000873C3" w:rsidRPr="00662906">
        <w:t xml:space="preserve">. </w:t>
      </w:r>
      <w:r w:rsidR="008D77C3" w:rsidRPr="00662906">
        <w:t>Options for decarbonization</w:t>
      </w:r>
      <w:r w:rsidR="000873C3" w:rsidRPr="00662906">
        <w:t xml:space="preserve"> are also realized in the promotion of</w:t>
      </w:r>
      <w:r w:rsidR="0092331F" w:rsidRPr="00662906">
        <w:t xml:space="preserve"> Sustainable Aviation Fuels</w:t>
      </w:r>
      <w:r w:rsidR="0092331F" w:rsidRPr="00662906">
        <w:rPr>
          <w:rStyle w:val="FootnoteReference"/>
        </w:rPr>
        <w:footnoteReference w:id="36"/>
      </w:r>
      <w:r w:rsidR="0092331F" w:rsidRPr="00662906">
        <w:t xml:space="preserve"> and other potential for deployment of hydrogen</w:t>
      </w:r>
      <w:r w:rsidR="000873C3" w:rsidRPr="00662906">
        <w:t xml:space="preserve"> and such cleaner fuels</w:t>
      </w:r>
      <w:r w:rsidR="0092331F" w:rsidRPr="00662906">
        <w:t xml:space="preserve"> in maritime transport.</w:t>
      </w:r>
      <w:r w:rsidR="00422224" w:rsidRPr="00662906">
        <w:t xml:space="preserve"> </w:t>
      </w:r>
      <w:r w:rsidR="008D77C3" w:rsidRPr="00662906">
        <w:t>Actions to enhance these efforts have been considered.</w:t>
      </w:r>
    </w:p>
    <w:p w14:paraId="204A4B83" w14:textId="429D2813" w:rsidR="008D3F77" w:rsidRPr="00662906" w:rsidRDefault="03AF7FE4" w:rsidP="008D3F77">
      <w:r w:rsidRPr="00662906">
        <w:t xml:space="preserve">Whilst there have been country-specific </w:t>
      </w:r>
      <w:r w:rsidR="109BF32D" w:rsidRPr="00662906">
        <w:t xml:space="preserve">initiatives relating to electric mobility within the continent, these have been </w:t>
      </w:r>
      <w:r w:rsidR="1D505869" w:rsidRPr="00662906">
        <w:t>fragmented and there is limited evidence to suggest a strategic fit</w:t>
      </w:r>
      <w:r w:rsidR="3337CF6D" w:rsidRPr="00662906">
        <w:t xml:space="preserve"> at</w:t>
      </w:r>
      <w:r w:rsidR="1D505869" w:rsidRPr="00662906">
        <w:t xml:space="preserve"> regional and continental level.</w:t>
      </w:r>
      <w:r w:rsidR="0DEBAA7B" w:rsidRPr="00662906">
        <w:t xml:space="preserve"> However, institutions such as the Africa E-Mobility Alliance (AfEMA) connects stakeholders in electric mobility ecosystems across Africa.</w:t>
      </w:r>
      <w:r w:rsidR="75D0FF69" w:rsidRPr="00662906">
        <w:t xml:space="preserve"> </w:t>
      </w:r>
      <w:r w:rsidR="0DEBAA7B" w:rsidRPr="00662906">
        <w:t xml:space="preserve">AfEMA actively drives awareness, activates markets, and catalyses advocacy efforts to transform the transportation landscape into a </w:t>
      </w:r>
      <w:r w:rsidR="0005404D" w:rsidRPr="00662906">
        <w:t>zero-emission</w:t>
      </w:r>
      <w:r w:rsidR="0DEBAA7B" w:rsidRPr="00662906">
        <w:t xml:space="preserve"> sector. </w:t>
      </w:r>
      <w:r w:rsidR="44DCD050" w:rsidRPr="00662906">
        <w:t>The aspiration is</w:t>
      </w:r>
      <w:r w:rsidR="0DEBAA7B" w:rsidRPr="00662906">
        <w:t xml:space="preserve"> that by 2030, 30% of all vehicles sold in Africa will be Zero Emission Vehicles (ZEVs). </w:t>
      </w:r>
      <w:r w:rsidR="7FDD862A" w:rsidRPr="00662906">
        <w:t>Their</w:t>
      </w:r>
      <w:r w:rsidR="0DEBAA7B" w:rsidRPr="00662906">
        <w:t xml:space="preserve"> work informs and accelerates that </w:t>
      </w:r>
      <w:r w:rsidR="006D6AE3" w:rsidRPr="00662906">
        <w:t>transition. The</w:t>
      </w:r>
      <w:r w:rsidR="008D3F77" w:rsidRPr="00662906">
        <w:t xml:space="preserve"> integrated planning of </w:t>
      </w:r>
      <w:r w:rsidR="009D5324" w:rsidRPr="00662906">
        <w:t xml:space="preserve">electrification </w:t>
      </w:r>
      <w:r w:rsidR="008D3F77" w:rsidRPr="00662906">
        <w:t xml:space="preserve">solutions in rural and peri-urban areas </w:t>
      </w:r>
      <w:r w:rsidR="009D5324" w:rsidRPr="00662906">
        <w:t>can</w:t>
      </w:r>
      <w:r w:rsidR="008D3F77" w:rsidRPr="00662906">
        <w:t xml:space="preserve"> support the transportation through </w:t>
      </w:r>
      <w:r w:rsidR="003A7F6B" w:rsidRPr="00662906">
        <w:t>s</w:t>
      </w:r>
      <w:r w:rsidR="008D3F77" w:rsidRPr="00662906">
        <w:t>olar</w:t>
      </w:r>
      <w:r w:rsidR="00C95607" w:rsidRPr="00662906">
        <w:t xml:space="preserve"> and wind</w:t>
      </w:r>
      <w:r w:rsidR="008D3F77" w:rsidRPr="00662906">
        <w:t>-powered charging stations for electric two-wheelers, three-wheelers, and small electric cars</w:t>
      </w:r>
      <w:r w:rsidR="009D5324" w:rsidRPr="00662906">
        <w:t>, hence thriving</w:t>
      </w:r>
      <w:r w:rsidR="008D3F77" w:rsidRPr="00662906">
        <w:t xml:space="preserve"> mobility in </w:t>
      </w:r>
      <w:r w:rsidR="009D5324" w:rsidRPr="00662906">
        <w:t xml:space="preserve">even </w:t>
      </w:r>
      <w:r w:rsidR="008D3F77" w:rsidRPr="00662906">
        <w:t xml:space="preserve">areas without robust grid </w:t>
      </w:r>
      <w:r w:rsidR="002B2FDE" w:rsidRPr="00662906">
        <w:t>infrastructure. The</w:t>
      </w:r>
      <w:r w:rsidR="008D3F77" w:rsidRPr="00662906">
        <w:t xml:space="preserve"> planning for such </w:t>
      </w:r>
      <w:r w:rsidR="009D5324" w:rsidRPr="00662906">
        <w:t>electrification solutions</w:t>
      </w:r>
      <w:r w:rsidR="008D3F77" w:rsidRPr="00662906">
        <w:t xml:space="preserve"> will require cross-sectoral planning with the </w:t>
      </w:r>
      <w:r w:rsidR="009D5324" w:rsidRPr="00662906">
        <w:t>electricity subsector.</w:t>
      </w:r>
    </w:p>
    <w:p w14:paraId="5D3F98A2" w14:textId="7D71A915" w:rsidR="008D3F77" w:rsidRPr="00662906" w:rsidRDefault="008D3F77" w:rsidP="008D3F77">
      <w:r w:rsidRPr="00662906">
        <w:t>The development of smart transportation systems</w:t>
      </w:r>
      <w:r w:rsidR="00497CD9" w:rsidRPr="00662906">
        <w:t xml:space="preserve"> is crucial</w:t>
      </w:r>
      <w:r w:rsidRPr="00662906">
        <w:t>. Leveraging digital technologies for better traffic management and improved efficiency of transport operations can significantly reduce energy consumption and traffic congestion. Real-time data collection and analytics can optimize routes, reduce idling times, and enhance the overall efficiency of public and freight transport systems.</w:t>
      </w:r>
    </w:p>
    <w:p w14:paraId="6BCF79F5" w14:textId="77777777" w:rsidR="008D3F77" w:rsidRPr="00662906" w:rsidRDefault="008D3F77" w:rsidP="008D3F77">
      <w:r w:rsidRPr="00662906">
        <w:t>The formalization and support for the informal transport sector also hold substantial potential. By integrating informal transport modes into official urban planning and providing support for energy-efficient upgrades, governments can improve the quality and sustainability of public transport services. This approach not only enhances the livelihoods of those working within the informal transport sector but also increases access to clean, efficient, and affordable transport for the urban poor.</w:t>
      </w:r>
    </w:p>
    <w:p w14:paraId="1186968E" w14:textId="22173ABE" w:rsidR="008D3F77" w:rsidRPr="00662906" w:rsidRDefault="008D3F77" w:rsidP="008D3F77">
      <w:r w:rsidRPr="00662906">
        <w:t>Integrat</w:t>
      </w:r>
      <w:r w:rsidR="0092331F" w:rsidRPr="00662906">
        <w:t>ing</w:t>
      </w:r>
      <w:r w:rsidRPr="00662906">
        <w:t xml:space="preserve"> urban planning and development of transport infrastructures with industrial and commercial hubs, urban planners can significantly reduce travel distances, thereby minimizing energy consumption and enhancing overall efficiency. This approach not only facilitates smoother and faster movement of goods and people but also supports economic growth by connecting labour markets more effectively with industrial centres. Effective integration can lead to substantial reductions in urban congestion, lower </w:t>
      </w:r>
      <w:r w:rsidR="00E42057" w:rsidRPr="00662906">
        <w:t xml:space="preserve">carbon </w:t>
      </w:r>
      <w:r w:rsidR="00BE6759" w:rsidRPr="00662906">
        <w:t>emissions, pollutants</w:t>
      </w:r>
      <w:r w:rsidRPr="00662906">
        <w:t xml:space="preserve"> and a streamlined approach to urban development, making cities </w:t>
      </w:r>
      <w:r w:rsidR="002B2FDE" w:rsidRPr="00662906">
        <w:t>more sustainable and smarter</w:t>
      </w:r>
      <w:r w:rsidRPr="00662906">
        <w:t>.</w:t>
      </w:r>
    </w:p>
    <w:p w14:paraId="734A844C" w14:textId="4596D8EE" w:rsidR="008D3F77" w:rsidRPr="00662906" w:rsidDel="00377DE1" w:rsidRDefault="009D5324" w:rsidP="008D3F77">
      <w:r w:rsidRPr="00662906">
        <w:t>At regional level</w:t>
      </w:r>
      <w:r w:rsidR="008D3F77" w:rsidRPr="00662906">
        <w:t xml:space="preserve">, fostering regional collaboration to harmonize </w:t>
      </w:r>
      <w:r w:rsidR="0092331F" w:rsidRPr="00662906">
        <w:t xml:space="preserve">vehicle, fuel and driving </w:t>
      </w:r>
      <w:r w:rsidR="008D3F77" w:rsidRPr="00662906">
        <w:t xml:space="preserve">standards and policies across </w:t>
      </w:r>
      <w:r w:rsidR="00FF7A9F" w:rsidRPr="00662906">
        <w:t>AU Member States</w:t>
      </w:r>
      <w:r w:rsidR="008D3F77" w:rsidRPr="00662906">
        <w:t xml:space="preserve"> can accelerate the adoption of clean transportation technologies. Such cooperation can facilitate the cross-border trade of energy-efficient vehicles and renewable energy technologies, creating a larger, more competitive market.</w:t>
      </w:r>
    </w:p>
    <w:p w14:paraId="0CC25917" w14:textId="791FD162" w:rsidR="008D3F77" w:rsidRPr="00662906" w:rsidRDefault="00E42057" w:rsidP="008D3F77">
      <w:r w:rsidRPr="00662906">
        <w:t>Whilst some traction is realized in some</w:t>
      </w:r>
      <w:r w:rsidR="008D3F77" w:rsidRPr="00662906">
        <w:t xml:space="preserve"> </w:t>
      </w:r>
      <w:r w:rsidR="009D5324" w:rsidRPr="00662906">
        <w:t xml:space="preserve">of </w:t>
      </w:r>
      <w:r w:rsidRPr="00662906">
        <w:t xml:space="preserve">these energy transition solutions, there are some constraints that need to be resolved </w:t>
      </w:r>
      <w:r w:rsidR="008D3F77" w:rsidRPr="00662906">
        <w:t xml:space="preserve">including the current high cost of </w:t>
      </w:r>
      <w:r w:rsidRPr="00662906">
        <w:t>N</w:t>
      </w:r>
      <w:r w:rsidR="008D3F77" w:rsidRPr="00662906">
        <w:t>EVs, inadequate charging infrastructure, and the lack of robust policy frameworks to support such a shift. However, there is an acknowledged potential for growth in this area, especially with the global push towards reducing carbon emissions and enhancing energy efficiency in transportation. Africa is also endowed with the much-needed strategic minerals that are used in manufacturing of the batteries for EVs.</w:t>
      </w:r>
    </w:p>
    <w:p w14:paraId="6548EC98" w14:textId="1759D8F9" w:rsidR="00E42057" w:rsidRPr="00662906" w:rsidRDefault="723765B7" w:rsidP="00E42057">
      <w:r w:rsidRPr="00662906">
        <w:t>To that end the devised strategic objective for the transport sector under this Energy Transition is pr</w:t>
      </w:r>
      <w:r w:rsidR="0092331F" w:rsidRPr="00662906">
        <w:t>esented</w:t>
      </w:r>
      <w:r w:rsidRPr="00662906">
        <w:t xml:space="preserve"> as to “</w:t>
      </w:r>
      <w:r w:rsidRPr="00662906">
        <w:rPr>
          <w:b/>
          <w:bCs/>
        </w:rPr>
        <w:t>Advance Sustainable Transport Solutions</w:t>
      </w:r>
      <w:r w:rsidR="233E60FE" w:rsidRPr="00662906">
        <w:rPr>
          <w:b/>
          <w:bCs/>
        </w:rPr>
        <w:t xml:space="preserve"> in Africa</w:t>
      </w:r>
      <w:r w:rsidRPr="00662906">
        <w:rPr>
          <w:b/>
          <w:bCs/>
        </w:rPr>
        <w:t>”.</w:t>
      </w:r>
      <w:r w:rsidRPr="00662906">
        <w:t xml:space="preserve"> </w:t>
      </w:r>
      <w:r w:rsidR="233E60FE" w:rsidRPr="00662906">
        <w:t xml:space="preserve">The objective </w:t>
      </w:r>
      <w:r w:rsidR="0CE055AE" w:rsidRPr="00662906">
        <w:t>targets</w:t>
      </w:r>
      <w:r w:rsidR="227110EA" w:rsidRPr="00662906">
        <w:t xml:space="preserve"> the transformation of the transportation sector with a focus on reducing emissions, enhancing public transit, and integrating </w:t>
      </w:r>
      <w:r w:rsidR="14D47874" w:rsidRPr="00662906">
        <w:t xml:space="preserve">clean alternative transport energy sources/fuels that include </w:t>
      </w:r>
      <w:r w:rsidR="227110EA" w:rsidRPr="00662906">
        <w:t>electric</w:t>
      </w:r>
      <w:r w:rsidR="7B4E95C1" w:rsidRPr="00662906">
        <w:t>,</w:t>
      </w:r>
      <w:r w:rsidR="506732DC" w:rsidRPr="00662906">
        <w:t xml:space="preserve"> </w:t>
      </w:r>
      <w:r w:rsidR="227110EA" w:rsidRPr="00662906">
        <w:t>hydrogen</w:t>
      </w:r>
      <w:r w:rsidR="783FC6B3" w:rsidRPr="00662906">
        <w:t xml:space="preserve">, </w:t>
      </w:r>
      <w:r w:rsidR="783FC6B3" w:rsidRPr="00662906">
        <w:lastRenderedPageBreak/>
        <w:t>ammonia</w:t>
      </w:r>
      <w:r w:rsidR="227110EA" w:rsidRPr="00662906">
        <w:t xml:space="preserve"> fuel</w:t>
      </w:r>
      <w:r w:rsidR="5FF196CC" w:rsidRPr="00662906">
        <w:t xml:space="preserve">, biofuel </w:t>
      </w:r>
      <w:r w:rsidR="227110EA" w:rsidRPr="00662906">
        <w:t>solutions</w:t>
      </w:r>
      <w:r w:rsidR="0092331F" w:rsidRPr="00662906">
        <w:t xml:space="preserve"> and other still emerging alternatives</w:t>
      </w:r>
      <w:r w:rsidR="227110EA" w:rsidRPr="00662906">
        <w:t>.</w:t>
      </w:r>
      <w:r w:rsidR="233E60FE" w:rsidRPr="00662906">
        <w:t xml:space="preserve"> The related strategic interventions to address susta</w:t>
      </w:r>
      <w:r w:rsidR="154393AE" w:rsidRPr="00662906">
        <w:t>ina</w:t>
      </w:r>
      <w:r w:rsidR="233E60FE" w:rsidRPr="00662906">
        <w:t>ble energy solutions and the decarbonization effort in the transport sector are:</w:t>
      </w:r>
    </w:p>
    <w:p w14:paraId="6D78C624" w14:textId="664A43E6" w:rsidR="00E42057" w:rsidRPr="00662906" w:rsidRDefault="00E42057" w:rsidP="00D03544">
      <w:r w:rsidRPr="00662906">
        <w:rPr>
          <w:b/>
          <w:bCs/>
        </w:rPr>
        <w:t>Strategic Intervention 1. Promoting introduction of various NEVs and clean fuels in various sub sectors of the transport sector</w:t>
      </w:r>
    </w:p>
    <w:p w14:paraId="638C9B62" w14:textId="3063048C" w:rsidR="00822E13" w:rsidRPr="00662906" w:rsidRDefault="00E42057" w:rsidP="00675F08">
      <w:r w:rsidRPr="00662906">
        <w:rPr>
          <w:b/>
          <w:bCs/>
          <w:i/>
          <w:iCs/>
        </w:rPr>
        <w:t xml:space="preserve">Strategic Intervention 2: </w:t>
      </w:r>
      <w:r w:rsidR="005C2DB4" w:rsidRPr="00662906">
        <w:rPr>
          <w:b/>
          <w:bCs/>
          <w:i/>
          <w:iCs/>
        </w:rPr>
        <w:t>Transitioning the conventional transport systems to multi-modal transport systems for efficient use and energy demand reduction.</w:t>
      </w:r>
    </w:p>
    <w:p w14:paraId="3E32E19C" w14:textId="3C650237" w:rsidR="00D41C50" w:rsidRPr="00662906" w:rsidRDefault="74835C92" w:rsidP="00FD176C">
      <w:pPr>
        <w:sectPr w:rsidR="00D41C50" w:rsidRPr="00662906" w:rsidSect="00D41C50">
          <w:pgSz w:w="11906" w:h="16838"/>
          <w:pgMar w:top="1440" w:right="1440" w:bottom="1440" w:left="1440" w:header="720" w:footer="720" w:gutter="0"/>
          <w:cols w:space="720"/>
          <w:titlePg/>
          <w:docGrid w:linePitch="360"/>
        </w:sectPr>
      </w:pPr>
      <w:r w:rsidRPr="00662906">
        <w:t xml:space="preserve">The Action Plans developed for the selected strategic interventions are presented in </w:t>
      </w:r>
      <w:r w:rsidR="179A301A" w:rsidRPr="00662906">
        <w:t xml:space="preserve">Tables </w:t>
      </w:r>
      <w:r w:rsidR="003C4B5B" w:rsidRPr="00662906">
        <w:t>19-20</w:t>
      </w:r>
      <w:r w:rsidR="179A301A" w:rsidRPr="00662906">
        <w:t>)</w:t>
      </w:r>
      <w:bookmarkStart w:id="609" w:name="_Toc171955591"/>
      <w:r w:rsidR="07098B8C" w:rsidRPr="00662906">
        <w:t xml:space="preserve"> below.</w:t>
      </w:r>
    </w:p>
    <w:p w14:paraId="493B025A" w14:textId="7C541B14" w:rsidR="009D4E00" w:rsidRPr="00662906" w:rsidRDefault="009D4E00" w:rsidP="00FD176C"/>
    <w:p w14:paraId="2406A5EA" w14:textId="5AA33FEC" w:rsidR="75BD6BB8" w:rsidRPr="00662906" w:rsidRDefault="001B4FF0" w:rsidP="001B4FF0">
      <w:pPr>
        <w:pStyle w:val="Caption"/>
      </w:pPr>
      <w:bookmarkStart w:id="610" w:name="_Toc176430320"/>
      <w:bookmarkStart w:id="611" w:name="_Toc197433907"/>
      <w:r w:rsidRPr="00662906">
        <w:t xml:space="preserve">Table </w:t>
      </w:r>
      <w:fldSimple w:instr=" SEQ Table \* ARABIC ">
        <w:r w:rsidR="00610F61">
          <w:rPr>
            <w:noProof/>
          </w:rPr>
          <w:t>19</w:t>
        </w:r>
      </w:fldSimple>
      <w:r w:rsidRPr="00662906">
        <w:t xml:space="preserve">: </w:t>
      </w:r>
      <w:r w:rsidR="50DD7DF6" w:rsidRPr="00662906">
        <w:t xml:space="preserve">Action Plan for </w:t>
      </w:r>
      <w:r w:rsidR="6F21B33F" w:rsidRPr="00662906">
        <w:t>Strategic Intervention 1. Promoting introduction of various NEVs and c</w:t>
      </w:r>
      <w:r w:rsidR="35C7A433" w:rsidRPr="00662906">
        <w:t xml:space="preserve">lean fuels in various </w:t>
      </w:r>
      <w:r w:rsidR="6F21B33F" w:rsidRPr="00662906">
        <w:t>sub sector</w:t>
      </w:r>
      <w:r w:rsidR="27E17561" w:rsidRPr="00662906">
        <w:t>s of the transport sector.</w:t>
      </w:r>
      <w:bookmarkEnd w:id="609"/>
      <w:bookmarkEnd w:id="610"/>
      <w:bookmarkEnd w:id="611"/>
    </w:p>
    <w:tbl>
      <w:tblPr>
        <w:tblStyle w:val="TableGrid"/>
        <w:tblpPr w:leftFromText="180" w:rightFromText="180" w:vertAnchor="text" w:tblpX="-145" w:tblpY="1"/>
        <w:tblOverlap w:val="never"/>
        <w:tblW w:w="14601"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372"/>
        <w:gridCol w:w="1188"/>
        <w:gridCol w:w="3260"/>
        <w:gridCol w:w="1276"/>
        <w:gridCol w:w="1070"/>
        <w:gridCol w:w="1198"/>
        <w:gridCol w:w="851"/>
        <w:gridCol w:w="1842"/>
        <w:gridCol w:w="1701"/>
        <w:gridCol w:w="1843"/>
      </w:tblGrid>
      <w:tr w:rsidR="009E2AA1" w:rsidRPr="00662906" w14:paraId="374E4749" w14:textId="77777777" w:rsidTr="007E6C89">
        <w:trPr>
          <w:trHeight w:val="360"/>
        </w:trPr>
        <w:tc>
          <w:tcPr>
            <w:tcW w:w="14601" w:type="dxa"/>
            <w:gridSpan w:val="10"/>
            <w:shd w:val="clear" w:color="auto" w:fill="B4A269"/>
          </w:tcPr>
          <w:p w14:paraId="563E83AC" w14:textId="3FC484CC"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005F3BFB" w:rsidRPr="00662906">
              <w:rPr>
                <w:rFonts w:eastAsia="Arial" w:cs="Arial"/>
                <w:bCs/>
                <w:color w:val="FFFFFF"/>
                <w:sz w:val="16"/>
                <w:szCs w:val="16"/>
              </w:rPr>
              <w:t>Africa’s transport sector relies heavily on imported fossil fuels, contributing to environmental concerns and economic vulnerabilities across road, rail, maritime, and aviation. Transitioning to clean energy alternatives—including NEVs, green methanol, hydrogen, ammonia, and other sustainable fuels—presents a viable route toward low-carbon growth</w:t>
            </w:r>
            <w:r w:rsidR="003B584C" w:rsidRPr="00662906">
              <w:rPr>
                <w:rFonts w:eastAsia="Arial" w:cs="Arial"/>
                <w:bCs/>
                <w:color w:val="FFFFFF"/>
                <w:sz w:val="16"/>
                <w:szCs w:val="16"/>
              </w:rPr>
              <w:t xml:space="preserve"> in the transport sector</w:t>
            </w:r>
            <w:r w:rsidR="005F3BFB" w:rsidRPr="00662906">
              <w:rPr>
                <w:rFonts w:eastAsia="Arial" w:cs="Arial"/>
                <w:bCs/>
                <w:color w:val="FFFFFF"/>
                <w:sz w:val="16"/>
                <w:szCs w:val="16"/>
              </w:rPr>
              <w:t>. By leveraging Africa’s ample renewable resources</w:t>
            </w:r>
            <w:r w:rsidR="003B584C" w:rsidRPr="00662906">
              <w:rPr>
                <w:rFonts w:eastAsia="Arial" w:cs="Arial"/>
                <w:bCs/>
                <w:color w:val="FFFFFF"/>
                <w:sz w:val="16"/>
                <w:szCs w:val="16"/>
              </w:rPr>
              <w:t xml:space="preserve"> </w:t>
            </w:r>
            <w:r w:rsidR="005F3BFB" w:rsidRPr="00662906">
              <w:rPr>
                <w:rFonts w:eastAsia="Arial" w:cs="Arial"/>
                <w:bCs/>
                <w:color w:val="FFFFFF"/>
                <w:sz w:val="16"/>
                <w:szCs w:val="16"/>
              </w:rPr>
              <w:t xml:space="preserve">this strategic intervention aims to </w:t>
            </w:r>
            <w:r w:rsidR="003B584C" w:rsidRPr="00662906">
              <w:rPr>
                <w:rFonts w:eastAsia="Arial" w:cs="Arial"/>
                <w:bCs/>
                <w:color w:val="FFFFFF"/>
                <w:sz w:val="16"/>
                <w:szCs w:val="16"/>
              </w:rPr>
              <w:t xml:space="preserve">create clean fuels market and supply chain </w:t>
            </w:r>
            <w:r w:rsidR="00FB70B7" w:rsidRPr="00662906">
              <w:rPr>
                <w:rFonts w:eastAsia="Arial" w:cs="Arial"/>
                <w:bCs/>
                <w:color w:val="FFFFFF"/>
                <w:sz w:val="16"/>
                <w:szCs w:val="16"/>
              </w:rPr>
              <w:t xml:space="preserve">infrastructure and systems </w:t>
            </w:r>
            <w:r w:rsidR="003B584C" w:rsidRPr="00662906">
              <w:rPr>
                <w:rFonts w:eastAsia="Arial" w:cs="Arial"/>
                <w:bCs/>
                <w:color w:val="FFFFFF"/>
                <w:sz w:val="16"/>
                <w:szCs w:val="16"/>
              </w:rPr>
              <w:t xml:space="preserve">to </w:t>
            </w:r>
            <w:r w:rsidR="00FB70B7" w:rsidRPr="00662906">
              <w:rPr>
                <w:rFonts w:eastAsia="Arial" w:cs="Arial"/>
                <w:bCs/>
                <w:color w:val="FFFFFF"/>
                <w:sz w:val="16"/>
                <w:szCs w:val="16"/>
              </w:rPr>
              <w:t>cater for the transport subsectors resulting in</w:t>
            </w:r>
            <w:r w:rsidR="005F3BFB" w:rsidRPr="00662906">
              <w:rPr>
                <w:rFonts w:eastAsia="Arial" w:cs="Arial"/>
                <w:bCs/>
                <w:color w:val="FFFFFF"/>
                <w:sz w:val="16"/>
                <w:szCs w:val="16"/>
              </w:rPr>
              <w:t xml:space="preserve"> infrastructure upgrades, investment incentives, and policy alignment</w:t>
            </w:r>
            <w:r w:rsidR="00FB70B7" w:rsidRPr="00662906">
              <w:rPr>
                <w:rFonts w:eastAsia="Arial" w:cs="Arial"/>
                <w:bCs/>
                <w:color w:val="FFFFFF"/>
                <w:sz w:val="16"/>
                <w:szCs w:val="16"/>
              </w:rPr>
              <w:t xml:space="preserve"> that will </w:t>
            </w:r>
            <w:r w:rsidR="005F3BFB" w:rsidRPr="00662906">
              <w:rPr>
                <w:rFonts w:eastAsia="Arial" w:cs="Arial"/>
                <w:bCs/>
                <w:color w:val="FFFFFF"/>
                <w:sz w:val="16"/>
                <w:szCs w:val="16"/>
              </w:rPr>
              <w:t>drive down emissions, bolster energy security, and foster industrial development throughout the continent.</w:t>
            </w:r>
          </w:p>
        </w:tc>
      </w:tr>
      <w:tr w:rsidR="009E2AA1" w:rsidRPr="00662906" w14:paraId="1CDB3356" w14:textId="77777777" w:rsidTr="007E6C89">
        <w:trPr>
          <w:trHeight w:val="699"/>
        </w:trPr>
        <w:tc>
          <w:tcPr>
            <w:tcW w:w="1560" w:type="dxa"/>
            <w:gridSpan w:val="2"/>
            <w:shd w:val="clear" w:color="auto" w:fill="B4A269"/>
            <w:tcMar>
              <w:left w:w="57" w:type="dxa"/>
              <w:right w:w="57" w:type="dxa"/>
            </w:tcMar>
            <w:vAlign w:val="center"/>
          </w:tcPr>
          <w:p w14:paraId="51118147"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27995EC1" w14:textId="77777777" w:rsidR="009E2AA1" w:rsidRPr="00662906" w:rsidRDefault="009E2AA1"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41D4E369"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1F25100F"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6BE5CBEA"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69CCC040"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6EF834FC"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43158A4D"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2C679566" w14:textId="77777777" w:rsidR="009E2AA1" w:rsidRPr="00662906" w:rsidRDefault="009E2AA1"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DF4488" w:rsidRPr="00662906" w14:paraId="0C0249A4" w14:textId="77777777" w:rsidTr="007E6C89">
        <w:trPr>
          <w:trHeight w:val="1413"/>
        </w:trPr>
        <w:tc>
          <w:tcPr>
            <w:tcW w:w="372" w:type="dxa"/>
            <w:shd w:val="clear" w:color="auto" w:fill="FFFFFF"/>
            <w:tcMar>
              <w:left w:w="57" w:type="dxa"/>
              <w:right w:w="57" w:type="dxa"/>
            </w:tcMar>
          </w:tcPr>
          <w:p w14:paraId="204D3672" w14:textId="77777777" w:rsidR="00BB12D9" w:rsidRPr="00662906" w:rsidRDefault="00BB12D9" w:rsidP="007E6C89">
            <w:pPr>
              <w:spacing w:before="40" w:after="40"/>
              <w:jc w:val="center"/>
              <w:rPr>
                <w:rFonts w:cs="Arial"/>
                <w:color w:val="53575A"/>
                <w:sz w:val="16"/>
                <w:szCs w:val="16"/>
              </w:rPr>
            </w:pPr>
            <w:r w:rsidRPr="00662906">
              <w:rPr>
                <w:rFonts w:eastAsia="Arial" w:cs="Arial"/>
                <w:color w:val="53575A"/>
                <w:sz w:val="16"/>
                <w:szCs w:val="16"/>
              </w:rPr>
              <w:t>1</w:t>
            </w:r>
          </w:p>
        </w:tc>
        <w:tc>
          <w:tcPr>
            <w:tcW w:w="1188" w:type="dxa"/>
            <w:shd w:val="clear" w:color="auto" w:fill="FFFFFF"/>
            <w:tcMar>
              <w:left w:w="57" w:type="dxa"/>
              <w:right w:w="57" w:type="dxa"/>
            </w:tcMar>
          </w:tcPr>
          <w:p w14:paraId="4D2E82D6" w14:textId="0BE4B6B2"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Scoping, pilot/proof of concept, and potential roll-out of NEVs</w:t>
            </w:r>
          </w:p>
        </w:tc>
        <w:tc>
          <w:tcPr>
            <w:tcW w:w="3260" w:type="dxa"/>
            <w:tcBorders>
              <w:bottom w:val="single" w:sz="2" w:space="0" w:color="9F2241"/>
            </w:tcBorders>
            <w:shd w:val="clear" w:color="auto" w:fill="FFFFFF"/>
            <w:tcMar>
              <w:left w:w="57" w:type="dxa"/>
              <w:right w:w="57" w:type="dxa"/>
            </w:tcMar>
          </w:tcPr>
          <w:p w14:paraId="73088046" w14:textId="292F3392" w:rsidR="00BB12D9" w:rsidRPr="00662906" w:rsidRDefault="00BB12D9" w:rsidP="007E6C89">
            <w:pPr>
              <w:pStyle w:val="ListParagraph"/>
              <w:numPr>
                <w:ilvl w:val="0"/>
                <w:numId w:val="69"/>
              </w:numPr>
              <w:spacing w:before="0" w:after="0"/>
              <w:ind w:left="367" w:hanging="291"/>
              <w:jc w:val="center"/>
              <w:rPr>
                <w:rFonts w:cs="Arial"/>
                <w:sz w:val="16"/>
                <w:szCs w:val="16"/>
              </w:rPr>
            </w:pPr>
            <w:r w:rsidRPr="00662906">
              <w:rPr>
                <w:rFonts w:cs="Arial"/>
                <w:sz w:val="16"/>
                <w:szCs w:val="16"/>
              </w:rPr>
              <w:t>Conduct comprehensive feasibility studies on NEV integration for road transport (private vehicles, buses, commercial fleets)</w:t>
            </w:r>
          </w:p>
          <w:p w14:paraId="282DE1C3" w14:textId="237FF832" w:rsidR="00BB12D9" w:rsidRPr="00662906" w:rsidRDefault="00BB12D9" w:rsidP="007E6C89">
            <w:pPr>
              <w:pStyle w:val="ListParagraph"/>
              <w:numPr>
                <w:ilvl w:val="0"/>
                <w:numId w:val="69"/>
              </w:numPr>
              <w:spacing w:before="0" w:after="0"/>
              <w:ind w:left="367" w:hanging="291"/>
              <w:jc w:val="center"/>
              <w:rPr>
                <w:rFonts w:cs="Arial"/>
                <w:sz w:val="16"/>
                <w:szCs w:val="16"/>
              </w:rPr>
            </w:pPr>
            <w:r w:rsidRPr="00662906">
              <w:rPr>
                <w:rFonts w:cs="Arial"/>
                <w:sz w:val="16"/>
                <w:szCs w:val="16"/>
              </w:rPr>
              <w:t>Identify pilot locations and implement small-scale NEV demonstrations</w:t>
            </w:r>
          </w:p>
          <w:p w14:paraId="033AB1B6" w14:textId="62FEFE68" w:rsidR="00BB12D9" w:rsidRPr="00662906" w:rsidRDefault="00BB12D9" w:rsidP="007E6C89">
            <w:pPr>
              <w:pStyle w:val="ListParagraph"/>
              <w:numPr>
                <w:ilvl w:val="0"/>
                <w:numId w:val="69"/>
              </w:numPr>
              <w:spacing w:before="0" w:after="0"/>
              <w:ind w:left="367" w:hanging="291"/>
              <w:jc w:val="center"/>
              <w:rPr>
                <w:rFonts w:cs="Arial"/>
                <w:sz w:val="16"/>
                <w:szCs w:val="16"/>
              </w:rPr>
            </w:pPr>
            <w:r w:rsidRPr="00662906">
              <w:rPr>
                <w:rFonts w:cs="Arial"/>
                <w:sz w:val="16"/>
                <w:szCs w:val="16"/>
              </w:rPr>
              <w:t>Perform cost-benefit analyses and share findings with relevant ministries</w:t>
            </w:r>
          </w:p>
          <w:p w14:paraId="2575D77A" w14:textId="5D7E52F3" w:rsidR="00BB12D9" w:rsidRPr="00662906" w:rsidRDefault="00BB12D9" w:rsidP="007E6C89">
            <w:pPr>
              <w:pStyle w:val="ListParagraph"/>
              <w:numPr>
                <w:ilvl w:val="0"/>
                <w:numId w:val="69"/>
              </w:numPr>
              <w:spacing w:before="0" w:after="0"/>
              <w:ind w:left="367" w:hanging="291"/>
              <w:jc w:val="center"/>
              <w:rPr>
                <w:rFonts w:cs="Arial"/>
                <w:sz w:val="16"/>
                <w:szCs w:val="16"/>
              </w:rPr>
            </w:pPr>
            <w:r w:rsidRPr="00662906">
              <w:rPr>
                <w:rFonts w:cs="Arial"/>
                <w:sz w:val="16"/>
                <w:szCs w:val="16"/>
              </w:rPr>
              <w:t>Engage stakeholders (public and private) for feedback on scalability"</w:t>
            </w:r>
          </w:p>
        </w:tc>
        <w:tc>
          <w:tcPr>
            <w:tcW w:w="1276" w:type="dxa"/>
            <w:shd w:val="clear" w:color="auto" w:fill="FFFFFF"/>
            <w:tcMar>
              <w:left w:w="57" w:type="dxa"/>
              <w:right w:w="57" w:type="dxa"/>
            </w:tcMar>
          </w:tcPr>
          <w:p w14:paraId="34D82230" w14:textId="73D53312"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2A44E1F" w14:textId="06B9E8E6"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Ministries in charge of Energy, Transport, and Treasury</w:t>
            </w:r>
          </w:p>
        </w:tc>
        <w:tc>
          <w:tcPr>
            <w:tcW w:w="1198" w:type="dxa"/>
            <w:shd w:val="clear" w:color="auto" w:fill="FFFFFF"/>
            <w:tcMar>
              <w:left w:w="57" w:type="dxa"/>
              <w:right w:w="57" w:type="dxa"/>
            </w:tcMar>
          </w:tcPr>
          <w:p w14:paraId="5455EE6D" w14:textId="25288551"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Automobile and fuel companies, AFREC, International Council on Clean Transportation (ICCT)</w:t>
            </w:r>
          </w:p>
        </w:tc>
        <w:tc>
          <w:tcPr>
            <w:tcW w:w="851" w:type="dxa"/>
            <w:shd w:val="clear" w:color="auto" w:fill="FFFFFF"/>
            <w:tcMar>
              <w:left w:w="57" w:type="dxa"/>
              <w:right w:w="57" w:type="dxa"/>
            </w:tcMar>
          </w:tcPr>
          <w:p w14:paraId="7FA8AC67" w14:textId="6D8B9AF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19D0CBEE" w14:textId="57A0BBFD"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 xml:space="preserve">Feasibility reports with clear </w:t>
            </w:r>
            <w:r w:rsidR="00C820FC" w:rsidRPr="00662906">
              <w:rPr>
                <w:rFonts w:cs="Arial"/>
                <w:sz w:val="16"/>
                <w:szCs w:val="16"/>
              </w:rPr>
              <w:t xml:space="preserve">NEV </w:t>
            </w:r>
            <w:r w:rsidR="00F5434B" w:rsidRPr="00662906">
              <w:rPr>
                <w:rFonts w:cs="Arial"/>
                <w:sz w:val="16"/>
                <w:szCs w:val="16"/>
              </w:rPr>
              <w:t xml:space="preserve">adoption </w:t>
            </w:r>
            <w:r w:rsidRPr="00662906">
              <w:rPr>
                <w:rFonts w:cs="Arial"/>
                <w:sz w:val="16"/>
                <w:szCs w:val="16"/>
              </w:rPr>
              <w:t>recommendations</w:t>
            </w:r>
          </w:p>
          <w:p w14:paraId="7A2C379C" w14:textId="24794B11"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Pilot demonstration data</w:t>
            </w:r>
          </w:p>
          <w:p w14:paraId="63C3F984" w14:textId="2833C1E2" w:rsidR="00BB12D9" w:rsidRPr="00662906" w:rsidRDefault="00612C4C"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Stakeholder feedback sessions</w:t>
            </w:r>
          </w:p>
        </w:tc>
        <w:tc>
          <w:tcPr>
            <w:tcW w:w="1701" w:type="dxa"/>
            <w:shd w:val="clear" w:color="auto" w:fill="FFFFFF"/>
          </w:tcPr>
          <w:p w14:paraId="70481657" w14:textId="4E488465"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Evidence-based strategies for scaling NEV adoption, shaping national policies and investment frameworks</w:t>
            </w:r>
          </w:p>
        </w:tc>
        <w:tc>
          <w:tcPr>
            <w:tcW w:w="1843" w:type="dxa"/>
            <w:shd w:val="clear" w:color="auto" w:fill="FFFFFF"/>
          </w:tcPr>
          <w:p w14:paraId="368B4C9B" w14:textId="5C6DF277" w:rsidR="00412A08" w:rsidRPr="00662906" w:rsidRDefault="00A36E6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w:t>
            </w:r>
            <w:r w:rsidR="00412A08" w:rsidRPr="00662906">
              <w:rPr>
                <w:rFonts w:eastAsia="Arial" w:cs="Arial"/>
                <w:color w:val="53575A"/>
                <w:sz w:val="16"/>
                <w:szCs w:val="16"/>
              </w:rPr>
              <w:t xml:space="preserve"> of feasibility studies (Yes/No)</w:t>
            </w:r>
          </w:p>
          <w:p w14:paraId="1906969A" w14:textId="5790E603" w:rsidR="00412A08" w:rsidRPr="00662906" w:rsidRDefault="00412A0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pilot programs implemented</w:t>
            </w:r>
          </w:p>
          <w:p w14:paraId="08DABC04" w14:textId="77777777" w:rsidR="00A36E63" w:rsidRPr="00662906" w:rsidRDefault="00412A0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Publication of cost-benefit analysis (Yes/No)</w:t>
            </w:r>
          </w:p>
          <w:p w14:paraId="188DFC32" w14:textId="07CFD7E6" w:rsidR="00BB12D9" w:rsidRPr="00662906" w:rsidRDefault="00A36E6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Number of </w:t>
            </w:r>
            <w:r w:rsidR="00BC1E19" w:rsidRPr="00662906">
              <w:rPr>
                <w:rFonts w:eastAsia="Arial" w:cs="Arial"/>
                <w:color w:val="53575A"/>
                <w:sz w:val="16"/>
                <w:szCs w:val="16"/>
              </w:rPr>
              <w:t xml:space="preserve">AU MS with NEV </w:t>
            </w:r>
            <w:r w:rsidR="008D77C3" w:rsidRPr="00662906">
              <w:rPr>
                <w:rFonts w:eastAsia="Arial" w:cs="Arial"/>
                <w:color w:val="53575A"/>
                <w:sz w:val="16"/>
                <w:szCs w:val="16"/>
              </w:rPr>
              <w:t xml:space="preserve">Adoption </w:t>
            </w:r>
            <w:r w:rsidR="00BC1E19" w:rsidRPr="00662906">
              <w:rPr>
                <w:rFonts w:eastAsia="Arial" w:cs="Arial"/>
                <w:color w:val="53575A"/>
                <w:sz w:val="16"/>
                <w:szCs w:val="16"/>
              </w:rPr>
              <w:t>strategies</w:t>
            </w:r>
          </w:p>
        </w:tc>
      </w:tr>
      <w:tr w:rsidR="00DF4488" w:rsidRPr="00662906" w14:paraId="70B2AED3" w14:textId="77777777" w:rsidTr="007E6C89">
        <w:trPr>
          <w:trHeight w:val="300"/>
        </w:trPr>
        <w:tc>
          <w:tcPr>
            <w:tcW w:w="372" w:type="dxa"/>
            <w:shd w:val="clear" w:color="auto" w:fill="FFFFFF"/>
            <w:tcMar>
              <w:left w:w="57" w:type="dxa"/>
              <w:right w:w="57" w:type="dxa"/>
            </w:tcMar>
          </w:tcPr>
          <w:p w14:paraId="12EB645A" w14:textId="77777777" w:rsidR="00BB12D9" w:rsidRPr="00662906" w:rsidRDefault="00BB12D9" w:rsidP="007E6C89">
            <w:pPr>
              <w:spacing w:before="40" w:after="40"/>
              <w:jc w:val="center"/>
              <w:rPr>
                <w:rFonts w:cs="Arial"/>
                <w:color w:val="53575A"/>
                <w:sz w:val="16"/>
                <w:szCs w:val="16"/>
              </w:rPr>
            </w:pPr>
            <w:r w:rsidRPr="00662906">
              <w:rPr>
                <w:rFonts w:eastAsia="Arial" w:cs="Arial"/>
                <w:color w:val="53575A"/>
                <w:sz w:val="16"/>
                <w:szCs w:val="16"/>
              </w:rPr>
              <w:t>2</w:t>
            </w:r>
          </w:p>
        </w:tc>
        <w:tc>
          <w:tcPr>
            <w:tcW w:w="1188" w:type="dxa"/>
            <w:shd w:val="clear" w:color="auto" w:fill="FFFFFF"/>
            <w:tcMar>
              <w:left w:w="57" w:type="dxa"/>
              <w:right w:w="57" w:type="dxa"/>
            </w:tcMar>
          </w:tcPr>
          <w:p w14:paraId="6B758B36" w14:textId="708B601E"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 xml:space="preserve">Introduction of harmonized standards </w:t>
            </w:r>
            <w:r w:rsidR="00400924" w:rsidRPr="00662906">
              <w:rPr>
                <w:rFonts w:cs="Arial"/>
                <w:sz w:val="16"/>
                <w:szCs w:val="16"/>
              </w:rPr>
              <w:t xml:space="preserve">and related regulations </w:t>
            </w:r>
            <w:r w:rsidRPr="00662906">
              <w:rPr>
                <w:rFonts w:cs="Arial"/>
                <w:sz w:val="16"/>
                <w:szCs w:val="16"/>
              </w:rPr>
              <w:t>for NEVs to guide importation and production</w:t>
            </w:r>
          </w:p>
        </w:tc>
        <w:tc>
          <w:tcPr>
            <w:tcW w:w="3260" w:type="dxa"/>
            <w:tcBorders>
              <w:bottom w:val="single" w:sz="4" w:space="0" w:color="9F2241"/>
            </w:tcBorders>
            <w:shd w:val="clear" w:color="auto" w:fill="FFFFFF"/>
            <w:tcMar>
              <w:left w:w="57" w:type="dxa"/>
              <w:right w:w="57" w:type="dxa"/>
            </w:tcMar>
          </w:tcPr>
          <w:p w14:paraId="6BB9E87D" w14:textId="19058FA7" w:rsidR="00BB12D9" w:rsidRPr="00662906" w:rsidRDefault="00BB12D9" w:rsidP="007E6C89">
            <w:pPr>
              <w:pStyle w:val="ListParagraph"/>
              <w:numPr>
                <w:ilvl w:val="0"/>
                <w:numId w:val="70"/>
              </w:numPr>
              <w:spacing w:before="40" w:after="40"/>
              <w:ind w:left="367" w:hanging="291"/>
              <w:jc w:val="center"/>
              <w:rPr>
                <w:rFonts w:eastAsia="Arial" w:cs="Arial"/>
                <w:color w:val="394A58"/>
                <w:sz w:val="16"/>
                <w:szCs w:val="16"/>
              </w:rPr>
            </w:pPr>
            <w:r w:rsidRPr="00662906">
              <w:rPr>
                <w:rFonts w:eastAsia="Arial" w:cs="Arial"/>
                <w:color w:val="394A58"/>
                <w:sz w:val="16"/>
                <w:szCs w:val="16"/>
              </w:rPr>
              <w:t>Conduct a study on performance, safety, and environmental standards for NEVs and batteries</w:t>
            </w:r>
          </w:p>
          <w:p w14:paraId="5618FA18" w14:textId="6CE5885E" w:rsidR="00BB12D9" w:rsidRPr="00662906" w:rsidRDefault="00BB12D9" w:rsidP="007E6C89">
            <w:pPr>
              <w:pStyle w:val="ListParagraph"/>
              <w:numPr>
                <w:ilvl w:val="0"/>
                <w:numId w:val="70"/>
              </w:numPr>
              <w:spacing w:before="40" w:after="40"/>
              <w:ind w:left="367" w:hanging="291"/>
              <w:jc w:val="center"/>
              <w:rPr>
                <w:rFonts w:eastAsia="Arial" w:cs="Arial"/>
                <w:color w:val="394A58"/>
                <w:sz w:val="16"/>
                <w:szCs w:val="16"/>
              </w:rPr>
            </w:pPr>
            <w:r w:rsidRPr="00662906">
              <w:rPr>
                <w:rFonts w:eastAsia="Arial" w:cs="Arial"/>
                <w:color w:val="394A58"/>
                <w:sz w:val="16"/>
                <w:szCs w:val="16"/>
              </w:rPr>
              <w:t>Collaborate with standards organizations (</w:t>
            </w:r>
            <w:r w:rsidR="00401830" w:rsidRPr="00662906">
              <w:rPr>
                <w:rFonts w:eastAsia="Arial" w:cs="Arial"/>
                <w:color w:val="394A58"/>
                <w:sz w:val="16"/>
                <w:szCs w:val="16"/>
              </w:rPr>
              <w:t>African Electrotechnical Standardization Commission (</w:t>
            </w:r>
            <w:r w:rsidRPr="00662906">
              <w:rPr>
                <w:rFonts w:eastAsia="Arial" w:cs="Arial"/>
                <w:color w:val="394A58"/>
                <w:sz w:val="16"/>
                <w:szCs w:val="16"/>
              </w:rPr>
              <w:t>AFSEC</w:t>
            </w:r>
            <w:r w:rsidR="00401830" w:rsidRPr="00662906">
              <w:rPr>
                <w:rFonts w:eastAsia="Arial" w:cs="Arial"/>
                <w:color w:val="394A58"/>
                <w:sz w:val="16"/>
                <w:szCs w:val="16"/>
              </w:rPr>
              <w:t>)</w:t>
            </w:r>
            <w:r w:rsidRPr="00662906">
              <w:rPr>
                <w:rFonts w:eastAsia="Arial" w:cs="Arial"/>
                <w:color w:val="394A58"/>
                <w:sz w:val="16"/>
                <w:szCs w:val="16"/>
              </w:rPr>
              <w:t>,</w:t>
            </w:r>
            <w:r w:rsidR="00401830" w:rsidRPr="00662906">
              <w:t xml:space="preserve"> </w:t>
            </w:r>
            <w:r w:rsidR="00401830" w:rsidRPr="00662906">
              <w:rPr>
                <w:rFonts w:eastAsia="Arial" w:cs="Arial"/>
                <w:color w:val="394A58"/>
                <w:sz w:val="16"/>
                <w:szCs w:val="16"/>
              </w:rPr>
              <w:t>African Organization for Standardization (</w:t>
            </w:r>
            <w:r w:rsidRPr="00662906">
              <w:rPr>
                <w:rFonts w:eastAsia="Arial" w:cs="Arial"/>
                <w:color w:val="394A58"/>
                <w:sz w:val="16"/>
                <w:szCs w:val="16"/>
              </w:rPr>
              <w:t>ARSO</w:t>
            </w:r>
            <w:r w:rsidR="00401830" w:rsidRPr="00662906">
              <w:rPr>
                <w:rFonts w:eastAsia="Arial" w:cs="Arial"/>
                <w:color w:val="394A58"/>
                <w:sz w:val="16"/>
                <w:szCs w:val="16"/>
              </w:rPr>
              <w:t>)</w:t>
            </w:r>
            <w:r w:rsidRPr="00662906">
              <w:rPr>
                <w:rFonts w:eastAsia="Arial" w:cs="Arial"/>
                <w:color w:val="394A58"/>
                <w:sz w:val="16"/>
                <w:szCs w:val="16"/>
              </w:rPr>
              <w:t>) to draft continent-wide guidelines</w:t>
            </w:r>
          </w:p>
          <w:p w14:paraId="173F6022" w14:textId="578251E1" w:rsidR="00BB12D9" w:rsidRPr="00662906" w:rsidRDefault="00BB12D9" w:rsidP="007E6C89">
            <w:pPr>
              <w:pStyle w:val="ListParagraph"/>
              <w:numPr>
                <w:ilvl w:val="0"/>
                <w:numId w:val="70"/>
              </w:numPr>
              <w:spacing w:before="40" w:after="40"/>
              <w:ind w:left="367" w:hanging="291"/>
              <w:jc w:val="center"/>
              <w:rPr>
                <w:rFonts w:eastAsia="Arial" w:cs="Arial"/>
                <w:color w:val="394A58"/>
                <w:sz w:val="16"/>
                <w:szCs w:val="16"/>
              </w:rPr>
            </w:pPr>
            <w:r w:rsidRPr="00662906">
              <w:rPr>
                <w:rFonts w:eastAsia="Arial" w:cs="Arial"/>
                <w:color w:val="394A58"/>
                <w:sz w:val="16"/>
                <w:szCs w:val="16"/>
              </w:rPr>
              <w:t>Organize validation workshops with manufacturers, regulators, and consumer groups</w:t>
            </w:r>
          </w:p>
          <w:p w14:paraId="4E01FF74" w14:textId="132FDE5B" w:rsidR="00BB12D9" w:rsidRPr="00662906" w:rsidRDefault="00BB12D9" w:rsidP="007E6C89">
            <w:pPr>
              <w:pStyle w:val="ListParagraph"/>
              <w:numPr>
                <w:ilvl w:val="0"/>
                <w:numId w:val="70"/>
              </w:numPr>
              <w:spacing w:before="40" w:after="40"/>
              <w:ind w:left="367" w:hanging="291"/>
              <w:jc w:val="center"/>
              <w:rPr>
                <w:rFonts w:eastAsia="Arial" w:cs="Arial"/>
                <w:color w:val="394A58"/>
                <w:sz w:val="16"/>
                <w:szCs w:val="16"/>
              </w:rPr>
            </w:pPr>
            <w:r w:rsidRPr="00662906">
              <w:rPr>
                <w:rFonts w:eastAsia="Arial" w:cs="Arial"/>
                <w:color w:val="394A58"/>
                <w:sz w:val="16"/>
                <w:szCs w:val="16"/>
              </w:rPr>
              <w:t>Publish and disseminate finalized standards for voluntary/mandatory adoption</w:t>
            </w:r>
          </w:p>
        </w:tc>
        <w:tc>
          <w:tcPr>
            <w:tcW w:w="1276" w:type="dxa"/>
            <w:shd w:val="clear" w:color="auto" w:fill="FFFFFF"/>
            <w:tcMar>
              <w:left w:w="57" w:type="dxa"/>
              <w:right w:w="57" w:type="dxa"/>
            </w:tcMar>
          </w:tcPr>
          <w:p w14:paraId="3DB1F2C3" w14:textId="551537A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6EBAF2B6" w14:textId="1E8F2C06"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14FE2216" w14:textId="7598B379"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AFSEC, ARSO, Ministries in charge of Transport/Energy, NEV associations, charging infrastructure operators, RECs</w:t>
            </w:r>
          </w:p>
        </w:tc>
        <w:tc>
          <w:tcPr>
            <w:tcW w:w="851" w:type="dxa"/>
            <w:shd w:val="clear" w:color="auto" w:fill="FFFFFF"/>
            <w:tcMar>
              <w:left w:w="57" w:type="dxa"/>
              <w:right w:w="57" w:type="dxa"/>
            </w:tcMar>
          </w:tcPr>
          <w:p w14:paraId="746E641B" w14:textId="1FC482FF"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67B03925" w14:textId="1951B5AB"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Draft standards and guidelines</w:t>
            </w:r>
          </w:p>
          <w:p w14:paraId="6E8D3AB9" w14:textId="1405CD4C"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Workshop proceedings and stakeholder input</w:t>
            </w:r>
          </w:p>
          <w:p w14:paraId="047737BE" w14:textId="7633D333" w:rsidR="00BB12D9" w:rsidRPr="00662906" w:rsidRDefault="00612C4C"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Finalized NEV standards for circulation</w:t>
            </w:r>
          </w:p>
        </w:tc>
        <w:tc>
          <w:tcPr>
            <w:tcW w:w="1701" w:type="dxa"/>
            <w:shd w:val="clear" w:color="auto" w:fill="FFFFFF"/>
          </w:tcPr>
          <w:p w14:paraId="6CA21836" w14:textId="4F0C019D"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Higher-quality NEVs in African markets, ensuring consumer trust, safety, and environmental protection, while encouraging local production</w:t>
            </w:r>
          </w:p>
        </w:tc>
        <w:tc>
          <w:tcPr>
            <w:tcW w:w="1843" w:type="dxa"/>
            <w:shd w:val="clear" w:color="auto" w:fill="FFFFFF"/>
          </w:tcPr>
          <w:p w14:paraId="2187C58E" w14:textId="72C0DB56" w:rsidR="00BB12D9" w:rsidRPr="00662906" w:rsidRDefault="00BD093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Established continental NEV </w:t>
            </w:r>
            <w:r w:rsidR="00BC1E19" w:rsidRPr="00662906">
              <w:rPr>
                <w:rFonts w:eastAsia="Arial" w:cs="Arial"/>
                <w:color w:val="53575A"/>
                <w:sz w:val="16"/>
                <w:szCs w:val="16"/>
              </w:rPr>
              <w:t>Market standards</w:t>
            </w:r>
            <w:r w:rsidR="00D5374D" w:rsidRPr="00662906">
              <w:rPr>
                <w:rFonts w:eastAsia="Arial" w:cs="Arial"/>
                <w:color w:val="53575A"/>
                <w:sz w:val="16"/>
                <w:szCs w:val="16"/>
              </w:rPr>
              <w:t xml:space="preserve"> (Yes / No)</w:t>
            </w:r>
          </w:p>
        </w:tc>
      </w:tr>
      <w:tr w:rsidR="00DF4488" w:rsidRPr="00662906" w14:paraId="25393F10" w14:textId="77777777" w:rsidTr="007E6C89">
        <w:trPr>
          <w:trHeight w:val="300"/>
        </w:trPr>
        <w:tc>
          <w:tcPr>
            <w:tcW w:w="372" w:type="dxa"/>
            <w:shd w:val="clear" w:color="auto" w:fill="FFFFFF"/>
            <w:tcMar>
              <w:left w:w="57" w:type="dxa"/>
              <w:right w:w="57" w:type="dxa"/>
            </w:tcMar>
          </w:tcPr>
          <w:p w14:paraId="11E9D77B" w14:textId="77777777" w:rsidR="00BB12D9" w:rsidRPr="00662906" w:rsidRDefault="00BB12D9" w:rsidP="007E6C89">
            <w:pPr>
              <w:spacing w:before="40" w:after="40"/>
              <w:jc w:val="center"/>
              <w:rPr>
                <w:rFonts w:cs="Arial"/>
                <w:color w:val="53575A"/>
                <w:sz w:val="16"/>
                <w:szCs w:val="16"/>
              </w:rPr>
            </w:pPr>
            <w:r w:rsidRPr="00662906">
              <w:rPr>
                <w:rFonts w:eastAsia="Arial" w:cs="Arial"/>
                <w:color w:val="53575A"/>
                <w:sz w:val="16"/>
                <w:szCs w:val="16"/>
              </w:rPr>
              <w:t>3</w:t>
            </w:r>
          </w:p>
        </w:tc>
        <w:tc>
          <w:tcPr>
            <w:tcW w:w="1188" w:type="dxa"/>
            <w:shd w:val="clear" w:color="auto" w:fill="FFFFFF"/>
            <w:tcMar>
              <w:left w:w="57" w:type="dxa"/>
              <w:right w:w="57" w:type="dxa"/>
            </w:tcMar>
          </w:tcPr>
          <w:p w14:paraId="52FC42DA" w14:textId="4DEF8176"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 xml:space="preserve">Promote use of NEVs through </w:t>
            </w:r>
            <w:r w:rsidRPr="00662906">
              <w:rPr>
                <w:rFonts w:cs="Arial"/>
                <w:sz w:val="16"/>
                <w:szCs w:val="16"/>
              </w:rPr>
              <w:lastRenderedPageBreak/>
              <w:t>incentives and subsidies</w:t>
            </w:r>
          </w:p>
        </w:tc>
        <w:tc>
          <w:tcPr>
            <w:tcW w:w="3260" w:type="dxa"/>
            <w:tcBorders>
              <w:top w:val="single" w:sz="4" w:space="0" w:color="9F2241"/>
              <w:left w:val="nil"/>
              <w:bottom w:val="single" w:sz="4" w:space="0" w:color="9F2241"/>
              <w:right w:val="nil"/>
            </w:tcBorders>
            <w:tcMar>
              <w:left w:w="57" w:type="dxa"/>
              <w:right w:w="57" w:type="dxa"/>
            </w:tcMar>
          </w:tcPr>
          <w:p w14:paraId="42C8C554" w14:textId="675A9522" w:rsidR="00BB12D9" w:rsidRPr="00662906" w:rsidRDefault="00BB12D9" w:rsidP="007E6C89">
            <w:pPr>
              <w:pStyle w:val="ListParagraph"/>
              <w:numPr>
                <w:ilvl w:val="0"/>
                <w:numId w:val="75"/>
              </w:numPr>
              <w:spacing w:before="40" w:after="40"/>
              <w:ind w:left="372" w:hanging="266"/>
              <w:jc w:val="center"/>
              <w:rPr>
                <w:rFonts w:eastAsia="Arial" w:cs="Arial"/>
                <w:color w:val="394A58"/>
                <w:sz w:val="16"/>
                <w:szCs w:val="16"/>
              </w:rPr>
            </w:pPr>
            <w:r w:rsidRPr="00662906">
              <w:rPr>
                <w:rFonts w:eastAsia="Arial" w:cs="Arial"/>
                <w:color w:val="394A58"/>
                <w:sz w:val="16"/>
                <w:szCs w:val="16"/>
              </w:rPr>
              <w:lastRenderedPageBreak/>
              <w:t>Conduct market assessments to identify consumer barriers and demand factor</w:t>
            </w:r>
          </w:p>
          <w:p w14:paraId="08EABDFF" w14:textId="77777777" w:rsidR="00BB12D9" w:rsidRPr="00662906" w:rsidRDefault="00BB12D9" w:rsidP="007E6C89">
            <w:pPr>
              <w:pStyle w:val="ListParagraph"/>
              <w:numPr>
                <w:ilvl w:val="0"/>
                <w:numId w:val="75"/>
              </w:numPr>
              <w:spacing w:before="40" w:after="40"/>
              <w:ind w:left="372" w:hanging="266"/>
              <w:jc w:val="center"/>
              <w:rPr>
                <w:rFonts w:eastAsia="Arial" w:cs="Arial"/>
                <w:color w:val="394A58"/>
                <w:sz w:val="16"/>
                <w:szCs w:val="16"/>
              </w:rPr>
            </w:pPr>
            <w:r w:rsidRPr="00662906">
              <w:rPr>
                <w:rFonts w:eastAsia="Arial" w:cs="Arial"/>
                <w:color w:val="394A58"/>
                <w:sz w:val="16"/>
                <w:szCs w:val="16"/>
              </w:rPr>
              <w:lastRenderedPageBreak/>
              <w:t>Develop policy frameworks for tax incentives, subsidies, and low-interest financing options</w:t>
            </w:r>
          </w:p>
          <w:p w14:paraId="663DAC36" w14:textId="51D8E58A" w:rsidR="00BB12D9" w:rsidRPr="00662906" w:rsidRDefault="00BB12D9" w:rsidP="007E6C89">
            <w:pPr>
              <w:pStyle w:val="ListParagraph"/>
              <w:numPr>
                <w:ilvl w:val="0"/>
                <w:numId w:val="75"/>
              </w:numPr>
              <w:spacing w:before="40" w:after="40"/>
              <w:ind w:left="372" w:hanging="266"/>
              <w:jc w:val="center"/>
              <w:rPr>
                <w:rFonts w:eastAsia="Arial" w:cs="Arial"/>
                <w:color w:val="394A58"/>
                <w:sz w:val="16"/>
                <w:szCs w:val="16"/>
              </w:rPr>
            </w:pPr>
            <w:r w:rsidRPr="00662906">
              <w:rPr>
                <w:rFonts w:eastAsia="Arial" w:cs="Arial"/>
                <w:color w:val="394A58"/>
                <w:sz w:val="16"/>
                <w:szCs w:val="16"/>
              </w:rPr>
              <w:t>Launch public awareness campaigns on NEV benefits and available incentives</w:t>
            </w:r>
          </w:p>
        </w:tc>
        <w:tc>
          <w:tcPr>
            <w:tcW w:w="1276" w:type="dxa"/>
            <w:shd w:val="clear" w:color="auto" w:fill="FFFFFF"/>
            <w:tcMar>
              <w:left w:w="57" w:type="dxa"/>
              <w:right w:w="57" w:type="dxa"/>
            </w:tcMar>
          </w:tcPr>
          <w:p w14:paraId="67048CD9" w14:textId="2A048365" w:rsidR="00BB12D9" w:rsidRPr="00662906" w:rsidRDefault="00BB12D9"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349C5CFD" w14:textId="7E2A2C3A"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6DA82EEC" w14:textId="32EFB64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 xml:space="preserve">Ministry of Transport, automobile/fuel companies, AFREC, </w:t>
            </w:r>
            <w:r w:rsidRPr="00662906">
              <w:rPr>
                <w:rFonts w:cs="Arial"/>
                <w:sz w:val="16"/>
                <w:szCs w:val="16"/>
              </w:rPr>
              <w:lastRenderedPageBreak/>
              <w:t>academic institutions, development partners</w:t>
            </w:r>
          </w:p>
        </w:tc>
        <w:tc>
          <w:tcPr>
            <w:tcW w:w="851" w:type="dxa"/>
            <w:shd w:val="clear" w:color="auto" w:fill="FFFFFF"/>
            <w:tcMar>
              <w:left w:w="57" w:type="dxa"/>
              <w:right w:w="57" w:type="dxa"/>
            </w:tcMar>
          </w:tcPr>
          <w:p w14:paraId="681D0BD8" w14:textId="50E229F5" w:rsidR="00BB12D9" w:rsidRPr="00662906" w:rsidRDefault="00BB12D9" w:rsidP="007E6C89">
            <w:pPr>
              <w:spacing w:before="40" w:after="40"/>
              <w:jc w:val="center"/>
              <w:rPr>
                <w:rFonts w:eastAsia="Arial" w:cs="Arial"/>
                <w:color w:val="53575A"/>
                <w:sz w:val="16"/>
                <w:szCs w:val="16"/>
              </w:rPr>
            </w:pPr>
            <w:r w:rsidRPr="00662906">
              <w:rPr>
                <w:rFonts w:cs="Arial"/>
                <w:sz w:val="16"/>
                <w:szCs w:val="16"/>
              </w:rPr>
              <w:lastRenderedPageBreak/>
              <w:t>Short-Medium Term</w:t>
            </w:r>
          </w:p>
        </w:tc>
        <w:tc>
          <w:tcPr>
            <w:tcW w:w="1842" w:type="dxa"/>
            <w:shd w:val="clear" w:color="auto" w:fill="FFFFFF"/>
          </w:tcPr>
          <w:p w14:paraId="34A4DCF5" w14:textId="2DF30836"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Market assessment report</w:t>
            </w:r>
          </w:p>
          <w:p w14:paraId="33BD6C23" w14:textId="4288074F"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lastRenderedPageBreak/>
              <w:t>Policy proposals for incentives and subsidies</w:t>
            </w:r>
          </w:p>
          <w:p w14:paraId="4F36B347" w14:textId="71C849DC" w:rsidR="00BB12D9" w:rsidRPr="00662906" w:rsidRDefault="00612C4C"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Outreach and promotional materials</w:t>
            </w:r>
          </w:p>
        </w:tc>
        <w:tc>
          <w:tcPr>
            <w:tcW w:w="1701" w:type="dxa"/>
            <w:shd w:val="clear" w:color="auto" w:fill="FFFFFF"/>
          </w:tcPr>
          <w:p w14:paraId="008899FE" w14:textId="1AA6C598" w:rsidR="00BB12D9" w:rsidRPr="00662906" w:rsidRDefault="00BB12D9" w:rsidP="007E6C89">
            <w:pPr>
              <w:spacing w:before="40" w:after="40"/>
              <w:jc w:val="center"/>
              <w:rPr>
                <w:rFonts w:eastAsia="Arial" w:cs="Arial"/>
                <w:color w:val="53575A"/>
                <w:sz w:val="16"/>
                <w:szCs w:val="16"/>
              </w:rPr>
            </w:pPr>
            <w:r w:rsidRPr="00662906">
              <w:rPr>
                <w:rFonts w:cs="Arial"/>
                <w:sz w:val="16"/>
                <w:szCs w:val="16"/>
              </w:rPr>
              <w:lastRenderedPageBreak/>
              <w:t xml:space="preserve">Accelerated NEV adoption through consumer-friendly policies, reducing reliance on fossil </w:t>
            </w:r>
            <w:r w:rsidRPr="00662906">
              <w:rPr>
                <w:rFonts w:cs="Arial"/>
                <w:sz w:val="16"/>
                <w:szCs w:val="16"/>
              </w:rPr>
              <w:lastRenderedPageBreak/>
              <w:t>fuels and lowering emissions</w:t>
            </w:r>
          </w:p>
        </w:tc>
        <w:tc>
          <w:tcPr>
            <w:tcW w:w="1843" w:type="dxa"/>
            <w:shd w:val="clear" w:color="auto" w:fill="FFFFFF"/>
          </w:tcPr>
          <w:p w14:paraId="12C366E9" w14:textId="3497C7D7" w:rsidR="00B1273C" w:rsidRPr="00662906" w:rsidRDefault="00B1273C"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Completion of market assessment (Yes/No)</w:t>
            </w:r>
          </w:p>
          <w:p w14:paraId="6D4FBBC7" w14:textId="7CA84788" w:rsidR="00B1273C" w:rsidRPr="00662906" w:rsidRDefault="00B1273C"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Incentive policy established (Yes/No)</w:t>
            </w:r>
          </w:p>
          <w:p w14:paraId="138847AB" w14:textId="28CB27E1" w:rsidR="00BB12D9" w:rsidRPr="00662906" w:rsidRDefault="00D5374D"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Newly </w:t>
            </w:r>
            <w:r w:rsidR="00B1273C" w:rsidRPr="00662906">
              <w:rPr>
                <w:rFonts w:eastAsia="Arial" w:cs="Arial"/>
                <w:color w:val="53575A"/>
                <w:sz w:val="16"/>
                <w:szCs w:val="16"/>
              </w:rPr>
              <w:t>registered NEVs per year)</w:t>
            </w:r>
          </w:p>
        </w:tc>
      </w:tr>
      <w:tr w:rsidR="00DF4488" w:rsidRPr="00662906" w14:paraId="060FBECE" w14:textId="77777777" w:rsidTr="007E6C89">
        <w:trPr>
          <w:trHeight w:val="300"/>
        </w:trPr>
        <w:tc>
          <w:tcPr>
            <w:tcW w:w="372" w:type="dxa"/>
            <w:shd w:val="clear" w:color="auto" w:fill="FFFFFF"/>
            <w:tcMar>
              <w:left w:w="57" w:type="dxa"/>
              <w:right w:w="57" w:type="dxa"/>
            </w:tcMar>
          </w:tcPr>
          <w:p w14:paraId="15F1B80F" w14:textId="77777777" w:rsidR="00BB12D9" w:rsidRPr="00662906" w:rsidRDefault="00BB12D9"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188" w:type="dxa"/>
            <w:shd w:val="clear" w:color="auto" w:fill="FFFFFF"/>
            <w:tcMar>
              <w:left w:w="57" w:type="dxa"/>
              <w:right w:w="57" w:type="dxa"/>
            </w:tcMar>
          </w:tcPr>
          <w:p w14:paraId="752EC561" w14:textId="78467211"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Align Transport and Energy policies and infrastructure development to accommodate the NEV market</w:t>
            </w:r>
          </w:p>
        </w:tc>
        <w:tc>
          <w:tcPr>
            <w:tcW w:w="3260" w:type="dxa"/>
            <w:tcBorders>
              <w:top w:val="single" w:sz="4" w:space="0" w:color="9F2241"/>
              <w:left w:val="nil"/>
              <w:bottom w:val="single" w:sz="4" w:space="0" w:color="9F2241"/>
              <w:right w:val="nil"/>
            </w:tcBorders>
            <w:tcMar>
              <w:left w:w="57" w:type="dxa"/>
              <w:right w:w="57" w:type="dxa"/>
            </w:tcMar>
          </w:tcPr>
          <w:p w14:paraId="7DAEE93F" w14:textId="73B04ED8" w:rsidR="00BB12D9" w:rsidRPr="00662906" w:rsidRDefault="00BB12D9" w:rsidP="007E6C89">
            <w:pPr>
              <w:pStyle w:val="ListParagraph"/>
              <w:numPr>
                <w:ilvl w:val="0"/>
                <w:numId w:val="71"/>
              </w:numPr>
              <w:spacing w:before="40" w:after="40"/>
              <w:ind w:left="367" w:hanging="291"/>
              <w:jc w:val="center"/>
              <w:rPr>
                <w:rFonts w:eastAsia="Arial" w:cs="Arial"/>
                <w:color w:val="394A58"/>
                <w:sz w:val="16"/>
                <w:szCs w:val="16"/>
              </w:rPr>
            </w:pPr>
            <w:r w:rsidRPr="00662906">
              <w:rPr>
                <w:rFonts w:eastAsia="Arial" w:cs="Arial"/>
                <w:color w:val="394A58"/>
                <w:sz w:val="16"/>
                <w:szCs w:val="16"/>
              </w:rPr>
              <w:t>Develop an integrated plan for NEV introduction, including charging infrastructure requirements</w:t>
            </w:r>
          </w:p>
          <w:p w14:paraId="3A370934" w14:textId="6C4D1558" w:rsidR="00BB12D9" w:rsidRPr="00662906" w:rsidRDefault="00BB12D9" w:rsidP="007E6C89">
            <w:pPr>
              <w:pStyle w:val="ListParagraph"/>
              <w:numPr>
                <w:ilvl w:val="0"/>
                <w:numId w:val="71"/>
              </w:numPr>
              <w:spacing w:before="40" w:after="40"/>
              <w:ind w:left="367" w:hanging="291"/>
              <w:jc w:val="center"/>
              <w:rPr>
                <w:rFonts w:eastAsia="Arial" w:cs="Arial"/>
                <w:color w:val="394A58"/>
                <w:sz w:val="16"/>
                <w:szCs w:val="16"/>
              </w:rPr>
            </w:pPr>
            <w:r w:rsidRPr="00662906">
              <w:rPr>
                <w:rFonts w:eastAsia="Arial" w:cs="Arial"/>
                <w:color w:val="394A58"/>
                <w:sz w:val="16"/>
                <w:szCs w:val="16"/>
              </w:rPr>
              <w:t>Conduct stakeholder engagement sessions (government, private sector, civil society)</w:t>
            </w:r>
          </w:p>
          <w:p w14:paraId="40CF13E1" w14:textId="70C86188" w:rsidR="00BB12D9" w:rsidRPr="00662906" w:rsidRDefault="00BB12D9" w:rsidP="007E6C89">
            <w:pPr>
              <w:pStyle w:val="ListParagraph"/>
              <w:numPr>
                <w:ilvl w:val="0"/>
                <w:numId w:val="71"/>
              </w:numPr>
              <w:spacing w:before="40" w:after="40"/>
              <w:ind w:left="367" w:hanging="291"/>
              <w:jc w:val="center"/>
              <w:rPr>
                <w:rFonts w:eastAsia="Arial" w:cs="Arial"/>
                <w:color w:val="394A58"/>
                <w:sz w:val="16"/>
                <w:szCs w:val="16"/>
              </w:rPr>
            </w:pPr>
            <w:r w:rsidRPr="00662906">
              <w:rPr>
                <w:rFonts w:eastAsia="Arial" w:cs="Arial"/>
                <w:color w:val="394A58"/>
                <w:sz w:val="16"/>
                <w:szCs w:val="16"/>
              </w:rPr>
              <w:t>Identify financing mechanisms for infrastructure deployment</w:t>
            </w:r>
          </w:p>
        </w:tc>
        <w:tc>
          <w:tcPr>
            <w:tcW w:w="1276" w:type="dxa"/>
            <w:shd w:val="clear" w:color="auto" w:fill="FFFFFF"/>
            <w:tcMar>
              <w:left w:w="57" w:type="dxa"/>
              <w:right w:w="57" w:type="dxa"/>
            </w:tcMar>
          </w:tcPr>
          <w:p w14:paraId="633A8756" w14:textId="0A3173FD"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5766DDF6" w14:textId="313018A9"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205DF98A" w14:textId="6EB31BCA"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 xml:space="preserve">Ministries in charge of Transport, </w:t>
            </w:r>
            <w:r w:rsidR="00BD0933" w:rsidRPr="00662906">
              <w:rPr>
                <w:rFonts w:cs="Arial"/>
                <w:sz w:val="16"/>
                <w:szCs w:val="16"/>
              </w:rPr>
              <w:t>A</w:t>
            </w:r>
            <w:r w:rsidRPr="00662906">
              <w:rPr>
                <w:rFonts w:cs="Arial"/>
                <w:sz w:val="16"/>
                <w:szCs w:val="16"/>
              </w:rPr>
              <w:t xml:space="preserve">utomobile/fuel companies, AFREC, </w:t>
            </w:r>
            <w:r w:rsidR="00401830" w:rsidRPr="00662906">
              <w:rPr>
                <w:rFonts w:cs="Arial"/>
                <w:sz w:val="16"/>
                <w:szCs w:val="16"/>
              </w:rPr>
              <w:t>African Union Commission (</w:t>
            </w:r>
            <w:r w:rsidR="00BD0933" w:rsidRPr="00662906">
              <w:rPr>
                <w:rFonts w:cs="Arial"/>
                <w:sz w:val="16"/>
                <w:szCs w:val="16"/>
              </w:rPr>
              <w:t>AUC</w:t>
            </w:r>
            <w:r w:rsidR="00401830" w:rsidRPr="00662906">
              <w:rPr>
                <w:rFonts w:cs="Arial"/>
                <w:sz w:val="16"/>
                <w:szCs w:val="16"/>
              </w:rPr>
              <w:t>)</w:t>
            </w:r>
            <w:r w:rsidR="00BD0933" w:rsidRPr="00662906">
              <w:rPr>
                <w:rFonts w:cs="Arial"/>
                <w:sz w:val="16"/>
                <w:szCs w:val="16"/>
              </w:rPr>
              <w:t>, RECs,</w:t>
            </w:r>
          </w:p>
        </w:tc>
        <w:tc>
          <w:tcPr>
            <w:tcW w:w="851" w:type="dxa"/>
            <w:shd w:val="clear" w:color="auto" w:fill="FFFFFF"/>
            <w:tcMar>
              <w:left w:w="57" w:type="dxa"/>
              <w:right w:w="57" w:type="dxa"/>
            </w:tcMar>
          </w:tcPr>
          <w:p w14:paraId="503AEE6F" w14:textId="0F70741F"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608D60B3" w14:textId="717D41EA"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Integrated NEV policy and infrastructure plan</w:t>
            </w:r>
          </w:p>
          <w:p w14:paraId="2AC3ADC3" w14:textId="07A2F4CA" w:rsidR="00612C4C" w:rsidRPr="00662906" w:rsidRDefault="00612C4C" w:rsidP="007E6C89">
            <w:pPr>
              <w:pStyle w:val="ListParagraph"/>
              <w:numPr>
                <w:ilvl w:val="0"/>
                <w:numId w:val="63"/>
              </w:numPr>
              <w:spacing w:before="40" w:after="40"/>
              <w:ind w:left="318"/>
              <w:jc w:val="center"/>
              <w:rPr>
                <w:rFonts w:cs="Arial"/>
                <w:sz w:val="16"/>
                <w:szCs w:val="16"/>
              </w:rPr>
            </w:pPr>
            <w:r w:rsidRPr="00662906">
              <w:rPr>
                <w:rFonts w:cs="Arial"/>
                <w:sz w:val="16"/>
                <w:szCs w:val="16"/>
              </w:rPr>
              <w:t>Stakeholder consultation reports</w:t>
            </w:r>
          </w:p>
          <w:p w14:paraId="2A5CED34" w14:textId="5D5F4208" w:rsidR="00BB12D9" w:rsidRPr="00662906" w:rsidRDefault="00612C4C"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Financial mechanisms to support charging infrastructure</w:t>
            </w:r>
          </w:p>
        </w:tc>
        <w:tc>
          <w:tcPr>
            <w:tcW w:w="1701" w:type="dxa"/>
            <w:shd w:val="clear" w:color="auto" w:fill="FFFFFF"/>
          </w:tcPr>
          <w:p w14:paraId="4A04AF45" w14:textId="0AF71EBB"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 well-coordinated NEV ecosystem with suitable infrastructure, regulatory support, and cross-sector synergy, boosting confidence in NEV investments</w:t>
            </w:r>
          </w:p>
        </w:tc>
        <w:tc>
          <w:tcPr>
            <w:tcW w:w="1843" w:type="dxa"/>
            <w:shd w:val="clear" w:color="auto" w:fill="FFFFFF"/>
          </w:tcPr>
          <w:p w14:paraId="30C4B991" w14:textId="70BA74F7" w:rsidR="00BB12D9" w:rsidRPr="00662906" w:rsidRDefault="00B92C52"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Number of AU MS with published </w:t>
            </w:r>
            <w:r w:rsidR="00BD0933" w:rsidRPr="00662906">
              <w:rPr>
                <w:rFonts w:eastAsia="Arial" w:cs="Arial"/>
                <w:color w:val="53575A"/>
                <w:sz w:val="16"/>
                <w:szCs w:val="16"/>
              </w:rPr>
              <w:t>NEV and Electricity investment Plan</w:t>
            </w:r>
          </w:p>
        </w:tc>
      </w:tr>
      <w:tr w:rsidR="00DF4488" w:rsidRPr="00662906" w14:paraId="529D9A2A" w14:textId="77777777" w:rsidTr="007E6C89">
        <w:trPr>
          <w:trHeight w:val="300"/>
        </w:trPr>
        <w:tc>
          <w:tcPr>
            <w:tcW w:w="372" w:type="dxa"/>
            <w:shd w:val="clear" w:color="auto" w:fill="FFFFFF"/>
            <w:tcMar>
              <w:left w:w="57" w:type="dxa"/>
              <w:right w:w="57" w:type="dxa"/>
            </w:tcMar>
          </w:tcPr>
          <w:p w14:paraId="600BBD66" w14:textId="1BCC88A8" w:rsidR="00BB12D9" w:rsidRPr="00662906" w:rsidRDefault="00F21003"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188" w:type="dxa"/>
            <w:shd w:val="clear" w:color="auto" w:fill="FFFFFF"/>
            <w:tcMar>
              <w:left w:w="57" w:type="dxa"/>
              <w:right w:w="57" w:type="dxa"/>
            </w:tcMar>
          </w:tcPr>
          <w:p w14:paraId="3D6DE6CB" w14:textId="3C9E4906"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Decarbonize maritime transport, focusing on green methanol and emerging alternative fuels</w:t>
            </w:r>
          </w:p>
        </w:tc>
        <w:tc>
          <w:tcPr>
            <w:tcW w:w="3260" w:type="dxa"/>
            <w:tcBorders>
              <w:top w:val="single" w:sz="4" w:space="0" w:color="9F2241"/>
              <w:left w:val="nil"/>
              <w:bottom w:val="single" w:sz="4" w:space="0" w:color="9F2241"/>
              <w:right w:val="nil"/>
            </w:tcBorders>
            <w:tcMar>
              <w:left w:w="57" w:type="dxa"/>
              <w:right w:w="57" w:type="dxa"/>
            </w:tcMar>
          </w:tcPr>
          <w:p w14:paraId="262F69D0" w14:textId="03B92328" w:rsidR="00BB12D9" w:rsidRPr="00662906" w:rsidRDefault="00BB12D9" w:rsidP="007E6C89">
            <w:pPr>
              <w:pStyle w:val="ListParagraph"/>
              <w:numPr>
                <w:ilvl w:val="0"/>
                <w:numId w:val="72"/>
              </w:numPr>
              <w:spacing w:before="40" w:after="40"/>
              <w:ind w:left="367" w:hanging="291"/>
              <w:jc w:val="center"/>
              <w:rPr>
                <w:rFonts w:eastAsia="Arial" w:cs="Arial"/>
                <w:color w:val="394A58"/>
                <w:sz w:val="16"/>
                <w:szCs w:val="16"/>
              </w:rPr>
            </w:pPr>
            <w:r w:rsidRPr="00662906">
              <w:rPr>
                <w:rFonts w:eastAsia="Arial" w:cs="Arial"/>
                <w:color w:val="394A58"/>
                <w:sz w:val="16"/>
                <w:szCs w:val="16"/>
              </w:rPr>
              <w:t>Assess feasibility of green methanol supply chains for shipping</w:t>
            </w:r>
          </w:p>
          <w:p w14:paraId="03FB0B63" w14:textId="244A3194" w:rsidR="00BB12D9" w:rsidRPr="00662906" w:rsidRDefault="00BB12D9" w:rsidP="007E6C89">
            <w:pPr>
              <w:pStyle w:val="ListParagraph"/>
              <w:numPr>
                <w:ilvl w:val="0"/>
                <w:numId w:val="72"/>
              </w:numPr>
              <w:spacing w:before="40" w:after="40"/>
              <w:ind w:left="367" w:hanging="291"/>
              <w:jc w:val="center"/>
              <w:rPr>
                <w:rFonts w:eastAsia="Arial" w:cs="Arial"/>
                <w:color w:val="394A58"/>
                <w:sz w:val="16"/>
                <w:szCs w:val="16"/>
              </w:rPr>
            </w:pPr>
            <w:r w:rsidRPr="00662906">
              <w:rPr>
                <w:rFonts w:eastAsia="Arial" w:cs="Arial"/>
                <w:color w:val="394A58"/>
                <w:sz w:val="16"/>
                <w:szCs w:val="16"/>
              </w:rPr>
              <w:t>Identify pilot maritime routes and ports for demonstration projects</w:t>
            </w:r>
          </w:p>
          <w:p w14:paraId="50F078A1" w14:textId="5FBB869C" w:rsidR="00BB12D9" w:rsidRPr="00662906" w:rsidRDefault="00BB12D9" w:rsidP="007E6C89">
            <w:pPr>
              <w:pStyle w:val="ListParagraph"/>
              <w:numPr>
                <w:ilvl w:val="0"/>
                <w:numId w:val="72"/>
              </w:numPr>
              <w:spacing w:before="40" w:after="40"/>
              <w:ind w:left="367" w:hanging="291"/>
              <w:jc w:val="center"/>
              <w:rPr>
                <w:rFonts w:eastAsia="Arial" w:cs="Arial"/>
                <w:color w:val="394A58"/>
                <w:sz w:val="16"/>
                <w:szCs w:val="16"/>
              </w:rPr>
            </w:pPr>
            <w:r w:rsidRPr="00662906">
              <w:rPr>
                <w:rFonts w:eastAsia="Arial" w:cs="Arial"/>
                <w:color w:val="394A58"/>
                <w:sz w:val="16"/>
                <w:szCs w:val="16"/>
              </w:rPr>
              <w:t>Create guidelines for technology adoption and bunkering infrastructure</w:t>
            </w:r>
          </w:p>
          <w:p w14:paraId="3C3BD370" w14:textId="595E057A" w:rsidR="00BB12D9" w:rsidRPr="00662906" w:rsidRDefault="00BB12D9" w:rsidP="007E6C89">
            <w:pPr>
              <w:pStyle w:val="ListParagraph"/>
              <w:numPr>
                <w:ilvl w:val="0"/>
                <w:numId w:val="72"/>
              </w:numPr>
              <w:spacing w:before="40" w:after="40"/>
              <w:ind w:left="367" w:hanging="291"/>
              <w:jc w:val="center"/>
              <w:rPr>
                <w:rFonts w:eastAsia="Arial" w:cs="Arial"/>
                <w:color w:val="394A58"/>
                <w:sz w:val="16"/>
                <w:szCs w:val="16"/>
              </w:rPr>
            </w:pPr>
            <w:r w:rsidRPr="00662906">
              <w:rPr>
                <w:rFonts w:eastAsia="Arial" w:cs="Arial"/>
                <w:color w:val="394A58"/>
                <w:sz w:val="16"/>
                <w:szCs w:val="16"/>
              </w:rPr>
              <w:t>Facilitate partnerships among shipping companies, port authorities, and fuel suppliers</w:t>
            </w:r>
          </w:p>
        </w:tc>
        <w:tc>
          <w:tcPr>
            <w:tcW w:w="1276" w:type="dxa"/>
            <w:shd w:val="clear" w:color="auto" w:fill="FFFFFF"/>
            <w:tcMar>
              <w:left w:w="57" w:type="dxa"/>
              <w:right w:w="57" w:type="dxa"/>
            </w:tcMar>
          </w:tcPr>
          <w:p w14:paraId="5E2B336C" w14:textId="5158A6AF"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3A6097DE" w14:textId="6A5080BA" w:rsidR="00BB12D9" w:rsidRPr="00662906" w:rsidRDefault="00401830" w:rsidP="007E6C89">
            <w:pPr>
              <w:spacing w:before="40" w:after="40"/>
              <w:jc w:val="center"/>
              <w:rPr>
                <w:rFonts w:eastAsia="Arial" w:cs="Arial"/>
                <w:color w:val="53575A"/>
                <w:sz w:val="16"/>
                <w:szCs w:val="16"/>
              </w:rPr>
            </w:pPr>
            <w:r w:rsidRPr="00662906">
              <w:rPr>
                <w:rFonts w:cs="Arial"/>
                <w:sz w:val="16"/>
                <w:szCs w:val="16"/>
              </w:rPr>
              <w:t>African Union Commission's Department of Infrastructure and Energy (</w:t>
            </w:r>
            <w:r w:rsidR="00BB12D9" w:rsidRPr="00662906">
              <w:rPr>
                <w:rFonts w:cs="Arial"/>
                <w:sz w:val="16"/>
                <w:szCs w:val="16"/>
              </w:rPr>
              <w:t>AUC</w:t>
            </w:r>
            <w:r w:rsidR="006C3AF0" w:rsidRPr="00662906">
              <w:rPr>
                <w:rFonts w:cs="Arial"/>
                <w:sz w:val="16"/>
                <w:szCs w:val="16"/>
              </w:rPr>
              <w:t>-DIE</w:t>
            </w:r>
            <w:r w:rsidRPr="00662906">
              <w:rPr>
                <w:rFonts w:cs="Arial"/>
                <w:sz w:val="16"/>
                <w:szCs w:val="16"/>
              </w:rPr>
              <w:t>)</w:t>
            </w:r>
          </w:p>
        </w:tc>
        <w:tc>
          <w:tcPr>
            <w:tcW w:w="1198" w:type="dxa"/>
            <w:shd w:val="clear" w:color="auto" w:fill="FFFFFF"/>
            <w:tcMar>
              <w:left w:w="57" w:type="dxa"/>
              <w:right w:w="57" w:type="dxa"/>
            </w:tcMar>
          </w:tcPr>
          <w:p w14:paraId="65EF2731" w14:textId="27BECA9F" w:rsidR="006C3AF0" w:rsidRPr="00662906" w:rsidRDefault="006C3AF0" w:rsidP="007E6C89">
            <w:pPr>
              <w:spacing w:before="40" w:after="40"/>
              <w:jc w:val="center"/>
              <w:rPr>
                <w:rFonts w:cs="Arial"/>
                <w:sz w:val="16"/>
                <w:szCs w:val="16"/>
              </w:rPr>
            </w:pPr>
            <w:r w:rsidRPr="00662906">
              <w:rPr>
                <w:rFonts w:cs="Arial"/>
                <w:sz w:val="16"/>
                <w:szCs w:val="16"/>
              </w:rPr>
              <w:t>Ministries in charge of Transport (+Maritime Authorities),</w:t>
            </w:r>
          </w:p>
          <w:p w14:paraId="26AEED20" w14:textId="18F40EF9"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Maritime regulators, shipping companies, AFREC, development partners</w:t>
            </w:r>
          </w:p>
        </w:tc>
        <w:tc>
          <w:tcPr>
            <w:tcW w:w="851" w:type="dxa"/>
            <w:shd w:val="clear" w:color="auto" w:fill="FFFFFF"/>
            <w:tcMar>
              <w:left w:w="57" w:type="dxa"/>
              <w:right w:w="57" w:type="dxa"/>
            </w:tcMar>
          </w:tcPr>
          <w:p w14:paraId="1FCBB76C" w14:textId="37F607FC"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26BAA2D2" w14:textId="7EC2FC2C"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Feasibility studies on green methanol in maritime</w:t>
            </w:r>
          </w:p>
          <w:p w14:paraId="61052A41" w14:textId="2C65CCFC"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Pilot route selection and implementation</w:t>
            </w:r>
          </w:p>
          <w:p w14:paraId="6548790F" w14:textId="07F7A9C9" w:rsidR="00BB12D9" w:rsidRPr="00662906" w:rsidRDefault="007C0504"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Infrastructure/bunkering guidelines"</w:t>
            </w:r>
          </w:p>
        </w:tc>
        <w:tc>
          <w:tcPr>
            <w:tcW w:w="1701" w:type="dxa"/>
            <w:shd w:val="clear" w:color="auto" w:fill="FFFFFF"/>
          </w:tcPr>
          <w:p w14:paraId="28591196" w14:textId="731A35DB"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Reduced maritime emissions through adoption of cleaner fuels, encouraging industry-wide shift and laying groundwork for broader implementation</w:t>
            </w:r>
          </w:p>
        </w:tc>
        <w:tc>
          <w:tcPr>
            <w:tcW w:w="1843" w:type="dxa"/>
            <w:shd w:val="clear" w:color="auto" w:fill="FFFFFF"/>
          </w:tcPr>
          <w:p w14:paraId="0D8845D1" w14:textId="40E495DF" w:rsidR="00BB12D9" w:rsidRPr="00662906" w:rsidRDefault="00910C50" w:rsidP="007E6C89">
            <w:pPr>
              <w:pStyle w:val="ListParagraph"/>
              <w:numPr>
                <w:ilvl w:val="0"/>
                <w:numId w:val="63"/>
              </w:numPr>
              <w:spacing w:before="40" w:after="40"/>
              <w:ind w:left="321"/>
              <w:jc w:val="center"/>
              <w:rPr>
                <w:rFonts w:eastAsia="Arial" w:cs="Arial"/>
                <w:color w:val="53575A"/>
                <w:sz w:val="16"/>
                <w:szCs w:val="16"/>
              </w:rPr>
            </w:pPr>
            <w:r w:rsidRPr="00662906">
              <w:rPr>
                <w:rFonts w:cs="Arial"/>
                <w:sz w:val="16"/>
                <w:szCs w:val="16"/>
              </w:rPr>
              <w:t>Potential GHG reduction from maritime sector</w:t>
            </w:r>
          </w:p>
          <w:p w14:paraId="7C0478DC" w14:textId="683DF6D6" w:rsidR="00910C50" w:rsidRPr="00662906" w:rsidRDefault="00910C50" w:rsidP="007E6C89">
            <w:pPr>
              <w:pStyle w:val="ListParagraph"/>
              <w:numPr>
                <w:ilvl w:val="0"/>
                <w:numId w:val="63"/>
              </w:numPr>
              <w:spacing w:before="40" w:after="40"/>
              <w:ind w:left="321"/>
              <w:jc w:val="center"/>
              <w:rPr>
                <w:rFonts w:eastAsia="Arial" w:cs="Arial"/>
                <w:color w:val="53575A"/>
                <w:sz w:val="16"/>
                <w:szCs w:val="16"/>
              </w:rPr>
            </w:pPr>
            <w:r w:rsidRPr="00662906">
              <w:rPr>
                <w:rFonts w:cs="Arial"/>
                <w:sz w:val="16"/>
                <w:szCs w:val="16"/>
              </w:rPr>
              <w:t>Investment Plan for supply chains and market</w:t>
            </w:r>
          </w:p>
        </w:tc>
      </w:tr>
      <w:tr w:rsidR="00DF4488" w:rsidRPr="00662906" w14:paraId="013F910C" w14:textId="77777777" w:rsidTr="007E6C89">
        <w:trPr>
          <w:trHeight w:val="300"/>
        </w:trPr>
        <w:tc>
          <w:tcPr>
            <w:tcW w:w="372" w:type="dxa"/>
            <w:shd w:val="clear" w:color="auto" w:fill="FFFFFF"/>
            <w:tcMar>
              <w:left w:w="57" w:type="dxa"/>
              <w:right w:w="57" w:type="dxa"/>
            </w:tcMar>
          </w:tcPr>
          <w:p w14:paraId="03301C0C" w14:textId="1C565BF6" w:rsidR="00BB12D9" w:rsidRPr="00662906" w:rsidRDefault="00F21003"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188" w:type="dxa"/>
            <w:shd w:val="clear" w:color="auto" w:fill="FFFFFF"/>
            <w:tcMar>
              <w:left w:w="57" w:type="dxa"/>
              <w:right w:w="57" w:type="dxa"/>
            </w:tcMar>
          </w:tcPr>
          <w:p w14:paraId="67B0A337" w14:textId="01C1721A"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Promote SAF</w:t>
            </w:r>
          </w:p>
        </w:tc>
        <w:tc>
          <w:tcPr>
            <w:tcW w:w="3260" w:type="dxa"/>
            <w:tcBorders>
              <w:top w:val="single" w:sz="4" w:space="0" w:color="9F2241"/>
              <w:left w:val="nil"/>
              <w:bottom w:val="single" w:sz="4" w:space="0" w:color="9F2241"/>
              <w:right w:val="nil"/>
            </w:tcBorders>
            <w:tcMar>
              <w:left w:w="57" w:type="dxa"/>
              <w:right w:w="57" w:type="dxa"/>
            </w:tcMar>
          </w:tcPr>
          <w:p w14:paraId="35B5DF6A" w14:textId="0C767861" w:rsidR="00BB12D9" w:rsidRPr="00662906" w:rsidRDefault="00BB12D9" w:rsidP="007E6C89">
            <w:pPr>
              <w:pStyle w:val="ListParagraph"/>
              <w:numPr>
                <w:ilvl w:val="0"/>
                <w:numId w:val="73"/>
              </w:numPr>
              <w:spacing w:before="40" w:after="40"/>
              <w:ind w:left="367" w:hanging="291"/>
              <w:jc w:val="center"/>
              <w:rPr>
                <w:rFonts w:eastAsia="Arial" w:cs="Arial"/>
                <w:color w:val="394A58"/>
                <w:sz w:val="16"/>
                <w:szCs w:val="16"/>
              </w:rPr>
            </w:pPr>
            <w:r w:rsidRPr="00662906">
              <w:rPr>
                <w:rFonts w:eastAsia="Arial" w:cs="Arial"/>
                <w:color w:val="394A58"/>
                <w:sz w:val="16"/>
                <w:szCs w:val="16"/>
              </w:rPr>
              <w:t>Research feedstock availability for various types of SAF (bio-based, synthetic, etc.)</w:t>
            </w:r>
          </w:p>
          <w:p w14:paraId="1D48C4BE" w14:textId="543FE9D5" w:rsidR="00BB12D9" w:rsidRPr="00662906" w:rsidRDefault="00BB12D9" w:rsidP="007E6C89">
            <w:pPr>
              <w:pStyle w:val="ListParagraph"/>
              <w:numPr>
                <w:ilvl w:val="0"/>
                <w:numId w:val="73"/>
              </w:numPr>
              <w:spacing w:before="40" w:after="40"/>
              <w:ind w:left="367" w:hanging="291"/>
              <w:jc w:val="center"/>
              <w:rPr>
                <w:rFonts w:eastAsia="Arial" w:cs="Arial"/>
                <w:color w:val="394A58"/>
                <w:sz w:val="16"/>
                <w:szCs w:val="16"/>
              </w:rPr>
            </w:pPr>
            <w:r w:rsidRPr="00662906">
              <w:rPr>
                <w:rFonts w:eastAsia="Arial" w:cs="Arial"/>
                <w:color w:val="394A58"/>
                <w:sz w:val="16"/>
                <w:szCs w:val="16"/>
              </w:rPr>
              <w:t>Develop policy incentives to encourage SAF adoption by African airlines</w:t>
            </w:r>
          </w:p>
          <w:p w14:paraId="0BB081B2" w14:textId="65EC191E" w:rsidR="00BB12D9" w:rsidRPr="00662906" w:rsidRDefault="00BB12D9" w:rsidP="007E6C89">
            <w:pPr>
              <w:pStyle w:val="ListParagraph"/>
              <w:numPr>
                <w:ilvl w:val="0"/>
                <w:numId w:val="73"/>
              </w:numPr>
              <w:spacing w:before="40" w:after="40"/>
              <w:ind w:left="367" w:hanging="291"/>
              <w:jc w:val="center"/>
              <w:rPr>
                <w:rFonts w:eastAsia="Arial" w:cs="Arial"/>
                <w:color w:val="394A58"/>
                <w:sz w:val="16"/>
                <w:szCs w:val="16"/>
              </w:rPr>
            </w:pPr>
            <w:r w:rsidRPr="00662906">
              <w:rPr>
                <w:rFonts w:eastAsia="Arial" w:cs="Arial"/>
                <w:color w:val="394A58"/>
                <w:sz w:val="16"/>
                <w:szCs w:val="16"/>
              </w:rPr>
              <w:t>Collaborate with international aviation authorities for standard alignment</w:t>
            </w:r>
          </w:p>
          <w:p w14:paraId="7E727149" w14:textId="0A67D3FB" w:rsidR="00BB12D9" w:rsidRPr="00662906" w:rsidRDefault="00BB12D9" w:rsidP="007E6C89">
            <w:pPr>
              <w:pStyle w:val="ListParagraph"/>
              <w:numPr>
                <w:ilvl w:val="0"/>
                <w:numId w:val="73"/>
              </w:numPr>
              <w:spacing w:before="40" w:after="40"/>
              <w:ind w:left="367" w:hanging="291"/>
              <w:jc w:val="center"/>
              <w:rPr>
                <w:rFonts w:eastAsia="Arial" w:cs="Arial"/>
                <w:color w:val="394A58"/>
                <w:sz w:val="16"/>
                <w:szCs w:val="16"/>
              </w:rPr>
            </w:pPr>
            <w:r w:rsidRPr="00662906">
              <w:rPr>
                <w:rFonts w:eastAsia="Arial" w:cs="Arial"/>
                <w:color w:val="394A58"/>
                <w:sz w:val="16"/>
                <w:szCs w:val="16"/>
              </w:rPr>
              <w:t>Launch pilot SAF initiatives with selected carriers</w:t>
            </w:r>
          </w:p>
        </w:tc>
        <w:tc>
          <w:tcPr>
            <w:tcW w:w="1276" w:type="dxa"/>
            <w:shd w:val="clear" w:color="auto" w:fill="FFFFFF"/>
            <w:tcMar>
              <w:left w:w="57" w:type="dxa"/>
              <w:right w:w="57" w:type="dxa"/>
            </w:tcMar>
          </w:tcPr>
          <w:p w14:paraId="0770FB7A" w14:textId="50FF77E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146C37D6" w14:textId="3812BEF0"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AUC</w:t>
            </w:r>
            <w:r w:rsidR="006C3AF0" w:rsidRPr="00662906">
              <w:rPr>
                <w:rFonts w:cs="Arial"/>
                <w:sz w:val="16"/>
                <w:szCs w:val="16"/>
              </w:rPr>
              <w:t>-DIE</w:t>
            </w:r>
          </w:p>
        </w:tc>
        <w:tc>
          <w:tcPr>
            <w:tcW w:w="1198" w:type="dxa"/>
            <w:shd w:val="clear" w:color="auto" w:fill="FFFFFF"/>
            <w:tcMar>
              <w:left w:w="57" w:type="dxa"/>
              <w:right w:w="57" w:type="dxa"/>
            </w:tcMar>
          </w:tcPr>
          <w:p w14:paraId="23636F6A" w14:textId="799D2BC1" w:rsidR="006C3AF0" w:rsidRPr="00662906" w:rsidRDefault="006C3AF0" w:rsidP="007E6C89">
            <w:pPr>
              <w:spacing w:before="40" w:after="40"/>
              <w:jc w:val="center"/>
              <w:rPr>
                <w:rFonts w:cs="Arial"/>
                <w:sz w:val="16"/>
                <w:szCs w:val="16"/>
              </w:rPr>
            </w:pPr>
            <w:r w:rsidRPr="00662906">
              <w:rPr>
                <w:rFonts w:cs="Arial"/>
                <w:sz w:val="16"/>
                <w:szCs w:val="16"/>
              </w:rPr>
              <w:t>Ministry in charge of Transport (Civil Aviation Authorities),</w:t>
            </w:r>
          </w:p>
          <w:p w14:paraId="16A6CF48" w14:textId="26EE69F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Airlines, fuel suppliers, R&amp;D institutions, development partners</w:t>
            </w:r>
          </w:p>
        </w:tc>
        <w:tc>
          <w:tcPr>
            <w:tcW w:w="851" w:type="dxa"/>
            <w:shd w:val="clear" w:color="auto" w:fill="FFFFFF"/>
            <w:tcMar>
              <w:left w:w="57" w:type="dxa"/>
              <w:right w:w="57" w:type="dxa"/>
            </w:tcMar>
          </w:tcPr>
          <w:p w14:paraId="186ABC06" w14:textId="749D1427"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50433DB6" w14:textId="176E03B6"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Feedstock research papers</w:t>
            </w:r>
          </w:p>
          <w:p w14:paraId="3EA3613C" w14:textId="34EAE4F7"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Policy framework for SAF incentives</w:t>
            </w:r>
          </w:p>
          <w:p w14:paraId="1CD606C7" w14:textId="75ECA894"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Pilot SAF flights in partner airlines</w:t>
            </w:r>
          </w:p>
          <w:p w14:paraId="51BBF4DD" w14:textId="18588D20" w:rsidR="00BB12D9" w:rsidRPr="00662906" w:rsidRDefault="007C0504"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Stakeholder workshop reports"</w:t>
            </w:r>
          </w:p>
        </w:tc>
        <w:tc>
          <w:tcPr>
            <w:tcW w:w="1701" w:type="dxa"/>
            <w:shd w:val="clear" w:color="auto" w:fill="FFFFFF"/>
          </w:tcPr>
          <w:p w14:paraId="32ADB573" w14:textId="4F911994"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Steady decarbonization of aviation through SAF, reducing reliance on conventional jet fuels and aligning Africa with global sustainability targets</w:t>
            </w:r>
          </w:p>
        </w:tc>
        <w:tc>
          <w:tcPr>
            <w:tcW w:w="1843" w:type="dxa"/>
            <w:shd w:val="clear" w:color="auto" w:fill="FFFFFF"/>
          </w:tcPr>
          <w:p w14:paraId="70AF83C2" w14:textId="0ECA08E5" w:rsidR="00050730" w:rsidRPr="00662906" w:rsidRDefault="00050730"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SAF Uptake in Aviation Industry.</w:t>
            </w:r>
          </w:p>
          <w:p w14:paraId="4D16DD96" w14:textId="7F1817EC" w:rsidR="00BB12D9" w:rsidRPr="00662906" w:rsidRDefault="00BB12D9" w:rsidP="007E6C89">
            <w:pPr>
              <w:spacing w:before="40" w:after="40"/>
              <w:ind w:left="-39"/>
              <w:jc w:val="center"/>
              <w:rPr>
                <w:rFonts w:eastAsia="Arial" w:cs="Arial"/>
                <w:color w:val="53575A"/>
                <w:sz w:val="16"/>
                <w:szCs w:val="16"/>
              </w:rPr>
            </w:pPr>
          </w:p>
        </w:tc>
      </w:tr>
      <w:tr w:rsidR="00DF4488" w:rsidRPr="00662906" w14:paraId="71EC9A44" w14:textId="77777777" w:rsidTr="007E6C89">
        <w:trPr>
          <w:trHeight w:val="300"/>
        </w:trPr>
        <w:tc>
          <w:tcPr>
            <w:tcW w:w="372" w:type="dxa"/>
            <w:shd w:val="clear" w:color="auto" w:fill="FFFFFF"/>
            <w:tcMar>
              <w:left w:w="57" w:type="dxa"/>
              <w:right w:w="57" w:type="dxa"/>
            </w:tcMar>
          </w:tcPr>
          <w:p w14:paraId="7EAC2CC2" w14:textId="4233DD78" w:rsidR="00BB12D9" w:rsidRPr="00662906" w:rsidRDefault="00F21003"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188" w:type="dxa"/>
            <w:shd w:val="clear" w:color="auto" w:fill="FFFFFF"/>
            <w:tcMar>
              <w:left w:w="57" w:type="dxa"/>
              <w:right w:w="57" w:type="dxa"/>
            </w:tcMar>
          </w:tcPr>
          <w:p w14:paraId="2E3DFF8C" w14:textId="61CA643E"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Modernize rail networks with emphasis on hydrogen locomotives</w:t>
            </w:r>
          </w:p>
        </w:tc>
        <w:tc>
          <w:tcPr>
            <w:tcW w:w="3260" w:type="dxa"/>
            <w:tcBorders>
              <w:top w:val="single" w:sz="4" w:space="0" w:color="9F2241"/>
              <w:left w:val="nil"/>
              <w:bottom w:val="single" w:sz="4" w:space="0" w:color="9F2241"/>
              <w:right w:val="nil"/>
            </w:tcBorders>
            <w:tcMar>
              <w:left w:w="57" w:type="dxa"/>
              <w:right w:w="57" w:type="dxa"/>
            </w:tcMar>
          </w:tcPr>
          <w:p w14:paraId="7DE039B9" w14:textId="3B4D61EF" w:rsidR="00BB12D9" w:rsidRPr="00662906" w:rsidRDefault="00BB12D9" w:rsidP="007E6C89">
            <w:pPr>
              <w:pStyle w:val="ListParagraph"/>
              <w:numPr>
                <w:ilvl w:val="0"/>
                <w:numId w:val="74"/>
              </w:numPr>
              <w:spacing w:before="40" w:after="40"/>
              <w:ind w:left="367" w:hanging="291"/>
              <w:jc w:val="center"/>
              <w:rPr>
                <w:rFonts w:eastAsia="Arial" w:cs="Arial"/>
                <w:color w:val="394A58"/>
                <w:sz w:val="16"/>
                <w:szCs w:val="16"/>
              </w:rPr>
            </w:pPr>
            <w:r w:rsidRPr="00662906">
              <w:rPr>
                <w:rFonts w:eastAsia="Arial" w:cs="Arial"/>
                <w:color w:val="394A58"/>
                <w:sz w:val="16"/>
                <w:szCs w:val="16"/>
              </w:rPr>
              <w:t>Evaluate feasibility of railway electrification versus hydrogen locomotive technology</w:t>
            </w:r>
          </w:p>
          <w:p w14:paraId="1E136918" w14:textId="572E1C31" w:rsidR="00BB12D9" w:rsidRPr="00662906" w:rsidRDefault="00BB12D9" w:rsidP="007E6C89">
            <w:pPr>
              <w:pStyle w:val="ListParagraph"/>
              <w:numPr>
                <w:ilvl w:val="0"/>
                <w:numId w:val="74"/>
              </w:numPr>
              <w:spacing w:before="40" w:after="40"/>
              <w:ind w:left="367" w:hanging="291"/>
              <w:jc w:val="center"/>
              <w:rPr>
                <w:rFonts w:eastAsia="Arial" w:cs="Arial"/>
                <w:color w:val="394A58"/>
                <w:sz w:val="16"/>
                <w:szCs w:val="16"/>
              </w:rPr>
            </w:pPr>
            <w:r w:rsidRPr="00662906">
              <w:rPr>
                <w:rFonts w:eastAsia="Arial" w:cs="Arial"/>
                <w:color w:val="394A58"/>
                <w:sz w:val="16"/>
                <w:szCs w:val="16"/>
              </w:rPr>
              <w:t>Conduct cost and operational analyses for hydrogen-powered trains</w:t>
            </w:r>
          </w:p>
          <w:p w14:paraId="69B36CFF" w14:textId="6C26F978" w:rsidR="00BB12D9" w:rsidRPr="00662906" w:rsidRDefault="00BB12D9" w:rsidP="007E6C89">
            <w:pPr>
              <w:pStyle w:val="ListParagraph"/>
              <w:numPr>
                <w:ilvl w:val="0"/>
                <w:numId w:val="74"/>
              </w:numPr>
              <w:spacing w:before="40" w:after="40"/>
              <w:ind w:left="367" w:hanging="291"/>
              <w:jc w:val="center"/>
              <w:rPr>
                <w:rFonts w:eastAsia="Arial" w:cs="Arial"/>
                <w:color w:val="394A58"/>
                <w:sz w:val="16"/>
                <w:szCs w:val="16"/>
              </w:rPr>
            </w:pPr>
            <w:r w:rsidRPr="00662906">
              <w:rPr>
                <w:rFonts w:eastAsia="Arial" w:cs="Arial"/>
                <w:color w:val="394A58"/>
                <w:sz w:val="16"/>
                <w:szCs w:val="16"/>
              </w:rPr>
              <w:t>Pilot hydrogen locomotives on select routes</w:t>
            </w:r>
          </w:p>
          <w:p w14:paraId="1B81609F" w14:textId="08B939CD" w:rsidR="00BB12D9" w:rsidRPr="00662906" w:rsidRDefault="00BB12D9" w:rsidP="007E6C89">
            <w:pPr>
              <w:pStyle w:val="ListParagraph"/>
              <w:numPr>
                <w:ilvl w:val="0"/>
                <w:numId w:val="74"/>
              </w:numPr>
              <w:spacing w:before="40" w:after="40"/>
              <w:ind w:left="367" w:hanging="291"/>
              <w:jc w:val="center"/>
              <w:rPr>
                <w:rFonts w:eastAsia="Arial" w:cs="Arial"/>
                <w:color w:val="394A58"/>
                <w:sz w:val="16"/>
                <w:szCs w:val="16"/>
              </w:rPr>
            </w:pPr>
            <w:r w:rsidRPr="00662906">
              <w:rPr>
                <w:rFonts w:eastAsia="Arial" w:cs="Arial"/>
                <w:color w:val="394A58"/>
                <w:sz w:val="16"/>
                <w:szCs w:val="16"/>
              </w:rPr>
              <w:lastRenderedPageBreak/>
              <w:t>Develop guidelines for railroad hydrogen fuelling infrastructure</w:t>
            </w:r>
          </w:p>
        </w:tc>
        <w:tc>
          <w:tcPr>
            <w:tcW w:w="1276" w:type="dxa"/>
            <w:shd w:val="clear" w:color="auto" w:fill="FFFFFF"/>
            <w:tcMar>
              <w:left w:w="57" w:type="dxa"/>
              <w:right w:w="57" w:type="dxa"/>
            </w:tcMar>
          </w:tcPr>
          <w:p w14:paraId="4D648788" w14:textId="73A74A61" w:rsidR="00BB12D9" w:rsidRPr="00662906" w:rsidRDefault="00BB12D9"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24B04918" w14:textId="5AC42E17"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Ministries in charge of Transport (Rail Authorities),</w:t>
            </w:r>
          </w:p>
        </w:tc>
        <w:tc>
          <w:tcPr>
            <w:tcW w:w="1198" w:type="dxa"/>
            <w:shd w:val="clear" w:color="auto" w:fill="FFFFFF"/>
            <w:tcMar>
              <w:left w:w="57" w:type="dxa"/>
              <w:right w:w="57" w:type="dxa"/>
            </w:tcMar>
          </w:tcPr>
          <w:p w14:paraId="4A60CF8A" w14:textId="77777777" w:rsidR="00BB12D9" w:rsidRPr="00662906" w:rsidRDefault="00BB12D9" w:rsidP="007E6C89">
            <w:pPr>
              <w:spacing w:before="40" w:after="40"/>
              <w:jc w:val="center"/>
              <w:rPr>
                <w:rFonts w:cs="Arial"/>
                <w:sz w:val="16"/>
                <w:szCs w:val="16"/>
              </w:rPr>
            </w:pPr>
            <w:r w:rsidRPr="00662906">
              <w:rPr>
                <w:rFonts w:cs="Arial"/>
                <w:sz w:val="16"/>
                <w:szCs w:val="16"/>
              </w:rPr>
              <w:t>Railway operators, hydrogen technology suppliers, financial institutions</w:t>
            </w:r>
          </w:p>
          <w:p w14:paraId="19F0EBA6" w14:textId="15839435" w:rsidR="00050730" w:rsidRPr="00662906" w:rsidRDefault="00050730" w:rsidP="007E6C89">
            <w:pPr>
              <w:spacing w:before="40" w:after="40"/>
              <w:jc w:val="center"/>
              <w:rPr>
                <w:rFonts w:eastAsia="Arial" w:cs="Arial"/>
                <w:color w:val="53575A"/>
                <w:sz w:val="16"/>
                <w:szCs w:val="16"/>
              </w:rPr>
            </w:pPr>
            <w:r w:rsidRPr="00662906">
              <w:rPr>
                <w:rFonts w:cs="Arial"/>
                <w:sz w:val="16"/>
                <w:szCs w:val="16"/>
              </w:rPr>
              <w:t>AUC/AFREC</w:t>
            </w:r>
          </w:p>
        </w:tc>
        <w:tc>
          <w:tcPr>
            <w:tcW w:w="851" w:type="dxa"/>
            <w:shd w:val="clear" w:color="auto" w:fill="FFFFFF"/>
            <w:tcMar>
              <w:left w:w="57" w:type="dxa"/>
              <w:right w:w="57" w:type="dxa"/>
            </w:tcMar>
          </w:tcPr>
          <w:p w14:paraId="4A8CEF2F" w14:textId="491B128E" w:rsidR="00BB12D9" w:rsidRPr="00662906" w:rsidRDefault="00BB12D9"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70C8236E" w14:textId="1D3BE1C2"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Comparative feasibility studies</w:t>
            </w:r>
          </w:p>
          <w:p w14:paraId="490437A9" w14:textId="74C1DDCE" w:rsidR="007C0504" w:rsidRPr="00662906" w:rsidRDefault="007C0504" w:rsidP="007E6C89">
            <w:pPr>
              <w:pStyle w:val="ListParagraph"/>
              <w:numPr>
                <w:ilvl w:val="0"/>
                <w:numId w:val="63"/>
              </w:numPr>
              <w:spacing w:before="40" w:after="40"/>
              <w:ind w:left="318"/>
              <w:jc w:val="center"/>
              <w:rPr>
                <w:rFonts w:cs="Arial"/>
                <w:sz w:val="16"/>
                <w:szCs w:val="16"/>
              </w:rPr>
            </w:pPr>
            <w:r w:rsidRPr="00662906">
              <w:rPr>
                <w:rFonts w:cs="Arial"/>
                <w:sz w:val="16"/>
                <w:szCs w:val="16"/>
              </w:rPr>
              <w:t>Pilot demonstration of hydrogen locomotives</w:t>
            </w:r>
          </w:p>
          <w:p w14:paraId="1BC0BA8A" w14:textId="15A84B95" w:rsidR="00BB12D9" w:rsidRPr="00662906" w:rsidRDefault="007C0504" w:rsidP="007E6C89">
            <w:pPr>
              <w:pStyle w:val="ListParagraph"/>
              <w:numPr>
                <w:ilvl w:val="0"/>
                <w:numId w:val="63"/>
              </w:numPr>
              <w:spacing w:before="40" w:after="40"/>
              <w:ind w:left="318"/>
              <w:jc w:val="center"/>
              <w:rPr>
                <w:rFonts w:eastAsia="Arial" w:cs="Arial"/>
                <w:color w:val="53575A"/>
                <w:sz w:val="16"/>
                <w:szCs w:val="16"/>
              </w:rPr>
            </w:pPr>
            <w:r w:rsidRPr="00662906">
              <w:rPr>
                <w:rFonts w:cs="Arial"/>
                <w:sz w:val="16"/>
                <w:szCs w:val="16"/>
              </w:rPr>
              <w:t xml:space="preserve">Infrastructure guidelines for </w:t>
            </w:r>
            <w:r w:rsidRPr="00662906">
              <w:rPr>
                <w:rFonts w:cs="Arial"/>
                <w:sz w:val="16"/>
                <w:szCs w:val="16"/>
              </w:rPr>
              <w:lastRenderedPageBreak/>
              <w:t>hydrogen refuelling</w:t>
            </w:r>
          </w:p>
        </w:tc>
        <w:tc>
          <w:tcPr>
            <w:tcW w:w="1701" w:type="dxa"/>
            <w:shd w:val="clear" w:color="auto" w:fill="FFFFFF"/>
          </w:tcPr>
          <w:p w14:paraId="4BC0F927" w14:textId="742E7938" w:rsidR="00BB12D9" w:rsidRPr="00662906" w:rsidRDefault="00050730"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Adoption potential for decarbonization in the railways transportation for both passenger and freight</w:t>
            </w:r>
          </w:p>
        </w:tc>
        <w:tc>
          <w:tcPr>
            <w:tcW w:w="1843" w:type="dxa"/>
            <w:shd w:val="clear" w:color="auto" w:fill="FFFFFF"/>
          </w:tcPr>
          <w:p w14:paraId="2737AE81" w14:textId="0029F273" w:rsidR="0046025B" w:rsidRPr="00662906" w:rsidRDefault="0046025B"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Feasibility studies completed (Yes/No)</w:t>
            </w:r>
          </w:p>
          <w:p w14:paraId="1E2E4BFA" w14:textId="0D1AA384" w:rsidR="0046025B" w:rsidRPr="00662906" w:rsidRDefault="0046025B"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hydrogen locomotive pilots</w:t>
            </w:r>
          </w:p>
          <w:p w14:paraId="45232FC6" w14:textId="4CDFC08B" w:rsidR="00BB12D9" w:rsidRPr="00662906" w:rsidRDefault="0046025B"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Guidelines for hydrogen </w:t>
            </w:r>
            <w:r w:rsidRPr="00662906">
              <w:rPr>
                <w:rFonts w:eastAsia="Arial" w:cs="Arial"/>
                <w:color w:val="53575A"/>
                <w:sz w:val="16"/>
                <w:szCs w:val="16"/>
              </w:rPr>
              <w:lastRenderedPageBreak/>
              <w:t>infrastructure published (Yes/No)</w:t>
            </w:r>
          </w:p>
        </w:tc>
      </w:tr>
    </w:tbl>
    <w:p w14:paraId="177DFE93" w14:textId="6B987387" w:rsidR="009D4E00" w:rsidRPr="00662906" w:rsidDel="00675F08" w:rsidRDefault="00671BD4" w:rsidP="004E7220">
      <w:pPr>
        <w:rPr>
          <w:rFonts w:eastAsia="Arial" w:cs="Arial"/>
          <w:i/>
          <w:iCs/>
          <w:color w:val="B4A169"/>
          <w:sz w:val="16"/>
          <w:szCs w:val="16"/>
        </w:rPr>
      </w:pPr>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p>
    <w:p w14:paraId="20BE41E4" w14:textId="38B14716" w:rsidR="34AFE5CB" w:rsidRPr="00662906" w:rsidRDefault="1FB41F28" w:rsidP="00FE02A1">
      <w:pPr>
        <w:pStyle w:val="Caption"/>
      </w:pPr>
      <w:bookmarkStart w:id="612" w:name="_Toc171955592"/>
      <w:bookmarkStart w:id="613" w:name="_Toc176430321"/>
      <w:bookmarkStart w:id="614" w:name="_Toc197433908"/>
      <w:r w:rsidRPr="00662906">
        <w:t xml:space="preserve">Table </w:t>
      </w:r>
      <w:fldSimple w:instr=" SEQ Table \* ARABIC ">
        <w:r w:rsidR="00610F61">
          <w:rPr>
            <w:noProof/>
          </w:rPr>
          <w:t>20</w:t>
        </w:r>
      </w:fldSimple>
      <w:r w:rsidR="483119FC" w:rsidRPr="00662906">
        <w:t>:</w:t>
      </w:r>
      <w:r w:rsidR="4B5D1D6A" w:rsidRPr="00662906">
        <w:t xml:space="preserve"> Action Plan for </w:t>
      </w:r>
      <w:r w:rsidR="3BE25F12" w:rsidRPr="00662906">
        <w:t xml:space="preserve">Strategic Intervention 2: </w:t>
      </w:r>
      <w:r w:rsidR="005C2DB4" w:rsidRPr="00662906">
        <w:t>Transitioning the conventional transport systems to multi-modal transport systems for efficient use and energy demand reduction.</w:t>
      </w:r>
      <w:bookmarkEnd w:id="612"/>
      <w:bookmarkEnd w:id="613"/>
      <w:bookmarkEnd w:id="614"/>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B90A25" w:rsidRPr="00662906" w14:paraId="1854B96E" w14:textId="77777777" w:rsidTr="007E6C89">
        <w:trPr>
          <w:trHeight w:val="360"/>
        </w:trPr>
        <w:tc>
          <w:tcPr>
            <w:tcW w:w="14456" w:type="dxa"/>
            <w:gridSpan w:val="10"/>
            <w:shd w:val="clear" w:color="auto" w:fill="B4A269"/>
          </w:tcPr>
          <w:p w14:paraId="25E9E075" w14:textId="3CAD7C0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bCs/>
                <w:color w:val="FFFFFF"/>
                <w:sz w:val="16"/>
                <w:szCs w:val="16"/>
              </w:rPr>
              <w:t>The transport sector’s inefficiencies stem from outdated practices and fragmented regulatory frameworks. This intervention aims to optimize fuel use and energy demand through harmonized policies, planning, and standards, implemented at both national and regional levels. Starting with bottom-up approaches in Member States and scaling through continental harmonization, the pathway will reduce fuel consumption, lower emissions, and foster resilient and efficient transportation systems, while creating the institutional frameworks necessary for long-term energy sustainability.</w:t>
            </w:r>
          </w:p>
        </w:tc>
      </w:tr>
      <w:tr w:rsidR="00B90A25" w:rsidRPr="00662906" w14:paraId="5DA3398E" w14:textId="77777777" w:rsidTr="007E6C89">
        <w:trPr>
          <w:trHeight w:val="699"/>
        </w:trPr>
        <w:tc>
          <w:tcPr>
            <w:tcW w:w="1415" w:type="dxa"/>
            <w:gridSpan w:val="2"/>
            <w:shd w:val="clear" w:color="auto" w:fill="B4A269"/>
            <w:tcMar>
              <w:left w:w="57" w:type="dxa"/>
              <w:right w:w="57" w:type="dxa"/>
            </w:tcMar>
            <w:vAlign w:val="center"/>
          </w:tcPr>
          <w:p w14:paraId="055A6B09"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78C8E2FA" w14:textId="77777777" w:rsidR="00B90A25" w:rsidRPr="00662906" w:rsidRDefault="00B90A25"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tcBorders>
              <w:bottom w:val="single" w:sz="4" w:space="0" w:color="9F2241"/>
            </w:tcBorders>
            <w:shd w:val="clear" w:color="auto" w:fill="B4A269"/>
            <w:tcMar>
              <w:left w:w="57" w:type="dxa"/>
              <w:right w:w="57" w:type="dxa"/>
            </w:tcMar>
            <w:vAlign w:val="center"/>
          </w:tcPr>
          <w:p w14:paraId="4DB87F30"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39F443B5"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6AD6467A"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395A9A5A"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63E0350D"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2B602311"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222E19DF" w14:textId="77777777" w:rsidR="00B90A25" w:rsidRPr="00662906" w:rsidRDefault="00B90A25"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F21003" w:rsidRPr="00662906" w14:paraId="310D71E2" w14:textId="77777777" w:rsidTr="007E6C89">
        <w:trPr>
          <w:trHeight w:val="1413"/>
        </w:trPr>
        <w:tc>
          <w:tcPr>
            <w:tcW w:w="167" w:type="dxa"/>
            <w:tcBorders>
              <w:top w:val="single" w:sz="4" w:space="0" w:color="9F2241"/>
            </w:tcBorders>
            <w:shd w:val="clear" w:color="auto" w:fill="FFFFFF"/>
            <w:tcMar>
              <w:left w:w="57" w:type="dxa"/>
              <w:right w:w="57" w:type="dxa"/>
            </w:tcMar>
          </w:tcPr>
          <w:p w14:paraId="59E3E99B" w14:textId="77777777" w:rsidR="00F21003" w:rsidRPr="00662906" w:rsidRDefault="00F21003"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tcBorders>
              <w:top w:val="single" w:sz="4" w:space="0" w:color="9F2241"/>
            </w:tcBorders>
            <w:shd w:val="clear" w:color="auto" w:fill="FFFFFF"/>
            <w:tcMar>
              <w:left w:w="57" w:type="dxa"/>
              <w:right w:w="57" w:type="dxa"/>
            </w:tcMar>
          </w:tcPr>
          <w:p w14:paraId="1785C42A" w14:textId="45B84887" w:rsidR="00F21003" w:rsidRPr="00662906" w:rsidRDefault="00F21003" w:rsidP="007E6C89">
            <w:pPr>
              <w:spacing w:before="40" w:after="40"/>
              <w:jc w:val="center"/>
              <w:rPr>
                <w:rFonts w:eastAsia="Arial" w:cs="Arial"/>
                <w:color w:val="53575A"/>
                <w:sz w:val="16"/>
                <w:szCs w:val="16"/>
              </w:rPr>
            </w:pPr>
            <w:r w:rsidRPr="00662906">
              <w:rPr>
                <w:rFonts w:cs="Arial"/>
                <w:sz w:val="16"/>
                <w:szCs w:val="16"/>
              </w:rPr>
              <w:t>Promote integrated land-use, energy, and transport planning to reduce travel demand and plan for energy infrastructure and services</w:t>
            </w:r>
          </w:p>
        </w:tc>
        <w:tc>
          <w:tcPr>
            <w:tcW w:w="3260" w:type="dxa"/>
            <w:tcBorders>
              <w:top w:val="single" w:sz="4" w:space="0" w:color="9F2241"/>
              <w:bottom w:val="single" w:sz="2" w:space="0" w:color="9F2241"/>
            </w:tcBorders>
            <w:shd w:val="clear" w:color="auto" w:fill="FFFFFF"/>
            <w:tcMar>
              <w:left w:w="57" w:type="dxa"/>
              <w:right w:w="57" w:type="dxa"/>
            </w:tcMar>
          </w:tcPr>
          <w:p w14:paraId="7AFBE03A" w14:textId="723E81EB" w:rsidR="00F21003" w:rsidRPr="00662906" w:rsidRDefault="00F21003" w:rsidP="007E6C89">
            <w:pPr>
              <w:pStyle w:val="ListParagraph"/>
              <w:numPr>
                <w:ilvl w:val="0"/>
                <w:numId w:val="76"/>
              </w:numPr>
              <w:spacing w:before="0" w:after="0"/>
              <w:ind w:left="367"/>
              <w:jc w:val="center"/>
              <w:rPr>
                <w:rFonts w:cs="Arial"/>
                <w:sz w:val="16"/>
                <w:szCs w:val="16"/>
              </w:rPr>
            </w:pPr>
            <w:r w:rsidRPr="00662906">
              <w:rPr>
                <w:rFonts w:cs="Arial"/>
                <w:sz w:val="16"/>
                <w:szCs w:val="16"/>
              </w:rPr>
              <w:t>Conduct baseline assessments of existing transport demand, energy use, and land-use patterns</w:t>
            </w:r>
          </w:p>
          <w:p w14:paraId="2BD610F9" w14:textId="2D1445A0" w:rsidR="00F21003" w:rsidRPr="00662906" w:rsidRDefault="00F21003" w:rsidP="007E6C89">
            <w:pPr>
              <w:pStyle w:val="ListParagraph"/>
              <w:numPr>
                <w:ilvl w:val="0"/>
                <w:numId w:val="76"/>
              </w:numPr>
              <w:spacing w:before="0" w:after="0"/>
              <w:ind w:left="367"/>
              <w:jc w:val="center"/>
              <w:rPr>
                <w:rFonts w:cs="Arial"/>
                <w:sz w:val="16"/>
                <w:szCs w:val="16"/>
              </w:rPr>
            </w:pPr>
            <w:r w:rsidRPr="00662906">
              <w:rPr>
                <w:rFonts w:cs="Arial"/>
                <w:sz w:val="16"/>
                <w:szCs w:val="16"/>
              </w:rPr>
              <w:t>Develop integrated planning frameworks aligning transport, energy, and land-use strategies</w:t>
            </w:r>
          </w:p>
          <w:p w14:paraId="4E55FCB1" w14:textId="6C59E39B" w:rsidR="00F21003" w:rsidRPr="00662906" w:rsidRDefault="00F21003" w:rsidP="007E6C89">
            <w:pPr>
              <w:pStyle w:val="ListParagraph"/>
              <w:numPr>
                <w:ilvl w:val="0"/>
                <w:numId w:val="76"/>
              </w:numPr>
              <w:spacing w:before="0" w:after="0"/>
              <w:ind w:left="367"/>
              <w:jc w:val="center"/>
              <w:rPr>
                <w:rFonts w:cs="Arial"/>
                <w:sz w:val="16"/>
                <w:szCs w:val="16"/>
              </w:rPr>
            </w:pPr>
            <w:r w:rsidRPr="00662906">
              <w:rPr>
                <w:rFonts w:cs="Arial"/>
                <w:sz w:val="16"/>
                <w:szCs w:val="16"/>
              </w:rPr>
              <w:t>Engage stakeholders (public agencies, private sector, local communities) through consultative workshops</w:t>
            </w:r>
          </w:p>
          <w:p w14:paraId="381A82F8" w14:textId="43F8CB09" w:rsidR="00F21003" w:rsidRPr="00662906" w:rsidRDefault="00F21003" w:rsidP="007E6C89">
            <w:pPr>
              <w:pStyle w:val="ListParagraph"/>
              <w:numPr>
                <w:ilvl w:val="0"/>
                <w:numId w:val="76"/>
              </w:numPr>
              <w:spacing w:before="0" w:after="0"/>
              <w:ind w:left="367"/>
              <w:jc w:val="center"/>
              <w:rPr>
                <w:rFonts w:cs="Arial"/>
                <w:sz w:val="16"/>
                <w:szCs w:val="16"/>
              </w:rPr>
            </w:pPr>
            <w:r w:rsidRPr="00662906">
              <w:rPr>
                <w:rFonts w:cs="Arial"/>
                <w:sz w:val="16"/>
                <w:szCs w:val="16"/>
              </w:rPr>
              <w:t>Propose pilot projects for transit-oriented development</w:t>
            </w:r>
          </w:p>
        </w:tc>
        <w:tc>
          <w:tcPr>
            <w:tcW w:w="1276" w:type="dxa"/>
            <w:tcBorders>
              <w:top w:val="single" w:sz="4" w:space="0" w:color="9F2241"/>
            </w:tcBorders>
            <w:shd w:val="clear" w:color="auto" w:fill="FFFFFF"/>
            <w:tcMar>
              <w:left w:w="57" w:type="dxa"/>
              <w:right w:w="57" w:type="dxa"/>
            </w:tcMar>
          </w:tcPr>
          <w:p w14:paraId="24324C44" w14:textId="77777777" w:rsidR="00F21003" w:rsidRPr="00662906" w:rsidRDefault="00F21003" w:rsidP="007E6C89">
            <w:pPr>
              <w:spacing w:before="40" w:after="40"/>
              <w:jc w:val="center"/>
              <w:rPr>
                <w:rFonts w:eastAsia="Arial" w:cs="Arial"/>
                <w:sz w:val="16"/>
                <w:szCs w:val="16"/>
              </w:rPr>
            </w:pPr>
            <w:r w:rsidRPr="00662906">
              <w:rPr>
                <w:rFonts w:eastAsia="Arial" w:cs="Arial"/>
                <w:sz w:val="16"/>
                <w:szCs w:val="16"/>
              </w:rPr>
              <w:t>National</w:t>
            </w:r>
          </w:p>
          <w:p w14:paraId="6C1F28BA" w14:textId="37A5F4E4" w:rsidR="00F21003" w:rsidRPr="00662906" w:rsidRDefault="00F21003" w:rsidP="007E6C89">
            <w:pPr>
              <w:spacing w:before="40" w:after="40"/>
              <w:jc w:val="center"/>
              <w:rPr>
                <w:rFonts w:eastAsia="Arial" w:cs="Arial"/>
                <w:color w:val="53575A"/>
                <w:sz w:val="16"/>
                <w:szCs w:val="16"/>
              </w:rPr>
            </w:pPr>
          </w:p>
        </w:tc>
        <w:tc>
          <w:tcPr>
            <w:tcW w:w="1070" w:type="dxa"/>
            <w:shd w:val="clear" w:color="auto" w:fill="FFFFFF"/>
            <w:tcMar>
              <w:left w:w="57" w:type="dxa"/>
              <w:right w:w="57" w:type="dxa"/>
            </w:tcMar>
          </w:tcPr>
          <w:p w14:paraId="026A5019" w14:textId="2C3363A8" w:rsidR="00F21003" w:rsidRPr="00662906" w:rsidRDefault="00F21003" w:rsidP="007E6C89">
            <w:pPr>
              <w:spacing w:before="40" w:after="40"/>
              <w:jc w:val="center"/>
              <w:rPr>
                <w:rFonts w:eastAsia="Arial" w:cs="Arial"/>
                <w:color w:val="53575A"/>
                <w:sz w:val="16"/>
                <w:szCs w:val="16"/>
              </w:rPr>
            </w:pPr>
            <w:r w:rsidRPr="00662906">
              <w:rPr>
                <w:rFonts w:eastAsia="Arial" w:cs="Arial"/>
                <w:sz w:val="16"/>
                <w:szCs w:val="16"/>
              </w:rPr>
              <w:t>Ministries in charge of Energy,</w:t>
            </w:r>
          </w:p>
        </w:tc>
        <w:tc>
          <w:tcPr>
            <w:tcW w:w="1198" w:type="dxa"/>
            <w:shd w:val="clear" w:color="auto" w:fill="FFFFFF"/>
            <w:tcMar>
              <w:left w:w="57" w:type="dxa"/>
              <w:right w:w="57" w:type="dxa"/>
            </w:tcMar>
          </w:tcPr>
          <w:p w14:paraId="2B714863" w14:textId="77777777" w:rsidR="00F21003" w:rsidRPr="00662906" w:rsidRDefault="00F21003" w:rsidP="007E6C89">
            <w:pPr>
              <w:spacing w:before="40" w:after="40"/>
              <w:jc w:val="center"/>
              <w:rPr>
                <w:rFonts w:eastAsia="Arial" w:cs="Arial"/>
                <w:sz w:val="16"/>
                <w:szCs w:val="16"/>
              </w:rPr>
            </w:pPr>
            <w:r w:rsidRPr="00662906">
              <w:rPr>
                <w:rFonts w:eastAsia="Arial" w:cs="Arial"/>
                <w:sz w:val="16"/>
                <w:szCs w:val="16"/>
              </w:rPr>
              <w:t>Ministries in charge of Transport, Land use planning, Environment Automobile</w:t>
            </w:r>
          </w:p>
          <w:p w14:paraId="438F918B" w14:textId="189250C4" w:rsidR="00F21003" w:rsidRPr="00662906" w:rsidRDefault="00F21003" w:rsidP="007E6C89">
            <w:pPr>
              <w:spacing w:before="40" w:after="40"/>
              <w:jc w:val="center"/>
              <w:rPr>
                <w:rFonts w:eastAsia="Arial" w:cs="Arial"/>
                <w:color w:val="53575A"/>
                <w:sz w:val="16"/>
                <w:szCs w:val="16"/>
              </w:rPr>
            </w:pPr>
            <w:r w:rsidRPr="00662906">
              <w:rPr>
                <w:rFonts w:eastAsia="Arial" w:cs="Arial"/>
                <w:sz w:val="16"/>
                <w:szCs w:val="16"/>
              </w:rPr>
              <w:t xml:space="preserve">Automotive and fuel companies. African Association for Public Transport (UATP); </w:t>
            </w:r>
            <w:r w:rsidR="00E948FC" w:rsidRPr="00662906">
              <w:rPr>
                <w:rFonts w:eastAsia="Arial" w:cs="Arial"/>
                <w:sz w:val="16"/>
                <w:szCs w:val="16"/>
              </w:rPr>
              <w:t>t</w:t>
            </w:r>
            <w:r w:rsidRPr="00662906">
              <w:rPr>
                <w:rFonts w:eastAsia="Arial" w:cs="Arial"/>
                <w:sz w:val="16"/>
                <w:szCs w:val="16"/>
              </w:rPr>
              <w:t>he Africa Transport Policy Program (SSATP); ICCT</w:t>
            </w:r>
            <w:r w:rsidR="00E948FC" w:rsidRPr="00662906">
              <w:rPr>
                <w:rFonts w:eastAsia="Arial" w:cs="Arial"/>
                <w:sz w:val="16"/>
                <w:szCs w:val="16"/>
              </w:rPr>
              <w:t>.</w:t>
            </w:r>
          </w:p>
        </w:tc>
        <w:tc>
          <w:tcPr>
            <w:tcW w:w="851" w:type="dxa"/>
            <w:shd w:val="clear" w:color="auto" w:fill="FFFFFF"/>
            <w:tcMar>
              <w:left w:w="57" w:type="dxa"/>
              <w:right w:w="57" w:type="dxa"/>
            </w:tcMar>
          </w:tcPr>
          <w:p w14:paraId="77B6343B" w14:textId="77777777" w:rsidR="00F21003" w:rsidRPr="00662906" w:rsidRDefault="00F21003" w:rsidP="007E6C89">
            <w:pPr>
              <w:spacing w:before="40" w:after="40"/>
              <w:jc w:val="center"/>
              <w:rPr>
                <w:rFonts w:eastAsia="Arial" w:cs="Arial"/>
                <w:sz w:val="16"/>
                <w:szCs w:val="16"/>
              </w:rPr>
            </w:pPr>
            <w:r w:rsidRPr="00662906">
              <w:rPr>
                <w:rFonts w:eastAsia="Arial" w:cs="Arial"/>
                <w:sz w:val="16"/>
                <w:szCs w:val="16"/>
              </w:rPr>
              <w:t>Short-medium term</w:t>
            </w:r>
          </w:p>
          <w:p w14:paraId="75CF5FC1" w14:textId="606A5E49" w:rsidR="00F21003" w:rsidRPr="00662906" w:rsidRDefault="00F21003" w:rsidP="007E6C89">
            <w:pPr>
              <w:spacing w:before="40" w:after="40"/>
              <w:jc w:val="center"/>
              <w:rPr>
                <w:rFonts w:eastAsia="Arial" w:cs="Arial"/>
                <w:color w:val="53575A"/>
                <w:sz w:val="16"/>
                <w:szCs w:val="16"/>
              </w:rPr>
            </w:pPr>
          </w:p>
        </w:tc>
        <w:tc>
          <w:tcPr>
            <w:tcW w:w="1842" w:type="dxa"/>
            <w:shd w:val="clear" w:color="auto" w:fill="FFFFFF"/>
          </w:tcPr>
          <w:p w14:paraId="48175A06" w14:textId="1DE8302A" w:rsidR="00F21003" w:rsidRPr="00662906" w:rsidRDefault="00F2100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Comprehensive baseline reports</w:t>
            </w:r>
          </w:p>
          <w:p w14:paraId="42E561E9" w14:textId="1918FD70" w:rsidR="00F21003" w:rsidRPr="00662906" w:rsidRDefault="00F2100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Integrated planning frameworks</w:t>
            </w:r>
          </w:p>
          <w:p w14:paraId="737EACAC" w14:textId="1D250968" w:rsidR="00F21003" w:rsidRPr="00662906" w:rsidRDefault="00F2100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project proposals</w:t>
            </w:r>
          </w:p>
        </w:tc>
        <w:tc>
          <w:tcPr>
            <w:tcW w:w="1701" w:type="dxa"/>
            <w:shd w:val="clear" w:color="auto" w:fill="FFFFFF"/>
          </w:tcPr>
          <w:p w14:paraId="5DB34AED" w14:textId="2B37E15F" w:rsidR="00F21003" w:rsidRPr="00662906" w:rsidRDefault="00F21003" w:rsidP="007E6C89">
            <w:pPr>
              <w:spacing w:before="40" w:after="40"/>
              <w:jc w:val="center"/>
              <w:rPr>
                <w:rFonts w:eastAsia="Arial" w:cs="Arial"/>
                <w:color w:val="53575A"/>
                <w:sz w:val="16"/>
                <w:szCs w:val="16"/>
              </w:rPr>
            </w:pPr>
            <w:r w:rsidRPr="00662906">
              <w:rPr>
                <w:rFonts w:cs="Arial"/>
                <w:sz w:val="16"/>
                <w:szCs w:val="16"/>
              </w:rPr>
              <w:t>Reduced travel demand and optimized energy consumption through coordinated land-use and transport, laying groundwork for more sustainable infrastructure investments</w:t>
            </w:r>
          </w:p>
        </w:tc>
        <w:tc>
          <w:tcPr>
            <w:tcW w:w="1843" w:type="dxa"/>
            <w:shd w:val="clear" w:color="auto" w:fill="FFFFFF"/>
          </w:tcPr>
          <w:p w14:paraId="1CDF3915" w14:textId="52CDF4C1" w:rsidR="00F21003" w:rsidRPr="00662906" w:rsidRDefault="00F2100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assessments completed (Yes/No)</w:t>
            </w:r>
          </w:p>
          <w:p w14:paraId="3A9D9E84" w14:textId="6E1676E7" w:rsidR="00F21003" w:rsidRPr="00662906" w:rsidRDefault="00F2100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Integrated framework approved (Yes/No)</w:t>
            </w:r>
          </w:p>
          <w:p w14:paraId="46E7E93C" w14:textId="6EDC7B5E" w:rsidR="00F21003" w:rsidRPr="00662906" w:rsidRDefault="00F2100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pilot projects launched</w:t>
            </w:r>
          </w:p>
        </w:tc>
      </w:tr>
      <w:tr w:rsidR="00835D42" w:rsidRPr="00662906" w14:paraId="5CBEB9AF" w14:textId="77777777" w:rsidTr="007E6C89">
        <w:trPr>
          <w:trHeight w:val="300"/>
        </w:trPr>
        <w:tc>
          <w:tcPr>
            <w:tcW w:w="167" w:type="dxa"/>
            <w:shd w:val="clear" w:color="auto" w:fill="FFFFFF"/>
            <w:tcMar>
              <w:left w:w="57" w:type="dxa"/>
              <w:right w:w="57" w:type="dxa"/>
            </w:tcMar>
          </w:tcPr>
          <w:p w14:paraId="677B8904" w14:textId="77777777" w:rsidR="00835D42" w:rsidRPr="00662906" w:rsidRDefault="00835D42"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09445F55" w14:textId="49C34FD7"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Introduction of smart transportation systems and technologies</w:t>
            </w:r>
          </w:p>
        </w:tc>
        <w:tc>
          <w:tcPr>
            <w:tcW w:w="3260" w:type="dxa"/>
            <w:tcBorders>
              <w:bottom w:val="single" w:sz="4" w:space="0" w:color="9F2241"/>
            </w:tcBorders>
            <w:shd w:val="clear" w:color="auto" w:fill="FFFFFF"/>
            <w:tcMar>
              <w:left w:w="57" w:type="dxa"/>
              <w:right w:w="57" w:type="dxa"/>
            </w:tcMar>
          </w:tcPr>
          <w:p w14:paraId="59592CD7" w14:textId="2DE379EA" w:rsidR="00835D42" w:rsidRPr="00662906" w:rsidRDefault="00835D42" w:rsidP="007E6C89">
            <w:pPr>
              <w:pStyle w:val="ListParagraph"/>
              <w:numPr>
                <w:ilvl w:val="0"/>
                <w:numId w:val="77"/>
              </w:numPr>
              <w:spacing w:before="40" w:after="40"/>
              <w:ind w:left="367"/>
              <w:jc w:val="center"/>
              <w:rPr>
                <w:rFonts w:eastAsia="Arial" w:cs="Arial"/>
                <w:color w:val="394A58"/>
                <w:sz w:val="16"/>
                <w:szCs w:val="16"/>
              </w:rPr>
            </w:pPr>
            <w:r w:rsidRPr="00662906">
              <w:rPr>
                <w:rFonts w:eastAsia="Arial" w:cs="Arial"/>
                <w:color w:val="394A58"/>
                <w:sz w:val="16"/>
                <w:szCs w:val="16"/>
              </w:rPr>
              <w:t>Identify and evaluate relevant smart transport technologies (e.g., intelligent traffic systems, digital ticketing) suited to African contexts</w:t>
            </w:r>
          </w:p>
          <w:p w14:paraId="4D1A2BC4" w14:textId="56128455" w:rsidR="00835D42" w:rsidRPr="00662906" w:rsidRDefault="00835D42" w:rsidP="007E6C89">
            <w:pPr>
              <w:pStyle w:val="ListParagraph"/>
              <w:numPr>
                <w:ilvl w:val="0"/>
                <w:numId w:val="77"/>
              </w:numPr>
              <w:spacing w:before="40" w:after="40"/>
              <w:ind w:left="367"/>
              <w:jc w:val="center"/>
              <w:rPr>
                <w:rFonts w:eastAsia="Arial" w:cs="Arial"/>
                <w:color w:val="394A58"/>
                <w:sz w:val="16"/>
                <w:szCs w:val="16"/>
              </w:rPr>
            </w:pPr>
            <w:r w:rsidRPr="00662906">
              <w:rPr>
                <w:rFonts w:eastAsia="Arial" w:cs="Arial"/>
                <w:color w:val="394A58"/>
                <w:sz w:val="16"/>
                <w:szCs w:val="16"/>
              </w:rPr>
              <w:t>Conduct pilot deployments in select urban areas and monitor performance</w:t>
            </w:r>
          </w:p>
          <w:p w14:paraId="57E2C02D" w14:textId="0E153186" w:rsidR="00835D42" w:rsidRPr="00662906" w:rsidRDefault="00835D42" w:rsidP="007E6C89">
            <w:pPr>
              <w:pStyle w:val="ListParagraph"/>
              <w:numPr>
                <w:ilvl w:val="0"/>
                <w:numId w:val="77"/>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Establish guidelines for scalability and integration with existing transport networks</w:t>
            </w:r>
          </w:p>
        </w:tc>
        <w:tc>
          <w:tcPr>
            <w:tcW w:w="1276" w:type="dxa"/>
            <w:shd w:val="clear" w:color="auto" w:fill="FFFFFF"/>
            <w:tcMar>
              <w:left w:w="57" w:type="dxa"/>
              <w:right w:w="57" w:type="dxa"/>
            </w:tcMar>
          </w:tcPr>
          <w:p w14:paraId="30F350B2" w14:textId="4E732638" w:rsidR="00835D42" w:rsidRPr="00662906" w:rsidRDefault="00835D42"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016B880C" w14:textId="328E22D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154EDD7F" w14:textId="7574E99E"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 xml:space="preserve">Ministries in charge of Transport, Land Use Planning, Environment, Automotive and Fuel </w:t>
            </w:r>
            <w:r w:rsidRPr="00662906">
              <w:rPr>
                <w:rFonts w:cs="Arial"/>
                <w:sz w:val="16"/>
                <w:szCs w:val="16"/>
              </w:rPr>
              <w:lastRenderedPageBreak/>
              <w:t>Companies, UATP, SSATP, ICCT</w:t>
            </w:r>
          </w:p>
        </w:tc>
        <w:tc>
          <w:tcPr>
            <w:tcW w:w="851" w:type="dxa"/>
            <w:shd w:val="clear" w:color="auto" w:fill="FFFFFF"/>
            <w:tcMar>
              <w:left w:w="57" w:type="dxa"/>
              <w:right w:w="57" w:type="dxa"/>
            </w:tcMar>
          </w:tcPr>
          <w:p w14:paraId="0D942044" w14:textId="7F7CBBC1" w:rsidR="00835D42" w:rsidRPr="00662906" w:rsidRDefault="00835D42" w:rsidP="007E6C89">
            <w:pPr>
              <w:spacing w:before="40" w:after="40"/>
              <w:jc w:val="center"/>
              <w:rPr>
                <w:rFonts w:eastAsia="Arial" w:cs="Arial"/>
                <w:color w:val="53575A"/>
                <w:sz w:val="16"/>
                <w:szCs w:val="16"/>
              </w:rPr>
            </w:pPr>
            <w:r w:rsidRPr="00662906">
              <w:rPr>
                <w:rFonts w:cs="Arial"/>
                <w:sz w:val="16"/>
                <w:szCs w:val="16"/>
              </w:rPr>
              <w:lastRenderedPageBreak/>
              <w:t>Short-Medium Term</w:t>
            </w:r>
          </w:p>
        </w:tc>
        <w:tc>
          <w:tcPr>
            <w:tcW w:w="1842" w:type="dxa"/>
            <w:shd w:val="clear" w:color="auto" w:fill="FFFFFF"/>
          </w:tcPr>
          <w:p w14:paraId="181D7842" w14:textId="39CBEB06"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Technology feasibility studies</w:t>
            </w:r>
          </w:p>
          <w:p w14:paraId="3D9B31C7" w14:textId="6D9FC719"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deployment reports</w:t>
            </w:r>
          </w:p>
          <w:p w14:paraId="474B13B4" w14:textId="6975E785"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Guidelines for smart transport scalability</w:t>
            </w:r>
          </w:p>
        </w:tc>
        <w:tc>
          <w:tcPr>
            <w:tcW w:w="1701" w:type="dxa"/>
            <w:shd w:val="clear" w:color="auto" w:fill="FFFFFF"/>
          </w:tcPr>
          <w:p w14:paraId="263FC432" w14:textId="19CDB1B6"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 xml:space="preserve">Reduced congestion, lower emissions, and improved transport efficiency through the adoption of smart technologies </w:t>
            </w:r>
            <w:r w:rsidRPr="00662906">
              <w:rPr>
                <w:rFonts w:cs="Arial"/>
                <w:sz w:val="16"/>
                <w:szCs w:val="16"/>
              </w:rPr>
              <w:lastRenderedPageBreak/>
              <w:t>tailored to regional needs</w:t>
            </w:r>
          </w:p>
        </w:tc>
        <w:tc>
          <w:tcPr>
            <w:tcW w:w="1843" w:type="dxa"/>
            <w:shd w:val="clear" w:color="auto" w:fill="FFFFFF"/>
          </w:tcPr>
          <w:p w14:paraId="5830A1DE" w14:textId="7E037BB6" w:rsidR="00835D42"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Evidence of emission or congestion reduction (Yes/No)</w:t>
            </w:r>
          </w:p>
        </w:tc>
      </w:tr>
      <w:tr w:rsidR="00835D42" w:rsidRPr="00662906" w14:paraId="0619B482" w14:textId="77777777" w:rsidTr="007E6C89">
        <w:trPr>
          <w:trHeight w:val="300"/>
        </w:trPr>
        <w:tc>
          <w:tcPr>
            <w:tcW w:w="167" w:type="dxa"/>
            <w:shd w:val="clear" w:color="auto" w:fill="FFFFFF"/>
            <w:tcMar>
              <w:left w:w="57" w:type="dxa"/>
              <w:right w:w="57" w:type="dxa"/>
            </w:tcMar>
          </w:tcPr>
          <w:p w14:paraId="1BE647F7" w14:textId="77777777" w:rsidR="00835D42" w:rsidRPr="00662906" w:rsidRDefault="00835D42"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6C639CF4" w14:textId="64DABB0D"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Regulated vehicle importation and informal transport sector</w:t>
            </w:r>
          </w:p>
        </w:tc>
        <w:tc>
          <w:tcPr>
            <w:tcW w:w="3260" w:type="dxa"/>
            <w:tcBorders>
              <w:top w:val="single" w:sz="4" w:space="0" w:color="9F2241"/>
              <w:left w:val="nil"/>
              <w:bottom w:val="single" w:sz="4" w:space="0" w:color="9F2241"/>
              <w:right w:val="nil"/>
            </w:tcBorders>
            <w:tcMar>
              <w:left w:w="57" w:type="dxa"/>
              <w:right w:w="57" w:type="dxa"/>
            </w:tcMar>
          </w:tcPr>
          <w:p w14:paraId="0F1F72E0" w14:textId="14DF57C2" w:rsidR="00835D42" w:rsidRPr="00662906" w:rsidRDefault="00835D42" w:rsidP="007E6C89">
            <w:pPr>
              <w:pStyle w:val="ListParagraph"/>
              <w:numPr>
                <w:ilvl w:val="0"/>
                <w:numId w:val="78"/>
              </w:numPr>
              <w:spacing w:before="40" w:after="40"/>
              <w:ind w:left="367"/>
              <w:jc w:val="center"/>
              <w:rPr>
                <w:rFonts w:eastAsia="Arial" w:cs="Arial"/>
                <w:color w:val="394A58"/>
                <w:sz w:val="16"/>
                <w:szCs w:val="16"/>
              </w:rPr>
            </w:pPr>
            <w:r w:rsidRPr="00662906">
              <w:rPr>
                <w:rFonts w:eastAsia="Arial" w:cs="Arial"/>
                <w:color w:val="394A58"/>
                <w:sz w:val="16"/>
                <w:szCs w:val="16"/>
              </w:rPr>
              <w:t>Review existing vehicle import regulations, focusing on emission standards and fuel efficiency</w:t>
            </w:r>
          </w:p>
          <w:p w14:paraId="4486B811" w14:textId="2C04C281" w:rsidR="00835D42" w:rsidRPr="00662906" w:rsidRDefault="00835D42" w:rsidP="007E6C89">
            <w:pPr>
              <w:pStyle w:val="ListParagraph"/>
              <w:numPr>
                <w:ilvl w:val="0"/>
                <w:numId w:val="78"/>
              </w:numPr>
              <w:spacing w:before="40" w:after="40"/>
              <w:ind w:left="367"/>
              <w:jc w:val="center"/>
              <w:rPr>
                <w:rFonts w:eastAsia="Arial" w:cs="Arial"/>
                <w:color w:val="394A58"/>
                <w:sz w:val="16"/>
                <w:szCs w:val="16"/>
              </w:rPr>
            </w:pPr>
            <w:r w:rsidRPr="00662906">
              <w:rPr>
                <w:rFonts w:eastAsia="Arial" w:cs="Arial"/>
                <w:color w:val="394A58"/>
                <w:sz w:val="16"/>
                <w:szCs w:val="16"/>
              </w:rPr>
              <w:t>Incorporate non-motori</w:t>
            </w:r>
            <w:r w:rsidR="00E948FC" w:rsidRPr="00662906">
              <w:rPr>
                <w:rFonts w:eastAsia="Arial" w:cs="Arial"/>
                <w:color w:val="394A58"/>
                <w:sz w:val="16"/>
                <w:szCs w:val="16"/>
              </w:rPr>
              <w:t>s</w:t>
            </w:r>
            <w:r w:rsidRPr="00662906">
              <w:rPr>
                <w:rFonts w:eastAsia="Arial" w:cs="Arial"/>
                <w:color w:val="394A58"/>
                <w:sz w:val="16"/>
                <w:szCs w:val="16"/>
              </w:rPr>
              <w:t>ed transport (NMT) and informal transport providers into policy frameworks</w:t>
            </w:r>
          </w:p>
          <w:p w14:paraId="18F5E6E5" w14:textId="572E55B6" w:rsidR="00835D42" w:rsidRPr="00662906" w:rsidRDefault="00835D42" w:rsidP="007E6C89">
            <w:pPr>
              <w:pStyle w:val="ListParagraph"/>
              <w:numPr>
                <w:ilvl w:val="0"/>
                <w:numId w:val="78"/>
              </w:numPr>
              <w:spacing w:before="40" w:after="40"/>
              <w:ind w:left="367"/>
              <w:jc w:val="center"/>
              <w:rPr>
                <w:rFonts w:eastAsia="Arial" w:cs="Arial"/>
                <w:color w:val="394A58"/>
                <w:sz w:val="16"/>
                <w:szCs w:val="16"/>
              </w:rPr>
            </w:pPr>
            <w:r w:rsidRPr="00662906">
              <w:rPr>
                <w:rFonts w:eastAsia="Arial" w:cs="Arial"/>
                <w:color w:val="394A58"/>
                <w:sz w:val="16"/>
                <w:szCs w:val="16"/>
              </w:rPr>
              <w:t>Propose phased regulation updates for older/high-emission vehicles</w:t>
            </w:r>
          </w:p>
        </w:tc>
        <w:tc>
          <w:tcPr>
            <w:tcW w:w="1276" w:type="dxa"/>
            <w:shd w:val="clear" w:color="auto" w:fill="FFFFFF"/>
            <w:tcMar>
              <w:left w:w="57" w:type="dxa"/>
              <w:right w:w="57" w:type="dxa"/>
            </w:tcMar>
          </w:tcPr>
          <w:p w14:paraId="2CA7AF97" w14:textId="6F3BCDC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380809E0" w14:textId="1593735B"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 xml:space="preserve">Ministries in charge of </w:t>
            </w:r>
            <w:r w:rsidR="00801F80" w:rsidRPr="00662906">
              <w:rPr>
                <w:rFonts w:cs="Arial"/>
                <w:sz w:val="16"/>
                <w:szCs w:val="16"/>
              </w:rPr>
              <w:t>Transport</w:t>
            </w:r>
          </w:p>
        </w:tc>
        <w:tc>
          <w:tcPr>
            <w:tcW w:w="1198" w:type="dxa"/>
            <w:shd w:val="clear" w:color="auto" w:fill="FFFFFF"/>
            <w:tcMar>
              <w:left w:w="57" w:type="dxa"/>
              <w:right w:w="57" w:type="dxa"/>
            </w:tcMar>
          </w:tcPr>
          <w:p w14:paraId="1F0650B7" w14:textId="667BF860" w:rsidR="00801F80" w:rsidRPr="00662906" w:rsidRDefault="00835D42" w:rsidP="007E6C89">
            <w:pPr>
              <w:spacing w:before="40" w:after="40"/>
              <w:jc w:val="center"/>
              <w:rPr>
                <w:rFonts w:cs="Arial"/>
                <w:sz w:val="16"/>
                <w:szCs w:val="16"/>
              </w:rPr>
            </w:pPr>
            <w:r w:rsidRPr="00662906">
              <w:rPr>
                <w:rFonts w:cs="Arial"/>
                <w:sz w:val="16"/>
                <w:szCs w:val="16"/>
              </w:rPr>
              <w:t>Ministries in charge of Energy, Environment,</w:t>
            </w:r>
            <w:r w:rsidR="00801F80" w:rsidRPr="00662906">
              <w:rPr>
                <w:rFonts w:cs="Arial"/>
                <w:sz w:val="16"/>
                <w:szCs w:val="16"/>
              </w:rPr>
              <w:t xml:space="preserve"> Customs,</w:t>
            </w:r>
          </w:p>
          <w:p w14:paraId="276F9DEF" w14:textId="1739C9FB"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Automotive and Fuel Companies, UATP, SSATP</w:t>
            </w:r>
          </w:p>
        </w:tc>
        <w:tc>
          <w:tcPr>
            <w:tcW w:w="851" w:type="dxa"/>
            <w:shd w:val="clear" w:color="auto" w:fill="FFFFFF"/>
            <w:tcMar>
              <w:left w:w="57" w:type="dxa"/>
              <w:right w:w="57" w:type="dxa"/>
            </w:tcMar>
          </w:tcPr>
          <w:p w14:paraId="000A9F36" w14:textId="5D0DCB22"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47296DCE" w14:textId="66E06CE0"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Regulatory review report</w:t>
            </w:r>
          </w:p>
          <w:p w14:paraId="1B664072" w14:textId="5E12D4BF"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Revised policy guidelines on NMT and informal transport</w:t>
            </w:r>
          </w:p>
          <w:p w14:paraId="3B7C1434" w14:textId="41D90EE9"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Phased plan for regulating imports and high-emission vehicles</w:t>
            </w:r>
          </w:p>
        </w:tc>
        <w:tc>
          <w:tcPr>
            <w:tcW w:w="1701" w:type="dxa"/>
            <w:shd w:val="clear" w:color="auto" w:fill="FFFFFF"/>
          </w:tcPr>
          <w:p w14:paraId="221FDF37" w14:textId="03274F7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Lower overall energy demand, minimized pollution from transport fleets, and safer, more inclusive mobility options</w:t>
            </w:r>
          </w:p>
        </w:tc>
        <w:tc>
          <w:tcPr>
            <w:tcW w:w="1843" w:type="dxa"/>
            <w:shd w:val="clear" w:color="auto" w:fill="FFFFFF"/>
          </w:tcPr>
          <w:p w14:paraId="61E41580" w14:textId="2C8C2CB2" w:rsidR="00835D42"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Revise</w:t>
            </w:r>
            <w:r w:rsidR="00801F80" w:rsidRPr="00662906">
              <w:rPr>
                <w:rFonts w:eastAsia="Arial" w:cs="Arial"/>
                <w:color w:val="53575A"/>
                <w:sz w:val="16"/>
                <w:szCs w:val="16"/>
              </w:rPr>
              <w:t xml:space="preserve"> </w:t>
            </w:r>
            <w:r w:rsidRPr="00662906">
              <w:rPr>
                <w:rFonts w:eastAsia="Arial" w:cs="Arial"/>
                <w:color w:val="53575A"/>
                <w:sz w:val="16"/>
                <w:szCs w:val="16"/>
              </w:rPr>
              <w:t>vehicle/</w:t>
            </w:r>
            <w:r w:rsidR="009A0D6A" w:rsidRPr="00662906">
              <w:rPr>
                <w:rFonts w:eastAsia="Arial" w:cs="Arial"/>
                <w:color w:val="53575A"/>
                <w:sz w:val="16"/>
                <w:szCs w:val="16"/>
              </w:rPr>
              <w:t xml:space="preserve"> </w:t>
            </w:r>
            <w:r w:rsidRPr="00662906">
              <w:rPr>
                <w:rFonts w:eastAsia="Arial" w:cs="Arial"/>
                <w:color w:val="53575A"/>
                <w:sz w:val="16"/>
                <w:szCs w:val="16"/>
              </w:rPr>
              <w:t>import</w:t>
            </w:r>
            <w:r w:rsidR="00801F80" w:rsidRPr="00662906">
              <w:rPr>
                <w:rFonts w:eastAsia="Arial" w:cs="Arial"/>
                <w:color w:val="53575A"/>
                <w:sz w:val="16"/>
                <w:szCs w:val="16"/>
              </w:rPr>
              <w:t>ation</w:t>
            </w:r>
            <w:r w:rsidRPr="00662906">
              <w:rPr>
                <w:rFonts w:eastAsia="Arial" w:cs="Arial"/>
                <w:color w:val="53575A"/>
                <w:sz w:val="16"/>
                <w:szCs w:val="16"/>
              </w:rPr>
              <w:t xml:space="preserve"> guidelines approved (Yes/No)</w:t>
            </w:r>
          </w:p>
        </w:tc>
      </w:tr>
      <w:tr w:rsidR="00835D42" w:rsidRPr="00662906" w14:paraId="2E174B30" w14:textId="77777777" w:rsidTr="007E6C89">
        <w:trPr>
          <w:trHeight w:val="300"/>
        </w:trPr>
        <w:tc>
          <w:tcPr>
            <w:tcW w:w="167" w:type="dxa"/>
            <w:shd w:val="clear" w:color="auto" w:fill="FFFFFF"/>
            <w:tcMar>
              <w:left w:w="57" w:type="dxa"/>
              <w:right w:w="57" w:type="dxa"/>
            </w:tcMar>
          </w:tcPr>
          <w:p w14:paraId="232E8D03" w14:textId="77777777" w:rsidR="00835D42" w:rsidRPr="00662906" w:rsidRDefault="00835D42"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4BE45EE4" w14:textId="329465FA"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Harmonize standards</w:t>
            </w:r>
            <w:r w:rsidR="00EA52FB" w:rsidRPr="00662906">
              <w:rPr>
                <w:rFonts w:cs="Arial"/>
                <w:sz w:val="16"/>
                <w:szCs w:val="16"/>
              </w:rPr>
              <w:t>, regulations</w:t>
            </w:r>
            <w:r w:rsidRPr="00662906">
              <w:rPr>
                <w:rFonts w:cs="Arial"/>
                <w:sz w:val="16"/>
                <w:szCs w:val="16"/>
              </w:rPr>
              <w:t xml:space="preserve"> and policies across AU Member States to accelerate adoption of clean transportation technologies</w:t>
            </w:r>
          </w:p>
        </w:tc>
        <w:tc>
          <w:tcPr>
            <w:tcW w:w="3260" w:type="dxa"/>
            <w:tcBorders>
              <w:top w:val="single" w:sz="4" w:space="0" w:color="9F2241"/>
              <w:left w:val="nil"/>
              <w:bottom w:val="single" w:sz="4" w:space="0" w:color="9F2241"/>
              <w:right w:val="nil"/>
            </w:tcBorders>
            <w:tcMar>
              <w:left w:w="57" w:type="dxa"/>
              <w:right w:w="57" w:type="dxa"/>
            </w:tcMar>
          </w:tcPr>
          <w:p w14:paraId="024E56B9" w14:textId="70B8FFEE" w:rsidR="00835D42" w:rsidRPr="00662906" w:rsidRDefault="00835D42" w:rsidP="007E6C89">
            <w:pPr>
              <w:pStyle w:val="ListParagraph"/>
              <w:numPr>
                <w:ilvl w:val="0"/>
                <w:numId w:val="79"/>
              </w:numPr>
              <w:spacing w:before="40" w:after="40"/>
              <w:ind w:left="367"/>
              <w:jc w:val="center"/>
              <w:rPr>
                <w:rFonts w:eastAsia="Arial" w:cs="Arial"/>
                <w:color w:val="394A58"/>
                <w:sz w:val="16"/>
                <w:szCs w:val="16"/>
              </w:rPr>
            </w:pPr>
            <w:r w:rsidRPr="00662906">
              <w:rPr>
                <w:rFonts w:eastAsia="Arial" w:cs="Arial"/>
                <w:color w:val="394A58"/>
                <w:sz w:val="16"/>
                <w:szCs w:val="16"/>
              </w:rPr>
              <w:t>Identify gaps in existing vehicle, infrastructure, and fuel standards across Member States</w:t>
            </w:r>
          </w:p>
          <w:p w14:paraId="1261A584" w14:textId="4E3FB3CB" w:rsidR="00835D42" w:rsidRPr="00662906" w:rsidRDefault="00835D42" w:rsidP="007E6C89">
            <w:pPr>
              <w:pStyle w:val="ListParagraph"/>
              <w:numPr>
                <w:ilvl w:val="0"/>
                <w:numId w:val="79"/>
              </w:numPr>
              <w:spacing w:before="40" w:after="40"/>
              <w:ind w:left="367"/>
              <w:jc w:val="center"/>
              <w:rPr>
                <w:rFonts w:eastAsia="Arial" w:cs="Arial"/>
                <w:color w:val="394A58"/>
                <w:sz w:val="16"/>
                <w:szCs w:val="16"/>
              </w:rPr>
            </w:pPr>
            <w:r w:rsidRPr="00662906">
              <w:rPr>
                <w:rFonts w:eastAsia="Arial" w:cs="Arial"/>
                <w:color w:val="394A58"/>
                <w:sz w:val="16"/>
                <w:szCs w:val="16"/>
              </w:rPr>
              <w:t>Draft harmonized standards in collaboration with AFSEC/ARSO</w:t>
            </w:r>
          </w:p>
          <w:p w14:paraId="4717762C" w14:textId="328AF66C" w:rsidR="00835D42" w:rsidRPr="00662906" w:rsidRDefault="00835D42" w:rsidP="007E6C89">
            <w:pPr>
              <w:pStyle w:val="ListParagraph"/>
              <w:numPr>
                <w:ilvl w:val="0"/>
                <w:numId w:val="79"/>
              </w:numPr>
              <w:spacing w:before="40" w:after="40"/>
              <w:ind w:left="367"/>
              <w:jc w:val="center"/>
              <w:rPr>
                <w:rFonts w:eastAsia="Arial" w:cs="Arial"/>
                <w:color w:val="394A58"/>
                <w:sz w:val="16"/>
                <w:szCs w:val="16"/>
              </w:rPr>
            </w:pPr>
            <w:r w:rsidRPr="00662906">
              <w:rPr>
                <w:rFonts w:eastAsia="Arial" w:cs="Arial"/>
                <w:color w:val="394A58"/>
                <w:sz w:val="16"/>
                <w:szCs w:val="16"/>
              </w:rPr>
              <w:t>Conduct stakeholder consultations at continental and regional levels</w:t>
            </w:r>
          </w:p>
          <w:p w14:paraId="2F208F9C" w14:textId="30A5CF92" w:rsidR="00835D42" w:rsidRPr="00662906" w:rsidRDefault="00835D42" w:rsidP="007E6C89">
            <w:pPr>
              <w:pStyle w:val="ListParagraph"/>
              <w:numPr>
                <w:ilvl w:val="0"/>
                <w:numId w:val="79"/>
              </w:numPr>
              <w:spacing w:before="40" w:after="40"/>
              <w:ind w:left="367"/>
              <w:jc w:val="center"/>
              <w:rPr>
                <w:rFonts w:eastAsia="Arial" w:cs="Arial"/>
                <w:color w:val="394A58"/>
                <w:sz w:val="16"/>
                <w:szCs w:val="16"/>
              </w:rPr>
            </w:pPr>
            <w:r w:rsidRPr="00662906">
              <w:rPr>
                <w:rFonts w:eastAsia="Arial" w:cs="Arial"/>
                <w:color w:val="394A58"/>
                <w:sz w:val="16"/>
                <w:szCs w:val="16"/>
              </w:rPr>
              <w:t>Publish final standards and monitor initial implementation</w:t>
            </w:r>
          </w:p>
        </w:tc>
        <w:tc>
          <w:tcPr>
            <w:tcW w:w="1276" w:type="dxa"/>
            <w:shd w:val="clear" w:color="auto" w:fill="FFFFFF"/>
            <w:tcMar>
              <w:left w:w="57" w:type="dxa"/>
              <w:right w:w="57" w:type="dxa"/>
            </w:tcMar>
          </w:tcPr>
          <w:p w14:paraId="0F3218C2" w14:textId="7536B755"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0FEC9017" w14:textId="4F242BDE"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Ministries in charge of Energy, Environment</w:t>
            </w:r>
          </w:p>
        </w:tc>
        <w:tc>
          <w:tcPr>
            <w:tcW w:w="1198" w:type="dxa"/>
            <w:shd w:val="clear" w:color="auto" w:fill="FFFFFF"/>
            <w:tcMar>
              <w:left w:w="57" w:type="dxa"/>
              <w:right w:w="57" w:type="dxa"/>
            </w:tcMar>
          </w:tcPr>
          <w:p w14:paraId="68E9CA87" w14:textId="7C174BBA" w:rsidR="0041354F" w:rsidRPr="00662906" w:rsidRDefault="00835D42" w:rsidP="007E6C89">
            <w:pPr>
              <w:spacing w:before="40" w:after="40"/>
              <w:jc w:val="center"/>
              <w:rPr>
                <w:rFonts w:cs="Arial"/>
                <w:sz w:val="16"/>
                <w:szCs w:val="16"/>
              </w:rPr>
            </w:pPr>
            <w:r w:rsidRPr="00662906">
              <w:rPr>
                <w:rFonts w:cs="Arial"/>
                <w:sz w:val="16"/>
                <w:szCs w:val="16"/>
              </w:rPr>
              <w:t xml:space="preserve">Ministries in charge of Transport, </w:t>
            </w:r>
            <w:r w:rsidR="0041354F" w:rsidRPr="00662906">
              <w:rPr>
                <w:rFonts w:cs="Arial"/>
                <w:sz w:val="16"/>
                <w:szCs w:val="16"/>
              </w:rPr>
              <w:t>National and Regional Standards Bodies</w:t>
            </w:r>
          </w:p>
          <w:p w14:paraId="01606C05" w14:textId="06363707"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Automotive and Fuel Companies, SSATP</w:t>
            </w:r>
          </w:p>
        </w:tc>
        <w:tc>
          <w:tcPr>
            <w:tcW w:w="851" w:type="dxa"/>
            <w:shd w:val="clear" w:color="auto" w:fill="FFFFFF"/>
            <w:tcMar>
              <w:left w:w="57" w:type="dxa"/>
              <w:right w:w="57" w:type="dxa"/>
            </w:tcMar>
          </w:tcPr>
          <w:p w14:paraId="6B1CAEFD" w14:textId="4081AA2F"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69E902CC" w14:textId="2CA3F6EF"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Comparative study on standards</w:t>
            </w:r>
          </w:p>
          <w:p w14:paraId="2B1D32EA" w14:textId="107239D7"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harmonized policy/technical documents</w:t>
            </w:r>
          </w:p>
          <w:p w14:paraId="4A09AB56" w14:textId="7896B621"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Finalized continental standards</w:t>
            </w:r>
          </w:p>
        </w:tc>
        <w:tc>
          <w:tcPr>
            <w:tcW w:w="1701" w:type="dxa"/>
            <w:shd w:val="clear" w:color="auto" w:fill="FFFFFF"/>
          </w:tcPr>
          <w:p w14:paraId="6FFEED9D" w14:textId="161F37A2"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Expanded clean transport markets across Member States through unified regulatory frameworks, promoting economies of scale for sustainable technologies</w:t>
            </w:r>
          </w:p>
        </w:tc>
        <w:tc>
          <w:tcPr>
            <w:tcW w:w="1843" w:type="dxa"/>
            <w:shd w:val="clear" w:color="auto" w:fill="FFFFFF"/>
          </w:tcPr>
          <w:p w14:paraId="39B12E7C" w14:textId="4B5E8F7A" w:rsidR="008850D9"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Final standards published (Yes/No)</w:t>
            </w:r>
          </w:p>
          <w:p w14:paraId="07283F76" w14:textId="0506DEF1" w:rsidR="00835D42"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Member States adopting standards</w:t>
            </w:r>
          </w:p>
        </w:tc>
      </w:tr>
      <w:tr w:rsidR="00835D42" w:rsidRPr="00662906" w14:paraId="21C87568" w14:textId="77777777" w:rsidTr="007E6C89">
        <w:trPr>
          <w:trHeight w:val="300"/>
        </w:trPr>
        <w:tc>
          <w:tcPr>
            <w:tcW w:w="167" w:type="dxa"/>
            <w:shd w:val="clear" w:color="auto" w:fill="FFFFFF"/>
            <w:tcMar>
              <w:left w:w="57" w:type="dxa"/>
              <w:right w:w="57" w:type="dxa"/>
            </w:tcMar>
          </w:tcPr>
          <w:p w14:paraId="4EAC488D" w14:textId="77777777" w:rsidR="00835D42" w:rsidRPr="00662906" w:rsidRDefault="00835D42"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42683A71" w14:textId="573F3F5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Develop technical and institutional capacity to deliver net-zero commitments</w:t>
            </w:r>
          </w:p>
        </w:tc>
        <w:tc>
          <w:tcPr>
            <w:tcW w:w="3260" w:type="dxa"/>
            <w:tcBorders>
              <w:top w:val="single" w:sz="4" w:space="0" w:color="9F2241"/>
              <w:left w:val="nil"/>
              <w:bottom w:val="single" w:sz="4" w:space="0" w:color="9F2241"/>
              <w:right w:val="nil"/>
            </w:tcBorders>
            <w:tcMar>
              <w:left w:w="57" w:type="dxa"/>
              <w:right w:w="57" w:type="dxa"/>
            </w:tcMar>
          </w:tcPr>
          <w:p w14:paraId="252D621F" w14:textId="5BD799AB" w:rsidR="00835D42" w:rsidRPr="00662906" w:rsidRDefault="00835D42" w:rsidP="007E6C89">
            <w:pPr>
              <w:pStyle w:val="ListParagraph"/>
              <w:numPr>
                <w:ilvl w:val="0"/>
                <w:numId w:val="80"/>
              </w:numPr>
              <w:spacing w:before="40" w:after="40"/>
              <w:ind w:left="367"/>
              <w:jc w:val="center"/>
              <w:rPr>
                <w:rFonts w:eastAsia="Arial" w:cs="Arial"/>
                <w:color w:val="394A58"/>
                <w:sz w:val="16"/>
                <w:szCs w:val="16"/>
              </w:rPr>
            </w:pPr>
            <w:r w:rsidRPr="00662906">
              <w:rPr>
                <w:rFonts w:eastAsia="Arial" w:cs="Arial"/>
                <w:color w:val="394A58"/>
                <w:sz w:val="16"/>
                <w:szCs w:val="16"/>
              </w:rPr>
              <w:t>Design specialized training modules for transport regulators and policymakers</w:t>
            </w:r>
          </w:p>
          <w:p w14:paraId="591A0000" w14:textId="20C4D46C" w:rsidR="00835D42" w:rsidRPr="00662906" w:rsidRDefault="00835D42" w:rsidP="007E6C89">
            <w:pPr>
              <w:pStyle w:val="ListParagraph"/>
              <w:numPr>
                <w:ilvl w:val="0"/>
                <w:numId w:val="80"/>
              </w:numPr>
              <w:spacing w:before="40" w:after="40"/>
              <w:ind w:left="367"/>
              <w:jc w:val="center"/>
              <w:rPr>
                <w:rFonts w:eastAsia="Arial" w:cs="Arial"/>
                <w:color w:val="394A58"/>
                <w:sz w:val="16"/>
                <w:szCs w:val="16"/>
              </w:rPr>
            </w:pPr>
            <w:r w:rsidRPr="00662906">
              <w:rPr>
                <w:rFonts w:eastAsia="Arial" w:cs="Arial"/>
                <w:color w:val="394A58"/>
                <w:sz w:val="16"/>
                <w:szCs w:val="16"/>
              </w:rPr>
              <w:t>Organize regional and continental workshops on emissions reduction, smart transport systems, and integrated planning</w:t>
            </w:r>
          </w:p>
          <w:p w14:paraId="3B7AD9E3" w14:textId="62E8F559" w:rsidR="00835D42" w:rsidRPr="00662906" w:rsidRDefault="00835D42" w:rsidP="007E6C89">
            <w:pPr>
              <w:pStyle w:val="ListParagraph"/>
              <w:numPr>
                <w:ilvl w:val="0"/>
                <w:numId w:val="80"/>
              </w:numPr>
              <w:spacing w:before="40" w:after="40"/>
              <w:ind w:left="367"/>
              <w:jc w:val="center"/>
              <w:rPr>
                <w:rFonts w:eastAsia="Arial" w:cs="Arial"/>
                <w:color w:val="394A58"/>
                <w:sz w:val="16"/>
                <w:szCs w:val="16"/>
              </w:rPr>
            </w:pPr>
            <w:r w:rsidRPr="00662906">
              <w:rPr>
                <w:rFonts w:eastAsia="Arial" w:cs="Arial"/>
                <w:color w:val="394A58"/>
                <w:sz w:val="16"/>
                <w:szCs w:val="16"/>
              </w:rPr>
              <w:t>Facilitate peer-learning sessions among AU Member States</w:t>
            </w:r>
          </w:p>
        </w:tc>
        <w:tc>
          <w:tcPr>
            <w:tcW w:w="1276" w:type="dxa"/>
            <w:shd w:val="clear" w:color="auto" w:fill="FFFFFF"/>
            <w:tcMar>
              <w:left w:w="57" w:type="dxa"/>
              <w:right w:w="57" w:type="dxa"/>
            </w:tcMar>
          </w:tcPr>
          <w:p w14:paraId="7305B5A0" w14:textId="496AAAF6"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3D15A500" w14:textId="22119653"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AFSEC/</w:t>
            </w:r>
            <w:r w:rsidR="00401830" w:rsidRPr="00662906">
              <w:rPr>
                <w:rFonts w:cs="Arial"/>
                <w:sz w:val="16"/>
                <w:szCs w:val="16"/>
              </w:rPr>
              <w:t xml:space="preserve"> </w:t>
            </w:r>
            <w:r w:rsidRPr="00662906">
              <w:rPr>
                <w:rFonts w:cs="Arial"/>
                <w:sz w:val="16"/>
                <w:szCs w:val="16"/>
              </w:rPr>
              <w:t>ARSO</w:t>
            </w:r>
          </w:p>
        </w:tc>
        <w:tc>
          <w:tcPr>
            <w:tcW w:w="1198" w:type="dxa"/>
            <w:shd w:val="clear" w:color="auto" w:fill="FFFFFF"/>
            <w:tcMar>
              <w:left w:w="57" w:type="dxa"/>
              <w:right w:w="57" w:type="dxa"/>
            </w:tcMar>
          </w:tcPr>
          <w:p w14:paraId="0267BDCE" w14:textId="153CB2B3"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Regional Directorates of Transport, Regional Standard Bodies, Ministries in charge of Transport, Energy, Environment, Automotive and Fuel Companies, SSATP, ICCT</w:t>
            </w:r>
          </w:p>
        </w:tc>
        <w:tc>
          <w:tcPr>
            <w:tcW w:w="851" w:type="dxa"/>
            <w:shd w:val="clear" w:color="auto" w:fill="FFFFFF"/>
            <w:tcMar>
              <w:left w:w="57" w:type="dxa"/>
              <w:right w:w="57" w:type="dxa"/>
            </w:tcMar>
          </w:tcPr>
          <w:p w14:paraId="60E94247" w14:textId="54A0391E"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37FF5EB7" w14:textId="52EC1144"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curricula and materials</w:t>
            </w:r>
          </w:p>
          <w:p w14:paraId="5AE17263" w14:textId="41EBF878"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proceedings and knowledge-sharing platforms</w:t>
            </w:r>
          </w:p>
          <w:p w14:paraId="4E7D04B5" w14:textId="226FAF50"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Certified cohorts of trained personnel</w:t>
            </w:r>
          </w:p>
        </w:tc>
        <w:tc>
          <w:tcPr>
            <w:tcW w:w="1701" w:type="dxa"/>
            <w:shd w:val="clear" w:color="auto" w:fill="FFFFFF"/>
          </w:tcPr>
          <w:p w14:paraId="2D2A6461" w14:textId="46A60151"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Enhanced expertise among regulators and policymakers, paving the way for more ambitious and effective emission-reduction strategies in transport</w:t>
            </w:r>
          </w:p>
        </w:tc>
        <w:tc>
          <w:tcPr>
            <w:tcW w:w="1843" w:type="dxa"/>
            <w:shd w:val="clear" w:color="auto" w:fill="FFFFFF"/>
          </w:tcPr>
          <w:p w14:paraId="3C3D96A1" w14:textId="19F17C58" w:rsidR="00835D42"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Number of certified </w:t>
            </w:r>
            <w:r w:rsidR="006E4E40" w:rsidRPr="00662906">
              <w:rPr>
                <w:rFonts w:eastAsia="Arial" w:cs="Arial"/>
                <w:color w:val="53575A"/>
                <w:sz w:val="16"/>
                <w:szCs w:val="16"/>
              </w:rPr>
              <w:t>experts and Institutions</w:t>
            </w:r>
            <w:r w:rsidR="00CF0CA3" w:rsidRPr="00662906">
              <w:rPr>
                <w:rFonts w:eastAsia="Arial" w:cs="Arial"/>
                <w:color w:val="53575A"/>
                <w:sz w:val="16"/>
                <w:szCs w:val="16"/>
              </w:rPr>
              <w:t>.</w:t>
            </w:r>
          </w:p>
        </w:tc>
      </w:tr>
      <w:tr w:rsidR="00835D42" w:rsidRPr="00662906" w14:paraId="7B887695" w14:textId="77777777" w:rsidTr="007E6C89">
        <w:trPr>
          <w:trHeight w:val="300"/>
        </w:trPr>
        <w:tc>
          <w:tcPr>
            <w:tcW w:w="167" w:type="dxa"/>
            <w:shd w:val="clear" w:color="auto" w:fill="FFFFFF"/>
            <w:tcMar>
              <w:left w:w="57" w:type="dxa"/>
              <w:right w:w="57" w:type="dxa"/>
            </w:tcMar>
          </w:tcPr>
          <w:p w14:paraId="224CE53C" w14:textId="77777777" w:rsidR="00835D42" w:rsidRPr="00662906" w:rsidRDefault="00835D42"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7B02E916" w14:textId="306CC99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Align infrastructure and energy policies to accommodate and stimulate decarbonization</w:t>
            </w:r>
          </w:p>
        </w:tc>
        <w:tc>
          <w:tcPr>
            <w:tcW w:w="3260" w:type="dxa"/>
            <w:tcBorders>
              <w:top w:val="single" w:sz="4" w:space="0" w:color="9F2241"/>
              <w:left w:val="nil"/>
              <w:bottom w:val="single" w:sz="4" w:space="0" w:color="9F2241"/>
              <w:right w:val="nil"/>
            </w:tcBorders>
            <w:tcMar>
              <w:left w:w="57" w:type="dxa"/>
              <w:right w:w="57" w:type="dxa"/>
            </w:tcMar>
          </w:tcPr>
          <w:p w14:paraId="7F41DA26" w14:textId="56DFF894" w:rsidR="00835D42" w:rsidRPr="00662906" w:rsidRDefault="00835D42" w:rsidP="007E6C89">
            <w:pPr>
              <w:pStyle w:val="ListParagraph"/>
              <w:numPr>
                <w:ilvl w:val="0"/>
                <w:numId w:val="81"/>
              </w:numPr>
              <w:spacing w:before="40" w:after="40"/>
              <w:ind w:left="367"/>
              <w:jc w:val="center"/>
              <w:rPr>
                <w:rFonts w:eastAsia="Arial" w:cs="Arial"/>
                <w:color w:val="394A58"/>
                <w:sz w:val="16"/>
                <w:szCs w:val="16"/>
              </w:rPr>
            </w:pPr>
            <w:r w:rsidRPr="00662906">
              <w:rPr>
                <w:rFonts w:eastAsia="Arial" w:cs="Arial"/>
                <w:color w:val="394A58"/>
                <w:sz w:val="16"/>
                <w:szCs w:val="16"/>
              </w:rPr>
              <w:t>Convene multi-stakeholder forums to align energy and transport policy objectives</w:t>
            </w:r>
          </w:p>
          <w:p w14:paraId="1C5ADA1E" w14:textId="0314C783" w:rsidR="00835D42" w:rsidRPr="00662906" w:rsidRDefault="00835D42" w:rsidP="007E6C89">
            <w:pPr>
              <w:pStyle w:val="ListParagraph"/>
              <w:numPr>
                <w:ilvl w:val="0"/>
                <w:numId w:val="81"/>
              </w:numPr>
              <w:spacing w:before="40" w:after="40"/>
              <w:ind w:left="367"/>
              <w:jc w:val="center"/>
              <w:rPr>
                <w:rFonts w:eastAsia="Arial" w:cs="Arial"/>
                <w:color w:val="394A58"/>
                <w:sz w:val="16"/>
                <w:szCs w:val="16"/>
              </w:rPr>
            </w:pPr>
            <w:r w:rsidRPr="00662906">
              <w:rPr>
                <w:rFonts w:eastAsia="Arial" w:cs="Arial"/>
                <w:color w:val="394A58"/>
                <w:sz w:val="16"/>
                <w:szCs w:val="16"/>
              </w:rPr>
              <w:t>Draft integrated policy frameworks for coordinating infrastructure upgrades (charging stations, clean fuel depots, public transit hubs)</w:t>
            </w:r>
          </w:p>
          <w:p w14:paraId="7BEC2C50" w14:textId="52BC24EA" w:rsidR="00835D42" w:rsidRPr="00662906" w:rsidRDefault="00835D42" w:rsidP="007E6C89">
            <w:pPr>
              <w:pStyle w:val="ListParagraph"/>
              <w:numPr>
                <w:ilvl w:val="0"/>
                <w:numId w:val="81"/>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Implement pilot programs in select AU Member States to test integrated solutions</w:t>
            </w:r>
          </w:p>
        </w:tc>
        <w:tc>
          <w:tcPr>
            <w:tcW w:w="1276" w:type="dxa"/>
            <w:shd w:val="clear" w:color="auto" w:fill="FFFFFF"/>
            <w:tcMar>
              <w:left w:w="57" w:type="dxa"/>
              <w:right w:w="57" w:type="dxa"/>
            </w:tcMar>
          </w:tcPr>
          <w:p w14:paraId="2E6CF093" w14:textId="21BC27AA" w:rsidR="00835D42" w:rsidRPr="00662906" w:rsidRDefault="00835D42" w:rsidP="007E6C89">
            <w:pPr>
              <w:spacing w:before="40" w:after="40"/>
              <w:jc w:val="center"/>
              <w:rPr>
                <w:rFonts w:eastAsia="Arial" w:cs="Arial"/>
                <w:color w:val="53575A"/>
                <w:sz w:val="16"/>
                <w:szCs w:val="16"/>
              </w:rPr>
            </w:pPr>
            <w:r w:rsidRPr="00662906">
              <w:rPr>
                <w:rFonts w:cs="Arial"/>
                <w:sz w:val="16"/>
                <w:szCs w:val="16"/>
              </w:rPr>
              <w:lastRenderedPageBreak/>
              <w:t>National (with Regional/Continental training sessions)</w:t>
            </w:r>
          </w:p>
        </w:tc>
        <w:tc>
          <w:tcPr>
            <w:tcW w:w="1070" w:type="dxa"/>
            <w:shd w:val="clear" w:color="auto" w:fill="FFFFFF"/>
            <w:tcMar>
              <w:left w:w="57" w:type="dxa"/>
              <w:right w:w="57" w:type="dxa"/>
            </w:tcMar>
          </w:tcPr>
          <w:p w14:paraId="24560674" w14:textId="4A4A7096"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13425BD2" w14:textId="4C3F2E29"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 xml:space="preserve">Ministries in charge of Transport, Environment, Automotive Companies, ICCT, </w:t>
            </w:r>
            <w:r w:rsidR="00E948FC" w:rsidRPr="00662906">
              <w:rPr>
                <w:rFonts w:cs="Arial"/>
                <w:sz w:val="16"/>
                <w:szCs w:val="16"/>
              </w:rPr>
              <w:lastRenderedPageBreak/>
              <w:t>Technical Vocational Education and Training (</w:t>
            </w:r>
            <w:r w:rsidRPr="00662906">
              <w:rPr>
                <w:rFonts w:cs="Arial"/>
                <w:sz w:val="16"/>
                <w:szCs w:val="16"/>
              </w:rPr>
              <w:t>TVET</w:t>
            </w:r>
            <w:r w:rsidR="00E948FC" w:rsidRPr="00662906">
              <w:rPr>
                <w:rFonts w:cs="Arial"/>
                <w:sz w:val="16"/>
                <w:szCs w:val="16"/>
              </w:rPr>
              <w:t>)</w:t>
            </w:r>
            <w:r w:rsidRPr="00662906">
              <w:rPr>
                <w:rFonts w:cs="Arial"/>
                <w:sz w:val="16"/>
                <w:szCs w:val="16"/>
              </w:rPr>
              <w:t xml:space="preserve"> Academies</w:t>
            </w:r>
          </w:p>
        </w:tc>
        <w:tc>
          <w:tcPr>
            <w:tcW w:w="851" w:type="dxa"/>
            <w:shd w:val="clear" w:color="auto" w:fill="FFFFFF"/>
            <w:tcMar>
              <w:left w:w="57" w:type="dxa"/>
              <w:right w:w="57" w:type="dxa"/>
            </w:tcMar>
          </w:tcPr>
          <w:p w14:paraId="73C94C4C" w14:textId="0D808E74" w:rsidR="00835D42" w:rsidRPr="00662906" w:rsidRDefault="00835D42" w:rsidP="007E6C89">
            <w:pPr>
              <w:spacing w:before="40" w:after="40"/>
              <w:jc w:val="center"/>
              <w:rPr>
                <w:rFonts w:eastAsia="Arial" w:cs="Arial"/>
                <w:color w:val="53575A"/>
                <w:sz w:val="16"/>
                <w:szCs w:val="16"/>
              </w:rPr>
            </w:pPr>
            <w:r w:rsidRPr="00662906">
              <w:rPr>
                <w:rFonts w:cs="Arial"/>
                <w:sz w:val="16"/>
                <w:szCs w:val="16"/>
              </w:rPr>
              <w:lastRenderedPageBreak/>
              <w:t>Short-Long Term</w:t>
            </w:r>
          </w:p>
        </w:tc>
        <w:tc>
          <w:tcPr>
            <w:tcW w:w="1842" w:type="dxa"/>
            <w:shd w:val="clear" w:color="auto" w:fill="FFFFFF"/>
          </w:tcPr>
          <w:p w14:paraId="7606EAA6" w14:textId="55E576A4"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Multi-stakeholder forum outcomes</w:t>
            </w:r>
          </w:p>
          <w:p w14:paraId="0264EA61" w14:textId="6216B769"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Integrated infrastructure policy framework</w:t>
            </w:r>
          </w:p>
          <w:p w14:paraId="7251D0DF" w14:textId="72CE6AB3"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Pilot program reports and lessons learned</w:t>
            </w:r>
          </w:p>
        </w:tc>
        <w:tc>
          <w:tcPr>
            <w:tcW w:w="1701" w:type="dxa"/>
            <w:shd w:val="clear" w:color="auto" w:fill="FFFFFF"/>
          </w:tcPr>
          <w:p w14:paraId="47C7010F" w14:textId="698D6B7F" w:rsidR="00835D42" w:rsidRPr="00662906" w:rsidRDefault="00835D42" w:rsidP="007E6C89">
            <w:pPr>
              <w:spacing w:before="40" w:after="40"/>
              <w:jc w:val="center"/>
              <w:rPr>
                <w:rFonts w:eastAsia="Arial" w:cs="Arial"/>
                <w:color w:val="53575A"/>
                <w:sz w:val="16"/>
                <w:szCs w:val="16"/>
              </w:rPr>
            </w:pPr>
            <w:r w:rsidRPr="00662906">
              <w:rPr>
                <w:rFonts w:cs="Arial"/>
                <w:sz w:val="16"/>
                <w:szCs w:val="16"/>
              </w:rPr>
              <w:lastRenderedPageBreak/>
              <w:t xml:space="preserve">Seamless, coordinated infrastructure development that supports decarbonized transport, ultimately </w:t>
            </w:r>
            <w:r w:rsidRPr="00662906">
              <w:rPr>
                <w:rFonts w:cs="Arial"/>
                <w:sz w:val="16"/>
                <w:szCs w:val="16"/>
              </w:rPr>
              <w:lastRenderedPageBreak/>
              <w:t>reducing emissions and enhancing system resilience</w:t>
            </w:r>
          </w:p>
        </w:tc>
        <w:tc>
          <w:tcPr>
            <w:tcW w:w="1843" w:type="dxa"/>
            <w:shd w:val="clear" w:color="auto" w:fill="FFFFFF"/>
          </w:tcPr>
          <w:p w14:paraId="577D9CAE" w14:textId="5CB63EB3" w:rsidR="008850D9"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Number of</w:t>
            </w:r>
            <w:r w:rsidR="006E4E40" w:rsidRPr="00662906">
              <w:rPr>
                <w:rFonts w:eastAsia="Arial" w:cs="Arial"/>
                <w:color w:val="53575A"/>
                <w:sz w:val="16"/>
                <w:szCs w:val="16"/>
              </w:rPr>
              <w:t xml:space="preserve"> AU-MS with aligned infrastructure</w:t>
            </w:r>
            <w:r w:rsidRPr="00662906">
              <w:rPr>
                <w:rFonts w:eastAsia="Arial" w:cs="Arial"/>
                <w:color w:val="53575A"/>
                <w:sz w:val="16"/>
                <w:szCs w:val="16"/>
              </w:rPr>
              <w:t xml:space="preserve"> policy frameworks finalized</w:t>
            </w:r>
          </w:p>
          <w:p w14:paraId="432EF562" w14:textId="4BB4BD5B" w:rsidR="00835D42"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Evidence of improved energy-</w:t>
            </w:r>
            <w:r w:rsidRPr="00662906">
              <w:rPr>
                <w:rFonts w:eastAsia="Arial" w:cs="Arial"/>
                <w:color w:val="53575A"/>
                <w:sz w:val="16"/>
                <w:szCs w:val="16"/>
              </w:rPr>
              <w:lastRenderedPageBreak/>
              <w:t>transport coordination (Yes/No)</w:t>
            </w:r>
          </w:p>
        </w:tc>
      </w:tr>
      <w:tr w:rsidR="00835D42" w:rsidRPr="00662906" w14:paraId="65A1845E" w14:textId="77777777" w:rsidTr="007E6C89">
        <w:trPr>
          <w:trHeight w:val="300"/>
        </w:trPr>
        <w:tc>
          <w:tcPr>
            <w:tcW w:w="167" w:type="dxa"/>
            <w:shd w:val="clear" w:color="auto" w:fill="FFFFFF"/>
            <w:tcMar>
              <w:left w:w="57" w:type="dxa"/>
              <w:right w:w="57" w:type="dxa"/>
            </w:tcMar>
          </w:tcPr>
          <w:p w14:paraId="3D3A24FF" w14:textId="77777777" w:rsidR="00835D42" w:rsidRPr="00662906" w:rsidRDefault="00835D42"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7</w:t>
            </w:r>
          </w:p>
        </w:tc>
        <w:tc>
          <w:tcPr>
            <w:tcW w:w="1248" w:type="dxa"/>
            <w:shd w:val="clear" w:color="auto" w:fill="FFFFFF"/>
            <w:tcMar>
              <w:left w:w="57" w:type="dxa"/>
              <w:right w:w="57" w:type="dxa"/>
            </w:tcMar>
          </w:tcPr>
          <w:p w14:paraId="7AAA0FA4" w14:textId="587D698F"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Development of Multi-Modal Transport Systems</w:t>
            </w:r>
          </w:p>
        </w:tc>
        <w:tc>
          <w:tcPr>
            <w:tcW w:w="3260" w:type="dxa"/>
            <w:tcBorders>
              <w:top w:val="single" w:sz="4" w:space="0" w:color="9F2241"/>
              <w:left w:val="nil"/>
              <w:bottom w:val="single" w:sz="4" w:space="0" w:color="9F2241"/>
              <w:right w:val="nil"/>
            </w:tcBorders>
            <w:tcMar>
              <w:left w:w="57" w:type="dxa"/>
              <w:right w:w="57" w:type="dxa"/>
            </w:tcMar>
          </w:tcPr>
          <w:p w14:paraId="4696BA49" w14:textId="70C6C903" w:rsidR="00835D42" w:rsidRPr="00662906" w:rsidRDefault="00835D42" w:rsidP="007E6C89">
            <w:pPr>
              <w:pStyle w:val="ListParagraph"/>
              <w:numPr>
                <w:ilvl w:val="0"/>
                <w:numId w:val="82"/>
              </w:numPr>
              <w:spacing w:before="40" w:after="40"/>
              <w:ind w:left="367"/>
              <w:jc w:val="center"/>
              <w:rPr>
                <w:rFonts w:eastAsia="Arial" w:cs="Arial"/>
                <w:color w:val="394A58"/>
                <w:sz w:val="16"/>
                <w:szCs w:val="16"/>
              </w:rPr>
            </w:pPr>
            <w:r w:rsidRPr="00662906">
              <w:rPr>
                <w:rFonts w:eastAsia="Arial" w:cs="Arial"/>
                <w:color w:val="394A58"/>
                <w:sz w:val="16"/>
                <w:szCs w:val="16"/>
              </w:rPr>
              <w:t>Create strategic transport hubs integrating rail, road, waterways, and non-motorized options</w:t>
            </w:r>
          </w:p>
          <w:p w14:paraId="1F7550E6" w14:textId="5A115646" w:rsidR="00835D42" w:rsidRPr="00662906" w:rsidRDefault="00835D42" w:rsidP="007E6C89">
            <w:pPr>
              <w:pStyle w:val="ListParagraph"/>
              <w:numPr>
                <w:ilvl w:val="0"/>
                <w:numId w:val="82"/>
              </w:numPr>
              <w:spacing w:before="40" w:after="40"/>
              <w:ind w:left="367"/>
              <w:jc w:val="center"/>
              <w:rPr>
                <w:rFonts w:eastAsia="Arial" w:cs="Arial"/>
                <w:color w:val="394A58"/>
                <w:sz w:val="16"/>
                <w:szCs w:val="16"/>
              </w:rPr>
            </w:pPr>
            <w:r w:rsidRPr="00662906">
              <w:rPr>
                <w:rFonts w:eastAsia="Arial" w:cs="Arial"/>
                <w:color w:val="394A58"/>
                <w:sz w:val="16"/>
                <w:szCs w:val="16"/>
              </w:rPr>
              <w:t>Enhance connectivity between modes through improved scheduling, ticketing, and infrastructure linkages</w:t>
            </w:r>
          </w:p>
          <w:p w14:paraId="437F4BB8" w14:textId="0C2D092E" w:rsidR="00835D42" w:rsidRPr="00662906" w:rsidRDefault="00835D42" w:rsidP="007E6C89">
            <w:pPr>
              <w:pStyle w:val="ListParagraph"/>
              <w:numPr>
                <w:ilvl w:val="0"/>
                <w:numId w:val="82"/>
              </w:numPr>
              <w:spacing w:before="40" w:after="40"/>
              <w:ind w:left="367"/>
              <w:jc w:val="center"/>
              <w:rPr>
                <w:rFonts w:eastAsia="Arial" w:cs="Arial"/>
                <w:color w:val="394A58"/>
                <w:sz w:val="16"/>
                <w:szCs w:val="16"/>
              </w:rPr>
            </w:pPr>
            <w:r w:rsidRPr="00662906">
              <w:rPr>
                <w:rFonts w:eastAsia="Arial" w:cs="Arial"/>
                <w:color w:val="394A58"/>
                <w:sz w:val="16"/>
                <w:szCs w:val="16"/>
              </w:rPr>
              <w:t>Promote energy-efficient logistics systems for freight and passenger movement</w:t>
            </w:r>
          </w:p>
        </w:tc>
        <w:tc>
          <w:tcPr>
            <w:tcW w:w="1276" w:type="dxa"/>
            <w:shd w:val="clear" w:color="auto" w:fill="FFFFFF"/>
            <w:tcMar>
              <w:left w:w="57" w:type="dxa"/>
              <w:right w:w="57" w:type="dxa"/>
            </w:tcMar>
          </w:tcPr>
          <w:p w14:paraId="0588A9F7" w14:textId="17E5A6AD"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66ED0D38" w14:textId="6037E69B"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2F2108CB" w14:textId="5B96A525"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Ministries in charge of Transport, Environment, Automotive Companies, ICCT</w:t>
            </w:r>
          </w:p>
        </w:tc>
        <w:tc>
          <w:tcPr>
            <w:tcW w:w="851" w:type="dxa"/>
            <w:shd w:val="clear" w:color="auto" w:fill="FFFFFF"/>
            <w:tcMar>
              <w:left w:w="57" w:type="dxa"/>
              <w:right w:w="57" w:type="dxa"/>
            </w:tcMar>
          </w:tcPr>
          <w:p w14:paraId="215B195B" w14:textId="3D4A584E"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22A89B15" w14:textId="5509AF5C"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Strategic hub development plans</w:t>
            </w:r>
          </w:p>
          <w:p w14:paraId="39522C3A" w14:textId="06BB30C6"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Multi-modal scheduling and ticketing systems</w:t>
            </w:r>
          </w:p>
          <w:p w14:paraId="1B38BAAF" w14:textId="6954516C"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Framework for energy-efficient logistics</w:t>
            </w:r>
          </w:p>
        </w:tc>
        <w:tc>
          <w:tcPr>
            <w:tcW w:w="1701" w:type="dxa"/>
            <w:shd w:val="clear" w:color="auto" w:fill="FFFFFF"/>
          </w:tcPr>
          <w:p w14:paraId="6A5E7FDF" w14:textId="7161D6A1"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Reduced energy consumption and emissions through coordinated use of multiple transport modes, leading to more efficient connectivity and improved service reliability</w:t>
            </w:r>
          </w:p>
        </w:tc>
        <w:tc>
          <w:tcPr>
            <w:tcW w:w="1843" w:type="dxa"/>
            <w:shd w:val="clear" w:color="auto" w:fill="FFFFFF"/>
          </w:tcPr>
          <w:p w14:paraId="71949494" w14:textId="7C28F648" w:rsidR="008850D9"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Existence of multi-modal plans (Yes/No)</w:t>
            </w:r>
          </w:p>
          <w:p w14:paraId="35465116" w14:textId="1F1B6331" w:rsidR="00835D42" w:rsidRPr="00662906" w:rsidRDefault="006E4E40"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Evidence of coordinated multimodal transport system in AU-MS </w:t>
            </w:r>
            <w:r w:rsidR="00CF0CA3" w:rsidRPr="00662906">
              <w:rPr>
                <w:rFonts w:eastAsia="Arial" w:cs="Arial"/>
                <w:color w:val="53575A"/>
                <w:sz w:val="16"/>
                <w:szCs w:val="16"/>
              </w:rPr>
              <w:t>(Yes/No)</w:t>
            </w:r>
          </w:p>
        </w:tc>
      </w:tr>
      <w:tr w:rsidR="00835D42" w:rsidRPr="00662906" w14:paraId="5FDEC8EE" w14:textId="77777777" w:rsidTr="007E6C89">
        <w:trPr>
          <w:trHeight w:val="300"/>
        </w:trPr>
        <w:tc>
          <w:tcPr>
            <w:tcW w:w="167" w:type="dxa"/>
            <w:shd w:val="clear" w:color="auto" w:fill="FFFFFF"/>
            <w:tcMar>
              <w:left w:w="57" w:type="dxa"/>
              <w:right w:w="57" w:type="dxa"/>
            </w:tcMar>
          </w:tcPr>
          <w:p w14:paraId="00600004" w14:textId="77777777" w:rsidR="00835D42" w:rsidRPr="00662906" w:rsidRDefault="00835D42"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7DED4236" w14:textId="72E844DF"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 xml:space="preserve">Development and Harmonization of Energy Efficiency Standards </w:t>
            </w:r>
            <w:r w:rsidR="00A5461B" w:rsidRPr="00662906">
              <w:rPr>
                <w:rFonts w:cs="Arial"/>
                <w:sz w:val="16"/>
                <w:szCs w:val="16"/>
              </w:rPr>
              <w:t xml:space="preserve">and regulatory framework </w:t>
            </w:r>
            <w:r w:rsidRPr="00662906">
              <w:rPr>
                <w:rFonts w:cs="Arial"/>
                <w:sz w:val="16"/>
                <w:szCs w:val="16"/>
              </w:rPr>
              <w:t>for Transport Systems</w:t>
            </w:r>
          </w:p>
        </w:tc>
        <w:tc>
          <w:tcPr>
            <w:tcW w:w="3260" w:type="dxa"/>
            <w:tcBorders>
              <w:top w:val="single" w:sz="4" w:space="0" w:color="9F2241"/>
              <w:left w:val="nil"/>
              <w:bottom w:val="single" w:sz="4" w:space="0" w:color="9F2241"/>
              <w:right w:val="nil"/>
            </w:tcBorders>
            <w:tcMar>
              <w:left w:w="57" w:type="dxa"/>
              <w:right w:w="57" w:type="dxa"/>
            </w:tcMar>
          </w:tcPr>
          <w:p w14:paraId="60615C56" w14:textId="354A1C0C" w:rsidR="00835D42" w:rsidRPr="00662906" w:rsidRDefault="00835D42" w:rsidP="007E6C89">
            <w:pPr>
              <w:pStyle w:val="ListParagraph"/>
              <w:numPr>
                <w:ilvl w:val="0"/>
                <w:numId w:val="83"/>
              </w:numPr>
              <w:spacing w:before="40" w:after="40"/>
              <w:ind w:left="367"/>
              <w:jc w:val="center"/>
              <w:rPr>
                <w:rFonts w:eastAsia="Arial" w:cs="Arial"/>
                <w:color w:val="394A58"/>
                <w:sz w:val="16"/>
                <w:szCs w:val="16"/>
              </w:rPr>
            </w:pPr>
            <w:r w:rsidRPr="00662906">
              <w:rPr>
                <w:rFonts w:eastAsia="Arial" w:cs="Arial"/>
                <w:color w:val="394A58"/>
                <w:sz w:val="16"/>
                <w:szCs w:val="16"/>
              </w:rPr>
              <w:t>Draft a unified regulatory framework for transport-related energy efficiency (vehicles, rail, waterways)</w:t>
            </w:r>
          </w:p>
          <w:p w14:paraId="122026E9" w14:textId="5295362A" w:rsidR="00835D42" w:rsidRPr="00662906" w:rsidRDefault="00835D42" w:rsidP="007E6C89">
            <w:pPr>
              <w:pStyle w:val="ListParagraph"/>
              <w:numPr>
                <w:ilvl w:val="0"/>
                <w:numId w:val="83"/>
              </w:numPr>
              <w:spacing w:before="40" w:after="40"/>
              <w:ind w:left="367"/>
              <w:jc w:val="center"/>
              <w:rPr>
                <w:rFonts w:eastAsia="Arial" w:cs="Arial"/>
                <w:color w:val="394A58"/>
                <w:sz w:val="16"/>
                <w:szCs w:val="16"/>
              </w:rPr>
            </w:pPr>
            <w:r w:rsidRPr="00662906">
              <w:rPr>
                <w:rFonts w:eastAsia="Arial" w:cs="Arial"/>
                <w:color w:val="394A58"/>
                <w:sz w:val="16"/>
                <w:szCs w:val="16"/>
              </w:rPr>
              <w:t>Coordinate with international standard-setting organizations for best practices</w:t>
            </w:r>
          </w:p>
          <w:p w14:paraId="7681800C" w14:textId="2A1EB5B7" w:rsidR="00835D42" w:rsidRPr="00662906" w:rsidRDefault="00835D42" w:rsidP="007E6C89">
            <w:pPr>
              <w:pStyle w:val="ListParagraph"/>
              <w:numPr>
                <w:ilvl w:val="0"/>
                <w:numId w:val="83"/>
              </w:numPr>
              <w:spacing w:before="40" w:after="40"/>
              <w:ind w:left="367"/>
              <w:jc w:val="center"/>
              <w:rPr>
                <w:rFonts w:eastAsia="Arial" w:cs="Arial"/>
                <w:color w:val="394A58"/>
                <w:sz w:val="16"/>
                <w:szCs w:val="16"/>
              </w:rPr>
            </w:pPr>
            <w:r w:rsidRPr="00662906">
              <w:rPr>
                <w:rFonts w:eastAsia="Arial" w:cs="Arial"/>
                <w:color w:val="394A58"/>
                <w:sz w:val="16"/>
                <w:szCs w:val="16"/>
              </w:rPr>
              <w:t>Roll out standards adoption strategies across Member States</w:t>
            </w:r>
          </w:p>
          <w:p w14:paraId="3D016622" w14:textId="3C519C6B" w:rsidR="00835D42" w:rsidRPr="00662906" w:rsidRDefault="00835D42" w:rsidP="007E6C89">
            <w:pPr>
              <w:pStyle w:val="ListParagraph"/>
              <w:numPr>
                <w:ilvl w:val="0"/>
                <w:numId w:val="83"/>
              </w:numPr>
              <w:spacing w:before="40" w:after="40"/>
              <w:ind w:left="367"/>
              <w:jc w:val="center"/>
              <w:rPr>
                <w:rFonts w:eastAsia="Arial" w:cs="Arial"/>
                <w:color w:val="394A58"/>
                <w:sz w:val="16"/>
                <w:szCs w:val="16"/>
              </w:rPr>
            </w:pPr>
            <w:r w:rsidRPr="00662906">
              <w:rPr>
                <w:rFonts w:eastAsia="Arial" w:cs="Arial"/>
                <w:color w:val="394A58"/>
                <w:sz w:val="16"/>
                <w:szCs w:val="16"/>
              </w:rPr>
              <w:t>Monitor and evaluate compliance</w:t>
            </w:r>
          </w:p>
        </w:tc>
        <w:tc>
          <w:tcPr>
            <w:tcW w:w="1276" w:type="dxa"/>
            <w:shd w:val="clear" w:color="auto" w:fill="FFFFFF"/>
            <w:tcMar>
              <w:left w:w="57" w:type="dxa"/>
              <w:right w:w="57" w:type="dxa"/>
            </w:tcMar>
          </w:tcPr>
          <w:p w14:paraId="79B80CDA" w14:textId="682A7656"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24D1F39E" w14:textId="4564735B" w:rsidR="00835D42" w:rsidRPr="00662906" w:rsidRDefault="006E4E40" w:rsidP="007E6C89">
            <w:pPr>
              <w:spacing w:before="40" w:after="40"/>
              <w:jc w:val="center"/>
              <w:rPr>
                <w:rFonts w:eastAsia="Arial" w:cs="Arial"/>
                <w:color w:val="53575A"/>
                <w:sz w:val="16"/>
                <w:szCs w:val="16"/>
              </w:rPr>
            </w:pPr>
            <w:r w:rsidRPr="00662906">
              <w:rPr>
                <w:rFonts w:cs="Arial"/>
                <w:sz w:val="16"/>
                <w:szCs w:val="16"/>
              </w:rPr>
              <w:t>RECS</w:t>
            </w:r>
          </w:p>
        </w:tc>
        <w:tc>
          <w:tcPr>
            <w:tcW w:w="1198" w:type="dxa"/>
            <w:shd w:val="clear" w:color="auto" w:fill="FFFFFF"/>
            <w:tcMar>
              <w:left w:w="57" w:type="dxa"/>
              <w:right w:w="57" w:type="dxa"/>
            </w:tcMar>
          </w:tcPr>
          <w:p w14:paraId="36053484" w14:textId="39AA4074" w:rsidR="00835D42" w:rsidRPr="00662906" w:rsidRDefault="006E4E40" w:rsidP="007E6C89">
            <w:pPr>
              <w:spacing w:before="40" w:after="40"/>
              <w:jc w:val="center"/>
              <w:rPr>
                <w:rFonts w:cs="Arial"/>
                <w:sz w:val="16"/>
                <w:szCs w:val="16"/>
              </w:rPr>
            </w:pPr>
            <w:r w:rsidRPr="00662906">
              <w:rPr>
                <w:rFonts w:cs="Arial"/>
                <w:sz w:val="16"/>
                <w:szCs w:val="16"/>
              </w:rPr>
              <w:t>Ministries of Transport and Infrastructure</w:t>
            </w:r>
            <w:r w:rsidR="00835D42" w:rsidRPr="00662906">
              <w:rPr>
                <w:rFonts w:cs="Arial"/>
                <w:sz w:val="16"/>
                <w:szCs w:val="16"/>
              </w:rPr>
              <w:t>, private logistics providers, development banks, urban planning authorities</w:t>
            </w:r>
          </w:p>
          <w:p w14:paraId="74099B77" w14:textId="05127830" w:rsidR="006E4E40" w:rsidRPr="00662906" w:rsidRDefault="006E4E40" w:rsidP="007E6C89">
            <w:pPr>
              <w:spacing w:before="40" w:after="40"/>
              <w:jc w:val="center"/>
              <w:rPr>
                <w:rFonts w:cs="Arial"/>
                <w:sz w:val="16"/>
                <w:szCs w:val="16"/>
              </w:rPr>
            </w:pPr>
            <w:r w:rsidRPr="00662906">
              <w:rPr>
                <w:rFonts w:cs="Arial"/>
                <w:sz w:val="16"/>
                <w:szCs w:val="16"/>
              </w:rPr>
              <w:t>AUC</w:t>
            </w:r>
          </w:p>
          <w:p w14:paraId="257BC7F2" w14:textId="29EFBEFF" w:rsidR="006E4E40" w:rsidRPr="00662906" w:rsidRDefault="006E4E40" w:rsidP="007E6C89">
            <w:pPr>
              <w:spacing w:before="40" w:after="40"/>
              <w:jc w:val="center"/>
              <w:rPr>
                <w:rFonts w:eastAsia="Arial" w:cs="Arial"/>
                <w:color w:val="53575A"/>
                <w:sz w:val="16"/>
                <w:szCs w:val="16"/>
              </w:rPr>
            </w:pPr>
          </w:p>
        </w:tc>
        <w:tc>
          <w:tcPr>
            <w:tcW w:w="851" w:type="dxa"/>
            <w:shd w:val="clear" w:color="auto" w:fill="FFFFFF"/>
            <w:tcMar>
              <w:left w:w="57" w:type="dxa"/>
              <w:right w:w="57" w:type="dxa"/>
            </w:tcMar>
          </w:tcPr>
          <w:p w14:paraId="18B256B3" w14:textId="72B26E70"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478DB272" w14:textId="5E6C5184"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energy efficiency standards</w:t>
            </w:r>
          </w:p>
          <w:p w14:paraId="2203A146" w14:textId="76C087C7"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Adoption strategies for Member States</w:t>
            </w:r>
          </w:p>
          <w:p w14:paraId="7BBB8E80" w14:textId="4B084122" w:rsidR="00835D42" w:rsidRPr="00662906" w:rsidRDefault="00835D42"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Compliance monitoring reports</w:t>
            </w:r>
          </w:p>
        </w:tc>
        <w:tc>
          <w:tcPr>
            <w:tcW w:w="1701" w:type="dxa"/>
            <w:shd w:val="clear" w:color="auto" w:fill="FFFFFF"/>
          </w:tcPr>
          <w:p w14:paraId="6556BB56" w14:textId="5173C31E" w:rsidR="00835D42" w:rsidRPr="00662906" w:rsidRDefault="00835D42" w:rsidP="007E6C89">
            <w:pPr>
              <w:spacing w:before="40" w:after="40"/>
              <w:jc w:val="center"/>
              <w:rPr>
                <w:rFonts w:eastAsia="Arial" w:cs="Arial"/>
                <w:color w:val="53575A"/>
                <w:sz w:val="16"/>
                <w:szCs w:val="16"/>
              </w:rPr>
            </w:pPr>
            <w:r w:rsidRPr="00662906">
              <w:rPr>
                <w:rFonts w:cs="Arial"/>
                <w:sz w:val="16"/>
                <w:szCs w:val="16"/>
              </w:rPr>
              <w:t>Improved energy efficiency across diverse transport systems, significantly curtailing greenhouse gas emissions and facilitating smoother regional trade and travel</w:t>
            </w:r>
          </w:p>
        </w:tc>
        <w:tc>
          <w:tcPr>
            <w:tcW w:w="1843" w:type="dxa"/>
            <w:shd w:val="clear" w:color="auto" w:fill="FFFFFF"/>
          </w:tcPr>
          <w:p w14:paraId="6889D3CE" w14:textId="5377662D" w:rsidR="008850D9" w:rsidRPr="00662906" w:rsidRDefault="008850D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Member States adopting standards</w:t>
            </w:r>
          </w:p>
          <w:p w14:paraId="6B315D8D" w14:textId="23C4FE60" w:rsidR="00835D42" w:rsidRPr="00662906" w:rsidRDefault="008850D9"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(Yes/No)</w:t>
            </w:r>
          </w:p>
        </w:tc>
      </w:tr>
    </w:tbl>
    <w:p w14:paraId="0078F466" w14:textId="45949462" w:rsidR="0005404D" w:rsidRPr="00662906" w:rsidRDefault="0083247B" w:rsidP="0083247B">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925F948" w14:textId="77777777" w:rsidR="00D41C50" w:rsidRPr="00662906" w:rsidRDefault="00D41C50" w:rsidP="006250C4">
      <w:pPr>
        <w:pStyle w:val="Heading2"/>
        <w:sectPr w:rsidR="00D41C50" w:rsidRPr="00662906" w:rsidSect="005852FE">
          <w:pgSz w:w="16838" w:h="11906" w:orient="landscape"/>
          <w:pgMar w:top="1440" w:right="1440" w:bottom="1440" w:left="1440" w:header="720" w:footer="720" w:gutter="0"/>
          <w:cols w:space="720"/>
          <w:titlePg/>
          <w:docGrid w:linePitch="360"/>
        </w:sectPr>
      </w:pPr>
      <w:bookmarkStart w:id="615" w:name="_Toc171955545"/>
      <w:bookmarkStart w:id="616" w:name="_Toc176190955"/>
      <w:bookmarkStart w:id="617" w:name="_Toc176191121"/>
      <w:bookmarkStart w:id="618" w:name="_Toc176341841"/>
      <w:bookmarkStart w:id="619" w:name="_Toc176430235"/>
      <w:bookmarkStart w:id="620" w:name="_Toc176430292"/>
      <w:bookmarkStart w:id="621" w:name="_Toc176441425"/>
      <w:bookmarkStart w:id="622" w:name="_Toc176442080"/>
      <w:bookmarkStart w:id="623" w:name="_Toc178937493"/>
    </w:p>
    <w:p w14:paraId="40CC2C43" w14:textId="780D6FA2" w:rsidR="008F1D18" w:rsidRPr="00662906" w:rsidRDefault="26F6B993" w:rsidP="006250C4">
      <w:pPr>
        <w:pStyle w:val="Heading2"/>
      </w:pPr>
      <w:bookmarkStart w:id="624" w:name="_Toc197433858"/>
      <w:r w:rsidRPr="00662906">
        <w:lastRenderedPageBreak/>
        <w:t>Buildings</w:t>
      </w:r>
      <w:bookmarkEnd w:id="615"/>
      <w:bookmarkEnd w:id="616"/>
      <w:bookmarkEnd w:id="617"/>
      <w:bookmarkEnd w:id="618"/>
      <w:bookmarkEnd w:id="619"/>
      <w:bookmarkEnd w:id="620"/>
      <w:bookmarkEnd w:id="621"/>
      <w:bookmarkEnd w:id="622"/>
      <w:bookmarkEnd w:id="623"/>
      <w:bookmarkEnd w:id="624"/>
      <w:r w:rsidR="05DF6469" w:rsidRPr="00662906">
        <w:t xml:space="preserve"> </w:t>
      </w:r>
    </w:p>
    <w:p w14:paraId="6E64049D" w14:textId="6A039360" w:rsidR="007734A4" w:rsidRPr="00662906" w:rsidRDefault="57DE598D" w:rsidP="00284AE6">
      <w:r w:rsidRPr="00662906">
        <w:t>Energy Transition o</w:t>
      </w:r>
      <w:r w:rsidR="4EA4BC1A" w:rsidRPr="00662906">
        <w:t xml:space="preserve">pportunities exist </w:t>
      </w:r>
      <w:r w:rsidR="2A952354" w:rsidRPr="00662906">
        <w:t xml:space="preserve">to make </w:t>
      </w:r>
      <w:r w:rsidR="06818481" w:rsidRPr="00662906">
        <w:t>buildings</w:t>
      </w:r>
      <w:r w:rsidR="2A952354" w:rsidRPr="00662906">
        <w:t xml:space="preserve"> energy efficient. This can be made feasible by the shift to zero-carbon-ready buildings, which are extremely energy-efficient structures that are climate responsive. </w:t>
      </w:r>
      <w:r w:rsidR="22A032D9" w:rsidRPr="00662906">
        <w:t>Globally, b</w:t>
      </w:r>
      <w:r w:rsidR="2A952354" w:rsidRPr="00662906">
        <w:t xml:space="preserve">y 2050, buildings-related emissions can be reduced by 70% </w:t>
      </w:r>
      <w:r w:rsidR="18E19363" w:rsidRPr="00662906">
        <w:t>by applying</w:t>
      </w:r>
      <w:r w:rsidR="2A952354" w:rsidRPr="00662906">
        <w:t xml:space="preserve"> EE upgrades and electrification, with the remaining 30% coming from a change in behaviour and on-site renewable energy sources</w:t>
      </w:r>
      <w:r w:rsidR="007734A4" w:rsidRPr="00662906">
        <w:rPr>
          <w:rStyle w:val="FootnoteReference"/>
        </w:rPr>
        <w:footnoteReference w:id="37"/>
      </w:r>
      <w:r w:rsidR="5A6242D3" w:rsidRPr="00662906">
        <w:t>.</w:t>
      </w:r>
    </w:p>
    <w:p w14:paraId="06190DA0" w14:textId="16BFFA38" w:rsidR="007734A4" w:rsidRPr="00662906" w:rsidRDefault="4CCA3364" w:rsidP="00284AE6">
      <w:r w:rsidRPr="00662906">
        <w:t xml:space="preserve">In </w:t>
      </w:r>
      <w:r w:rsidR="5CAB30E6" w:rsidRPr="00662906">
        <w:t>Africa, to</w:t>
      </w:r>
      <w:r w:rsidR="170F7266" w:rsidRPr="00662906">
        <w:t xml:space="preserve"> achieve buildings with net zero carbon emissions, the strategy for buildings aims to identify potential energy-efficient and low-carbon actions and activities that should be explored for </w:t>
      </w:r>
      <w:r w:rsidR="0AE752D0" w:rsidRPr="00662906">
        <w:t>implementation in</w:t>
      </w:r>
      <w:r w:rsidR="6B4FC834" w:rsidRPr="00662906">
        <w:t xml:space="preserve"> the short term to long term</w:t>
      </w:r>
      <w:r w:rsidR="170F7266" w:rsidRPr="00662906">
        <w:t>. Th</w:t>
      </w:r>
      <w:r w:rsidR="003B2141" w:rsidRPr="00662906">
        <w:t>is</w:t>
      </w:r>
      <w:r w:rsidR="170F7266" w:rsidRPr="00662906">
        <w:t xml:space="preserve"> </w:t>
      </w:r>
      <w:r w:rsidR="00CA007C" w:rsidRPr="00662906">
        <w:t>ETSAP</w:t>
      </w:r>
      <w:r w:rsidR="170F7266" w:rsidRPr="00662906">
        <w:t xml:space="preserve"> acknowledges that different </w:t>
      </w:r>
      <w:r w:rsidR="215D0737" w:rsidRPr="00662906">
        <w:t>M</w:t>
      </w:r>
      <w:r w:rsidR="170F7266" w:rsidRPr="00662906">
        <w:t xml:space="preserve">ember </w:t>
      </w:r>
      <w:r w:rsidR="13A5FE1A" w:rsidRPr="00662906">
        <w:t>S</w:t>
      </w:r>
      <w:r w:rsidR="170F7266" w:rsidRPr="00662906">
        <w:t xml:space="preserve">tates have different national circumstances, targets, and priorities in relation to energy-efficient buildings, and that each will be establishing its own path and pace for improvements in the buildings sector. </w:t>
      </w:r>
      <w:r w:rsidR="67388E42" w:rsidRPr="00662906">
        <w:t xml:space="preserve">For a continental initiative to </w:t>
      </w:r>
      <w:r w:rsidR="3777019C" w:rsidRPr="00662906">
        <w:t>succeed,</w:t>
      </w:r>
      <w:r w:rsidR="67388E42" w:rsidRPr="00662906">
        <w:t xml:space="preserve"> </w:t>
      </w:r>
      <w:r w:rsidR="00CA007C" w:rsidRPr="00662906">
        <w:t xml:space="preserve">however, </w:t>
      </w:r>
      <w:r w:rsidR="1B7A298D" w:rsidRPr="00662906">
        <w:t>harmonization</w:t>
      </w:r>
      <w:r w:rsidR="67388E42" w:rsidRPr="00662906">
        <w:t xml:space="preserve"> of standards for</w:t>
      </w:r>
      <w:r w:rsidR="1C3FAE0F" w:rsidRPr="00662906">
        <w:t xml:space="preserve"> decarbonization will be imperative.</w:t>
      </w:r>
    </w:p>
    <w:p w14:paraId="59815A2C" w14:textId="63E43407" w:rsidR="008F1D18" w:rsidRPr="00662906" w:rsidRDefault="00BB6B67" w:rsidP="00284AE6">
      <w:r w:rsidRPr="00662906">
        <w:rPr>
          <w:rFonts w:eastAsia="Arial" w:cs="Arial"/>
          <w:color w:val="535659"/>
        </w:rPr>
        <w:t xml:space="preserve">The most </w:t>
      </w:r>
      <w:r w:rsidR="00CA007C" w:rsidRPr="00662906">
        <w:rPr>
          <w:rFonts w:eastAsia="Arial" w:cs="Arial"/>
          <w:color w:val="535659"/>
        </w:rPr>
        <w:t>popular measures</w:t>
      </w:r>
      <w:r w:rsidRPr="00662906">
        <w:rPr>
          <w:rFonts w:eastAsia="Arial" w:cs="Arial"/>
          <w:color w:val="535659"/>
        </w:rPr>
        <w:t xml:space="preserve"> for </w:t>
      </w:r>
      <w:r w:rsidR="42660652" w:rsidRPr="00662906">
        <w:rPr>
          <w:rFonts w:eastAsia="Arial" w:cs="Arial"/>
          <w:color w:val="535659"/>
        </w:rPr>
        <w:t>African Union Member States</w:t>
      </w:r>
      <w:r w:rsidRPr="00662906">
        <w:rPr>
          <w:rFonts w:eastAsia="Arial" w:cs="Arial"/>
          <w:color w:val="535659"/>
        </w:rPr>
        <w:t xml:space="preserve"> </w:t>
      </w:r>
      <w:r w:rsidR="00CA007C" w:rsidRPr="00662906">
        <w:rPr>
          <w:rFonts w:eastAsia="Arial" w:cs="Arial"/>
          <w:color w:val="535659"/>
        </w:rPr>
        <w:t>are</w:t>
      </w:r>
      <w:r w:rsidRPr="00662906">
        <w:rPr>
          <w:rFonts w:eastAsia="Arial" w:cs="Arial"/>
          <w:color w:val="535659"/>
        </w:rPr>
        <w:t xml:space="preserve"> </w:t>
      </w:r>
      <w:r w:rsidRPr="00662906">
        <w:rPr>
          <w:rFonts w:eastAsia="Arial" w:cs="Arial"/>
          <w:b/>
          <w:bCs/>
          <w:color w:val="535659"/>
        </w:rPr>
        <w:t>energy-efficient building codes</w:t>
      </w:r>
      <w:r w:rsidRPr="00662906">
        <w:rPr>
          <w:rFonts w:eastAsia="Arial" w:cs="Arial"/>
          <w:color w:val="535659"/>
        </w:rPr>
        <w:t xml:space="preserve">, </w:t>
      </w:r>
      <w:r w:rsidRPr="00662906">
        <w:rPr>
          <w:rFonts w:eastAsia="Arial" w:cs="Arial"/>
          <w:b/>
          <w:bCs/>
          <w:color w:val="535659"/>
        </w:rPr>
        <w:t>green building standards</w:t>
      </w:r>
      <w:r w:rsidR="00CA007C" w:rsidRPr="00662906">
        <w:rPr>
          <w:rFonts w:eastAsia="Arial" w:cs="Arial"/>
          <w:color w:val="535659"/>
        </w:rPr>
        <w:t xml:space="preserve">, </w:t>
      </w:r>
      <w:r w:rsidRPr="00662906">
        <w:rPr>
          <w:rFonts w:eastAsia="Arial" w:cs="Arial"/>
          <w:b/>
          <w:bCs/>
          <w:color w:val="535659"/>
        </w:rPr>
        <w:t>retrofitting buildings</w:t>
      </w:r>
      <w:r w:rsidRPr="00662906">
        <w:rPr>
          <w:rFonts w:eastAsia="Arial" w:cs="Arial"/>
          <w:color w:val="535659"/>
        </w:rPr>
        <w:t xml:space="preserve"> and </w:t>
      </w:r>
      <w:r w:rsidR="00747553" w:rsidRPr="00662906">
        <w:rPr>
          <w:rFonts w:eastAsia="Arial" w:cs="Arial"/>
          <w:b/>
          <w:bCs/>
          <w:color w:val="535659"/>
        </w:rPr>
        <w:t>use of</w:t>
      </w:r>
      <w:r w:rsidRPr="00662906">
        <w:rPr>
          <w:rFonts w:eastAsia="Arial" w:cs="Arial"/>
          <w:b/>
          <w:bCs/>
          <w:color w:val="535659"/>
        </w:rPr>
        <w:t xml:space="preserve"> energy-efficient appliances</w:t>
      </w:r>
      <w:r w:rsidR="003B7432" w:rsidRPr="00662906">
        <w:rPr>
          <w:rFonts w:eastAsia="Arial" w:cs="Arial"/>
          <w:b/>
          <w:bCs/>
          <w:color w:val="535659"/>
        </w:rPr>
        <w:t xml:space="preserve"> including the Heating, Ventilation and Air Conditioning</w:t>
      </w:r>
      <w:r w:rsidR="00A5461B" w:rsidRPr="00662906">
        <w:rPr>
          <w:rFonts w:eastAsia="Arial" w:cs="Arial"/>
          <w:b/>
          <w:bCs/>
          <w:color w:val="535659"/>
        </w:rPr>
        <w:t>/Cooling</w:t>
      </w:r>
      <w:r w:rsidR="003B7432" w:rsidRPr="00662906">
        <w:rPr>
          <w:rFonts w:eastAsia="Arial" w:cs="Arial"/>
          <w:b/>
          <w:bCs/>
          <w:color w:val="535659"/>
        </w:rPr>
        <w:t xml:space="preserve"> systems</w:t>
      </w:r>
      <w:r w:rsidR="00CA007C" w:rsidRPr="00662906">
        <w:rPr>
          <w:rFonts w:eastAsia="Arial" w:cs="Arial"/>
          <w:color w:val="535659"/>
        </w:rPr>
        <w:t xml:space="preserve"> and </w:t>
      </w:r>
      <w:r w:rsidRPr="00662906">
        <w:rPr>
          <w:rFonts w:eastAsia="Arial" w:cs="Arial"/>
          <w:b/>
          <w:bCs/>
          <w:color w:val="535659"/>
        </w:rPr>
        <w:t>smart building technology</w:t>
      </w:r>
      <w:r w:rsidR="00893616" w:rsidRPr="00662906">
        <w:rPr>
          <w:rStyle w:val="FootnoteReference"/>
          <w:rFonts w:eastAsia="Arial" w:cs="Arial"/>
          <w:b/>
          <w:bCs/>
          <w:color w:val="535659"/>
        </w:rPr>
        <w:footnoteReference w:id="38"/>
      </w:r>
      <w:r w:rsidR="00CA007C" w:rsidRPr="00662906">
        <w:rPr>
          <w:rFonts w:eastAsia="Arial" w:cs="Arial"/>
          <w:color w:val="535659"/>
        </w:rPr>
        <w:t>.</w:t>
      </w:r>
    </w:p>
    <w:p w14:paraId="20FF8CA1" w14:textId="5DEEF7E8" w:rsidR="008F1D18" w:rsidRPr="00662906" w:rsidRDefault="00487993" w:rsidP="00637CBD">
      <w:pPr>
        <w:numPr>
          <w:ilvl w:val="0"/>
          <w:numId w:val="10"/>
        </w:numPr>
      </w:pPr>
      <w:r w:rsidRPr="00662906">
        <w:rPr>
          <w:b/>
          <w:bCs/>
        </w:rPr>
        <w:t xml:space="preserve">Enabling </w:t>
      </w:r>
      <w:r w:rsidR="008F1D18" w:rsidRPr="00662906">
        <w:rPr>
          <w:b/>
          <w:bCs/>
        </w:rPr>
        <w:t xml:space="preserve">Regulatory </w:t>
      </w:r>
      <w:r w:rsidR="00DC7B79" w:rsidRPr="00662906">
        <w:rPr>
          <w:b/>
          <w:bCs/>
        </w:rPr>
        <w:t>Policies</w:t>
      </w:r>
    </w:p>
    <w:p w14:paraId="06C2B058" w14:textId="33A956A6" w:rsidR="008F1D18" w:rsidRPr="00662906" w:rsidRDefault="008F1D18" w:rsidP="008F1D18">
      <w:r w:rsidRPr="00662906">
        <w:t xml:space="preserve">Few sub-Saharan </w:t>
      </w:r>
      <w:r w:rsidR="1D9648D4" w:rsidRPr="00662906">
        <w:t>African Union Member States</w:t>
      </w:r>
      <w:r w:rsidRPr="00662906">
        <w:t xml:space="preserve"> </w:t>
      </w:r>
      <w:r w:rsidR="004966F6" w:rsidRPr="00662906">
        <w:t xml:space="preserve">that include </w:t>
      </w:r>
      <w:r w:rsidRPr="00662906">
        <w:t xml:space="preserve">South Africa, Kenya, Uganda, Cameroon, and Rwanda have so far implemented national building codes with energy efficiency chapters. </w:t>
      </w:r>
    </w:p>
    <w:p w14:paraId="75F3C7C1" w14:textId="77777777" w:rsidR="008F1D18" w:rsidRPr="00662906" w:rsidRDefault="008F1D18" w:rsidP="008F1D18">
      <w:r w:rsidRPr="00662906">
        <w:t xml:space="preserve">The adoption and implementation rates of these codes remain low, particularly in countries with nascent building sectors. </w:t>
      </w:r>
    </w:p>
    <w:p w14:paraId="3ECFEED7" w14:textId="1E410241" w:rsidR="0055224F" w:rsidRPr="00662906" w:rsidRDefault="008F1D18" w:rsidP="008F1D18">
      <w:r w:rsidRPr="00662906">
        <w:t>As a result, most of the current building stock lacks energy efficiency measures incorporated in their design.</w:t>
      </w:r>
    </w:p>
    <w:p w14:paraId="3E863470" w14:textId="026DF035" w:rsidR="008F1D18" w:rsidRPr="00662906" w:rsidRDefault="008F1D18" w:rsidP="00637CBD">
      <w:pPr>
        <w:numPr>
          <w:ilvl w:val="0"/>
          <w:numId w:val="11"/>
        </w:numPr>
      </w:pPr>
      <w:r w:rsidRPr="00662906">
        <w:rPr>
          <w:b/>
          <w:bCs/>
        </w:rPr>
        <w:t>Material Use</w:t>
      </w:r>
      <w:r w:rsidR="00487993" w:rsidRPr="00662906">
        <w:rPr>
          <w:b/>
          <w:bCs/>
        </w:rPr>
        <w:t xml:space="preserve"> and Emissions</w:t>
      </w:r>
    </w:p>
    <w:p w14:paraId="61FD76B8" w14:textId="6D7A7695" w:rsidR="0005404D" w:rsidRPr="00662906" w:rsidRDefault="008F1D18" w:rsidP="008F1D18">
      <w:r w:rsidRPr="00662906">
        <w:t>Buildings already account for over 50% of extracted materials and 37% of energy-related CO</w:t>
      </w:r>
      <w:r w:rsidRPr="00662906">
        <w:rPr>
          <w:vertAlign w:val="subscript"/>
        </w:rPr>
        <w:t>2</w:t>
      </w:r>
      <w:r w:rsidRPr="00662906">
        <w:t xml:space="preserve"> emissions</w:t>
      </w:r>
      <w:r w:rsidR="004966F6" w:rsidRPr="00662906">
        <w:t xml:space="preserve"> globally</w:t>
      </w:r>
      <w:r w:rsidR="004966F6" w:rsidRPr="00662906">
        <w:rPr>
          <w:rStyle w:val="FootnoteReference"/>
        </w:rPr>
        <w:footnoteReference w:id="39"/>
      </w:r>
      <w:r w:rsidRPr="00662906">
        <w:t xml:space="preserve">. The construction sector's rapid growth is expected to increase emissions from building materials like steel and cement. </w:t>
      </w:r>
    </w:p>
    <w:p w14:paraId="53B38F34" w14:textId="77777777" w:rsidR="008F1D18" w:rsidRPr="00662906" w:rsidRDefault="008F1D18" w:rsidP="002A7B9B">
      <w:pPr>
        <w:numPr>
          <w:ilvl w:val="0"/>
          <w:numId w:val="11"/>
        </w:numPr>
        <w:rPr>
          <w:b/>
          <w:bCs/>
        </w:rPr>
      </w:pPr>
      <w:r w:rsidRPr="00662906">
        <w:rPr>
          <w:b/>
          <w:bCs/>
        </w:rPr>
        <w:t>Lack of awareness</w:t>
      </w:r>
    </w:p>
    <w:p w14:paraId="2A89A824" w14:textId="061B39E4" w:rsidR="008F1D18" w:rsidRPr="00662906" w:rsidRDefault="008F1D18" w:rsidP="008F1D18">
      <w:r w:rsidRPr="00662906">
        <w:t xml:space="preserve">Population lacks </w:t>
      </w:r>
      <w:r w:rsidR="00487993" w:rsidRPr="00662906">
        <w:t xml:space="preserve">adequate </w:t>
      </w:r>
      <w:r w:rsidRPr="00662906">
        <w:t>awareness of sustainable building practices and are mostly reliant on market trends. This presents a challenge because many buildings will ignore energy efficiency measures over more favourable and available building techniques. </w:t>
      </w:r>
    </w:p>
    <w:p w14:paraId="7E043648" w14:textId="77777777" w:rsidR="008F1D18" w:rsidRPr="00662906" w:rsidRDefault="008F1D18" w:rsidP="00637CBD">
      <w:pPr>
        <w:numPr>
          <w:ilvl w:val="0"/>
          <w:numId w:val="13"/>
        </w:numPr>
      </w:pPr>
      <w:r w:rsidRPr="00662906">
        <w:rPr>
          <w:b/>
          <w:bCs/>
        </w:rPr>
        <w:t>Socio-Economic and Environmental Inequities</w:t>
      </w:r>
    </w:p>
    <w:p w14:paraId="152A2A31" w14:textId="75BF5390" w:rsidR="008F1D18" w:rsidRPr="00662906" w:rsidRDefault="008F1D18" w:rsidP="00284AE6">
      <w:r w:rsidRPr="00662906">
        <w:t>The swift growth in construction, particularly in urban areas including slums, will exacerbate existing socio-economic and environmental inequities. This rapid expansion poses challenges for energy resources, infrastructure, and sustainability efforts.</w:t>
      </w:r>
    </w:p>
    <w:p w14:paraId="38D8CF20" w14:textId="4BDE167B" w:rsidR="00C13D7C" w:rsidRPr="00662906" w:rsidRDefault="43A9FF92" w:rsidP="00CA007C">
      <w:r w:rsidRPr="00662906">
        <w:t xml:space="preserve">Considering the situational analysis of the subsector and foreseen potential in the </w:t>
      </w:r>
      <w:r w:rsidR="0BEB1AE7" w:rsidRPr="00662906">
        <w:t xml:space="preserve">sector </w:t>
      </w:r>
      <w:r w:rsidR="00CA007C" w:rsidRPr="00662906">
        <w:t xml:space="preserve">the </w:t>
      </w:r>
      <w:r w:rsidR="00C13D7C" w:rsidRPr="00662906">
        <w:t xml:space="preserve">strategic objective for the building subsector </w:t>
      </w:r>
      <w:r w:rsidR="000D722F" w:rsidRPr="00662906">
        <w:t>seeks</w:t>
      </w:r>
      <w:r w:rsidR="00C13D7C" w:rsidRPr="00662906">
        <w:t xml:space="preserve"> to</w:t>
      </w:r>
      <w:r w:rsidR="00C13D7C" w:rsidRPr="00662906">
        <w:rPr>
          <w:b/>
        </w:rPr>
        <w:t xml:space="preserve"> </w:t>
      </w:r>
      <w:r w:rsidR="00C13D7C" w:rsidRPr="00662906">
        <w:rPr>
          <w:rFonts w:eastAsia="Arial" w:cs="Arial"/>
          <w:b/>
          <w:bCs/>
        </w:rPr>
        <w:t xml:space="preserve">Elevate Building Standards for Energy Consumption. </w:t>
      </w:r>
      <w:r w:rsidR="00C13D7C" w:rsidRPr="00662906">
        <w:rPr>
          <w:rFonts w:eastAsia="Arial" w:cs="Arial"/>
        </w:rPr>
        <w:t xml:space="preserve">This </w:t>
      </w:r>
      <w:r w:rsidR="00873C1B" w:rsidRPr="00662906">
        <w:rPr>
          <w:rFonts w:eastAsia="Arial" w:cs="Arial"/>
        </w:rPr>
        <w:t xml:space="preserve">is </w:t>
      </w:r>
      <w:r w:rsidR="00C13D7C" w:rsidRPr="00662906">
        <w:rPr>
          <w:rFonts w:eastAsia="Arial" w:cs="Arial"/>
        </w:rPr>
        <w:t>with a view of reducing buildings’ energy consumption per unit floor space.</w:t>
      </w:r>
    </w:p>
    <w:p w14:paraId="20FF9590" w14:textId="21AE5AA9" w:rsidR="543D997D" w:rsidRPr="00662906" w:rsidRDefault="22BA2350" w:rsidP="00284AE6">
      <w:r w:rsidRPr="00662906">
        <w:t>To that effect the proposed</w:t>
      </w:r>
      <w:r w:rsidR="58FAB5E8" w:rsidRPr="00662906">
        <w:t xml:space="preserve"> </w:t>
      </w:r>
      <w:r w:rsidR="77FE5355" w:rsidRPr="00662906">
        <w:t>strategic interventions</w:t>
      </w:r>
      <w:r w:rsidR="73407C2A" w:rsidRPr="00662906">
        <w:t xml:space="preserve"> for the ETSAP for the building sector are as follows</w:t>
      </w:r>
      <w:r w:rsidR="00284AE6" w:rsidRPr="00662906">
        <w:t>:</w:t>
      </w:r>
    </w:p>
    <w:p w14:paraId="7E6CF4EB" w14:textId="4E7EB389" w:rsidR="543D997D" w:rsidRPr="00662906" w:rsidRDefault="58FAB5E8" w:rsidP="00284AE6">
      <w:pPr>
        <w:pStyle w:val="Bullets"/>
        <w:rPr>
          <w:lang w:val="en-GB"/>
        </w:rPr>
      </w:pPr>
      <w:r w:rsidRPr="00662906">
        <w:rPr>
          <w:lang w:val="en-GB"/>
        </w:rPr>
        <w:t>Strategic intervention</w:t>
      </w:r>
      <w:r w:rsidR="00337EE6" w:rsidRPr="00662906">
        <w:rPr>
          <w:lang w:val="en-GB"/>
        </w:rPr>
        <w:t xml:space="preserve"> </w:t>
      </w:r>
      <w:r w:rsidRPr="00662906">
        <w:rPr>
          <w:lang w:val="en-GB"/>
        </w:rPr>
        <w:t>1: Strengthen and adopt compliance with mandatory building energy codes.</w:t>
      </w:r>
    </w:p>
    <w:p w14:paraId="1D641655" w14:textId="0B47C04B" w:rsidR="543D997D" w:rsidRPr="00662906" w:rsidRDefault="58FAB5E8" w:rsidP="00284AE6">
      <w:pPr>
        <w:pStyle w:val="Bullets"/>
        <w:rPr>
          <w:lang w:val="en-GB"/>
        </w:rPr>
      </w:pPr>
      <w:r w:rsidRPr="00662906">
        <w:rPr>
          <w:lang w:val="en-GB"/>
        </w:rPr>
        <w:lastRenderedPageBreak/>
        <w:t>Strategic Intervention 2: Boost market demand for energy-efficient buildings.</w:t>
      </w:r>
    </w:p>
    <w:p w14:paraId="2069E5B3" w14:textId="1C902916" w:rsidR="2D8B2CEE" w:rsidRPr="00662906" w:rsidRDefault="58FAB5E8" w:rsidP="00284AE6">
      <w:pPr>
        <w:pStyle w:val="Bullets"/>
        <w:rPr>
          <w:lang w:val="en-GB"/>
        </w:rPr>
      </w:pPr>
      <w:r w:rsidRPr="00662906">
        <w:rPr>
          <w:lang w:val="en-GB"/>
        </w:rPr>
        <w:t>Strategic Intervention 3: Boost capacity for delivery of energy-efficient buildings.</w:t>
      </w:r>
    </w:p>
    <w:p w14:paraId="51A2E2AA" w14:textId="481A89E6" w:rsidR="00D41C50" w:rsidRPr="00662906" w:rsidRDefault="31C9DA8F" w:rsidP="1760A01F">
      <w:pPr>
        <w:jc w:val="left"/>
        <w:sectPr w:rsidR="00D41C50" w:rsidRPr="00662906" w:rsidSect="00D41C50">
          <w:pgSz w:w="11906" w:h="16838"/>
          <w:pgMar w:top="1440" w:right="1440" w:bottom="1440" w:left="1440" w:header="720" w:footer="720" w:gutter="0"/>
          <w:cols w:space="720"/>
          <w:titlePg/>
          <w:docGrid w:linePitch="360"/>
        </w:sectPr>
      </w:pPr>
      <w:r w:rsidRPr="00662906">
        <w:t xml:space="preserve">The related Action plans for these interventions are presented below in </w:t>
      </w:r>
      <w:r w:rsidR="638B8E01" w:rsidRPr="00662906">
        <w:t xml:space="preserve">Tables </w:t>
      </w:r>
      <w:r w:rsidR="00144890" w:rsidRPr="00662906">
        <w:t>2</w:t>
      </w:r>
      <w:r w:rsidR="003C4B5B" w:rsidRPr="00662906">
        <w:t>1-23</w:t>
      </w:r>
      <w:r w:rsidR="69A19C2E" w:rsidRPr="00662906">
        <w:t>.</w:t>
      </w:r>
    </w:p>
    <w:p w14:paraId="5414B95D" w14:textId="761C4B98" w:rsidR="0055224F" w:rsidRPr="00662906" w:rsidRDefault="0055224F" w:rsidP="1760A01F">
      <w:pPr>
        <w:jc w:val="left"/>
      </w:pPr>
    </w:p>
    <w:p w14:paraId="0BCCED23" w14:textId="664ADA21" w:rsidR="005A55F5" w:rsidRPr="00662906" w:rsidRDefault="1FB41F28" w:rsidP="00BC0340">
      <w:pPr>
        <w:pStyle w:val="Caption"/>
      </w:pPr>
      <w:bookmarkStart w:id="625" w:name="_Toc171955593"/>
      <w:bookmarkStart w:id="626" w:name="_Toc176430322"/>
      <w:bookmarkStart w:id="627" w:name="_Toc197433909"/>
      <w:r w:rsidRPr="00662906">
        <w:t xml:space="preserve">Table </w:t>
      </w:r>
      <w:fldSimple w:instr=" SEQ Table \* ARABIC ">
        <w:r w:rsidR="00610F61">
          <w:rPr>
            <w:noProof/>
          </w:rPr>
          <w:t>21</w:t>
        </w:r>
      </w:fldSimple>
      <w:r w:rsidR="483119FC" w:rsidRPr="00662906">
        <w:t>:</w:t>
      </w:r>
      <w:r w:rsidR="533DCA85" w:rsidRPr="00662906">
        <w:t xml:space="preserve"> Action Plan for Strategic intervention 1: Strengthen and adopt compliance with mandatory building energy codes.</w:t>
      </w:r>
      <w:bookmarkEnd w:id="625"/>
      <w:bookmarkEnd w:id="626"/>
      <w:bookmarkEnd w:id="627"/>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D53A61" w:rsidRPr="00662906" w14:paraId="02FEFEA2" w14:textId="77777777" w:rsidTr="00E8722A">
        <w:trPr>
          <w:trHeight w:val="360"/>
        </w:trPr>
        <w:tc>
          <w:tcPr>
            <w:tcW w:w="14456" w:type="dxa"/>
            <w:gridSpan w:val="10"/>
            <w:shd w:val="clear" w:color="auto" w:fill="B4A269"/>
          </w:tcPr>
          <w:p w14:paraId="7992777D" w14:textId="558C0D80" w:rsidR="00D53A61" w:rsidRPr="00662906" w:rsidRDefault="00D53A61" w:rsidP="00E8722A">
            <w:pPr>
              <w:spacing w:before="60" w:after="60"/>
              <w:ind w:left="-57" w:right="-57"/>
              <w:rPr>
                <w:rFonts w:eastAsia="Arial" w:cs="Arial"/>
                <w:b/>
                <w:color w:val="FFFFFF"/>
                <w:sz w:val="16"/>
                <w:szCs w:val="16"/>
              </w:rPr>
            </w:pPr>
            <w:bookmarkStart w:id="628" w:name="_Hlk189584611"/>
            <w:r w:rsidRPr="00662906">
              <w:rPr>
                <w:rFonts w:eastAsia="Arial" w:cs="Arial"/>
                <w:b/>
                <w:color w:val="FFFFFF"/>
                <w:sz w:val="16"/>
                <w:szCs w:val="16"/>
              </w:rPr>
              <w:t xml:space="preserve">Pathway to Change: </w:t>
            </w:r>
            <w:r w:rsidR="0026048A" w:rsidRPr="00662906">
              <w:t xml:space="preserve"> </w:t>
            </w:r>
            <w:r w:rsidR="0026048A" w:rsidRPr="00662906">
              <w:rPr>
                <w:rFonts w:eastAsia="Arial" w:cs="Arial"/>
                <w:bCs/>
                <w:color w:val="FFFFFF"/>
                <w:sz w:val="16"/>
                <w:szCs w:val="16"/>
              </w:rPr>
              <w:t>Efforts to establish energy-efficient building codes in Africa remain fragmented and hindered by cultural diversity and technical gaps. This intervention focuses on developing adaptable, regionally harmonized building codes that balance living conditions, decarbonization goals, and cultural contexts. By increasing technical capacity, raising awareness, and encouraging compliance through incentives and education, the pathway seeks to transform building practices into a cornerstone of sustainable development, reducing emissions and improving energy efficiency.</w:t>
            </w:r>
          </w:p>
        </w:tc>
      </w:tr>
      <w:tr w:rsidR="00D53A61" w:rsidRPr="00662906" w14:paraId="6BB36816" w14:textId="77777777" w:rsidTr="00E8722A">
        <w:trPr>
          <w:trHeight w:val="699"/>
        </w:trPr>
        <w:tc>
          <w:tcPr>
            <w:tcW w:w="1415" w:type="dxa"/>
            <w:gridSpan w:val="2"/>
            <w:shd w:val="clear" w:color="auto" w:fill="B4A269"/>
            <w:tcMar>
              <w:left w:w="57" w:type="dxa"/>
              <w:right w:w="57" w:type="dxa"/>
            </w:tcMar>
            <w:vAlign w:val="center"/>
          </w:tcPr>
          <w:p w14:paraId="0B7B4906"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13AD1931" w14:textId="77777777" w:rsidR="00D53A61" w:rsidRPr="00662906" w:rsidRDefault="00D53A61"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72AC2522"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51199115"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5CDFC14C"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0F076551"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29C68CB3"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41107250"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2EFE4540" w14:textId="77777777" w:rsidR="00D53A61" w:rsidRPr="00662906" w:rsidRDefault="00D53A61"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067F55" w:rsidRPr="00662906" w14:paraId="3C0EE4E7" w14:textId="77777777" w:rsidTr="007E6C89">
        <w:trPr>
          <w:trHeight w:val="1413"/>
        </w:trPr>
        <w:tc>
          <w:tcPr>
            <w:tcW w:w="167" w:type="dxa"/>
            <w:shd w:val="clear" w:color="auto" w:fill="FFFFFF"/>
            <w:tcMar>
              <w:left w:w="57" w:type="dxa"/>
              <w:right w:w="57" w:type="dxa"/>
            </w:tcMar>
          </w:tcPr>
          <w:p w14:paraId="5CAD0AE7" w14:textId="77777777" w:rsidR="00067F55" w:rsidRPr="00662906" w:rsidRDefault="00067F55" w:rsidP="00067F55">
            <w:pPr>
              <w:spacing w:before="40" w:after="40"/>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758823F2" w14:textId="61DD4722"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Support dissemination and implementation of harmonized minimum energy efficiency and thermal performance standards for buildings</w:t>
            </w:r>
          </w:p>
        </w:tc>
        <w:tc>
          <w:tcPr>
            <w:tcW w:w="3260" w:type="dxa"/>
            <w:tcBorders>
              <w:bottom w:val="single" w:sz="2" w:space="0" w:color="9F2241"/>
            </w:tcBorders>
            <w:shd w:val="clear" w:color="auto" w:fill="FFFFFF"/>
            <w:tcMar>
              <w:left w:w="57" w:type="dxa"/>
              <w:right w:w="57" w:type="dxa"/>
            </w:tcMar>
          </w:tcPr>
          <w:p w14:paraId="6842D64D" w14:textId="4A82FDCC" w:rsidR="00067F55" w:rsidRPr="00662906" w:rsidRDefault="00067F55" w:rsidP="007E6C89">
            <w:pPr>
              <w:pStyle w:val="ListParagraph"/>
              <w:numPr>
                <w:ilvl w:val="0"/>
                <w:numId w:val="84"/>
              </w:numPr>
              <w:spacing w:before="0" w:after="0"/>
              <w:ind w:left="367"/>
              <w:jc w:val="center"/>
              <w:rPr>
                <w:rFonts w:cs="Arial"/>
                <w:sz w:val="16"/>
                <w:szCs w:val="16"/>
              </w:rPr>
            </w:pPr>
            <w:r w:rsidRPr="00662906">
              <w:rPr>
                <w:rFonts w:cs="Arial"/>
                <w:sz w:val="16"/>
                <w:szCs w:val="16"/>
              </w:rPr>
              <w:t>Conduct a comprehensive review of existing building codes and identify gaps in energy efficiency</w:t>
            </w:r>
          </w:p>
          <w:p w14:paraId="6724476C" w14:textId="0F52E7D3" w:rsidR="00067F55" w:rsidRPr="00662906" w:rsidRDefault="00067F55" w:rsidP="007E6C89">
            <w:pPr>
              <w:pStyle w:val="ListParagraph"/>
              <w:numPr>
                <w:ilvl w:val="0"/>
                <w:numId w:val="84"/>
              </w:numPr>
              <w:spacing w:before="0" w:after="0"/>
              <w:ind w:left="367"/>
              <w:jc w:val="center"/>
              <w:rPr>
                <w:rFonts w:cs="Arial"/>
                <w:sz w:val="16"/>
                <w:szCs w:val="16"/>
              </w:rPr>
            </w:pPr>
            <w:r w:rsidRPr="00662906">
              <w:rPr>
                <w:rFonts w:cs="Arial"/>
                <w:sz w:val="16"/>
                <w:szCs w:val="16"/>
              </w:rPr>
              <w:t xml:space="preserve">Develop or adapt regionally relevant MEPS </w:t>
            </w:r>
            <w:r w:rsidR="00FD7D02" w:rsidRPr="00662906">
              <w:rPr>
                <w:rFonts w:cs="Arial"/>
                <w:sz w:val="16"/>
                <w:szCs w:val="16"/>
              </w:rPr>
              <w:t>for heating, ventilation and air-conditioning</w:t>
            </w:r>
            <w:r w:rsidR="00A5461B" w:rsidRPr="00662906">
              <w:rPr>
                <w:rFonts w:cs="Arial"/>
                <w:sz w:val="16"/>
                <w:szCs w:val="16"/>
              </w:rPr>
              <w:t>/cooling</w:t>
            </w:r>
            <w:r w:rsidR="00FD7D02" w:rsidRPr="00662906">
              <w:rPr>
                <w:rFonts w:cs="Arial"/>
                <w:sz w:val="16"/>
                <w:szCs w:val="16"/>
              </w:rPr>
              <w:t xml:space="preserve"> systems</w:t>
            </w:r>
            <w:r w:rsidR="00C44AAA" w:rsidRPr="00662906">
              <w:rPr>
                <w:rFonts w:cs="Arial"/>
                <w:sz w:val="16"/>
                <w:szCs w:val="16"/>
              </w:rPr>
              <w:t xml:space="preserve"> as well as other appliances and devices.</w:t>
            </w:r>
          </w:p>
          <w:p w14:paraId="75D4F94F" w14:textId="1E4F45D1" w:rsidR="00067F55" w:rsidRPr="00662906" w:rsidRDefault="00067F55" w:rsidP="007E6C89">
            <w:pPr>
              <w:pStyle w:val="ListParagraph"/>
              <w:numPr>
                <w:ilvl w:val="0"/>
                <w:numId w:val="84"/>
              </w:numPr>
              <w:spacing w:before="0" w:after="0"/>
              <w:ind w:left="367"/>
              <w:jc w:val="center"/>
              <w:rPr>
                <w:rFonts w:cs="Arial"/>
                <w:sz w:val="16"/>
                <w:szCs w:val="16"/>
              </w:rPr>
            </w:pPr>
            <w:r w:rsidRPr="00662906">
              <w:rPr>
                <w:rFonts w:cs="Arial"/>
                <w:sz w:val="16"/>
                <w:szCs w:val="16"/>
              </w:rPr>
              <w:t>Organize stakeholder workshops (governments, industry, civil society) to finalize proposed standards</w:t>
            </w:r>
          </w:p>
          <w:p w14:paraId="020DB90D" w14:textId="3C25AF85" w:rsidR="00067F55" w:rsidRPr="00662906" w:rsidRDefault="00067F55" w:rsidP="007E6C89">
            <w:pPr>
              <w:pStyle w:val="ListParagraph"/>
              <w:numPr>
                <w:ilvl w:val="0"/>
                <w:numId w:val="84"/>
              </w:numPr>
              <w:spacing w:before="0" w:after="0"/>
              <w:ind w:left="367"/>
              <w:jc w:val="center"/>
              <w:rPr>
                <w:rFonts w:cs="Arial"/>
                <w:sz w:val="16"/>
                <w:szCs w:val="16"/>
              </w:rPr>
            </w:pPr>
            <w:r w:rsidRPr="00662906">
              <w:rPr>
                <w:rFonts w:cs="Arial"/>
                <w:sz w:val="16"/>
                <w:szCs w:val="16"/>
              </w:rPr>
              <w:t>Disseminate MEPS guidelines to AU Member States</w:t>
            </w:r>
          </w:p>
        </w:tc>
        <w:tc>
          <w:tcPr>
            <w:tcW w:w="1276" w:type="dxa"/>
            <w:shd w:val="clear" w:color="auto" w:fill="FFFFFF"/>
            <w:tcMar>
              <w:left w:w="57" w:type="dxa"/>
              <w:right w:w="57" w:type="dxa"/>
            </w:tcMar>
          </w:tcPr>
          <w:p w14:paraId="6380E995" w14:textId="612F7B20"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638DEC5E" w14:textId="75936B04"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03D55BED" w14:textId="77777777" w:rsidR="00067F55" w:rsidRPr="00662906" w:rsidRDefault="00067F55" w:rsidP="007E6C89">
            <w:pPr>
              <w:spacing w:before="40" w:after="40"/>
              <w:jc w:val="center"/>
              <w:rPr>
                <w:rFonts w:cs="Arial"/>
                <w:sz w:val="16"/>
                <w:szCs w:val="16"/>
              </w:rPr>
            </w:pPr>
            <w:r w:rsidRPr="00662906">
              <w:rPr>
                <w:rFonts w:cs="Arial"/>
                <w:sz w:val="16"/>
                <w:szCs w:val="16"/>
              </w:rPr>
              <w:t>UN-Habitat, Global Alliance for Buildings and Construction, UNEP</w:t>
            </w:r>
          </w:p>
          <w:p w14:paraId="56B1D0ED" w14:textId="65FB7ED0" w:rsidR="00D941CC" w:rsidRPr="00662906" w:rsidRDefault="00D941CC" w:rsidP="007E6C89">
            <w:pPr>
              <w:spacing w:before="40" w:after="40"/>
              <w:jc w:val="center"/>
              <w:rPr>
                <w:rFonts w:eastAsia="Arial" w:cs="Arial"/>
                <w:color w:val="53575A"/>
                <w:sz w:val="16"/>
                <w:szCs w:val="16"/>
              </w:rPr>
            </w:pPr>
            <w:r w:rsidRPr="00662906">
              <w:rPr>
                <w:rFonts w:cs="Arial"/>
                <w:sz w:val="16"/>
                <w:szCs w:val="16"/>
              </w:rPr>
              <w:t>ARSO, AFSEC, Regional Standard Bodies</w:t>
            </w:r>
          </w:p>
        </w:tc>
        <w:tc>
          <w:tcPr>
            <w:tcW w:w="851" w:type="dxa"/>
            <w:shd w:val="clear" w:color="auto" w:fill="FFFFFF"/>
            <w:tcMar>
              <w:left w:w="57" w:type="dxa"/>
              <w:right w:w="57" w:type="dxa"/>
            </w:tcMar>
          </w:tcPr>
          <w:p w14:paraId="7EA8FAD2" w14:textId="6C713A78"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316C3CD9" w14:textId="62361A12"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Gap analysis report</w:t>
            </w:r>
          </w:p>
          <w:p w14:paraId="206718C4" w14:textId="509318C1"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Drafted MEPS guidelines</w:t>
            </w:r>
          </w:p>
          <w:p w14:paraId="5D7903E7" w14:textId="29C60541"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proceedings</w:t>
            </w:r>
          </w:p>
        </w:tc>
        <w:tc>
          <w:tcPr>
            <w:tcW w:w="1701" w:type="dxa"/>
            <w:shd w:val="clear" w:color="auto" w:fill="FFFFFF"/>
          </w:tcPr>
          <w:p w14:paraId="0697A6E3" w14:textId="3A6F7A80"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Adoption of harmonized MEPS across diverse Member States, leading to measurable improvements in building energy performance</w:t>
            </w:r>
          </w:p>
        </w:tc>
        <w:tc>
          <w:tcPr>
            <w:tcW w:w="1843" w:type="dxa"/>
            <w:shd w:val="clear" w:color="auto" w:fill="FFFFFF"/>
          </w:tcPr>
          <w:p w14:paraId="468D76AF" w14:textId="3CF460EE" w:rsidR="00067F55" w:rsidRPr="00662906" w:rsidRDefault="00D941CC"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Uptake of developed MEPS by AU-</w:t>
            </w:r>
            <w:r w:rsidR="00A106F6" w:rsidRPr="00662906">
              <w:rPr>
                <w:rFonts w:eastAsia="Arial" w:cs="Arial"/>
                <w:color w:val="53575A"/>
                <w:sz w:val="16"/>
                <w:szCs w:val="16"/>
              </w:rPr>
              <w:t>(count)</w:t>
            </w:r>
          </w:p>
        </w:tc>
      </w:tr>
      <w:tr w:rsidR="00067F55" w:rsidRPr="00662906" w14:paraId="56747309" w14:textId="77777777" w:rsidTr="007E6C89">
        <w:trPr>
          <w:trHeight w:val="300"/>
        </w:trPr>
        <w:tc>
          <w:tcPr>
            <w:tcW w:w="167" w:type="dxa"/>
            <w:shd w:val="clear" w:color="auto" w:fill="FFFFFF"/>
            <w:tcMar>
              <w:left w:w="57" w:type="dxa"/>
              <w:right w:w="57" w:type="dxa"/>
            </w:tcMar>
          </w:tcPr>
          <w:p w14:paraId="227036C7" w14:textId="77777777" w:rsidR="00067F55" w:rsidRPr="00662906" w:rsidRDefault="00067F55" w:rsidP="00067F55">
            <w:pPr>
              <w:spacing w:before="40" w:after="40"/>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45F2475C" w14:textId="00FEC031"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Develop comprehensive national guidelines for energy performance in buildings (based on building audits) to establish consumption baselines</w:t>
            </w:r>
          </w:p>
        </w:tc>
        <w:tc>
          <w:tcPr>
            <w:tcW w:w="3260" w:type="dxa"/>
            <w:tcBorders>
              <w:bottom w:val="single" w:sz="4" w:space="0" w:color="9F2241"/>
            </w:tcBorders>
            <w:shd w:val="clear" w:color="auto" w:fill="FFFFFF"/>
            <w:tcMar>
              <w:left w:w="57" w:type="dxa"/>
              <w:right w:w="57" w:type="dxa"/>
            </w:tcMar>
          </w:tcPr>
          <w:p w14:paraId="47F24EAE" w14:textId="36297363" w:rsidR="00067F55" w:rsidRPr="00662906" w:rsidRDefault="00067F55" w:rsidP="007E6C89">
            <w:pPr>
              <w:pStyle w:val="ListParagraph"/>
              <w:numPr>
                <w:ilvl w:val="0"/>
                <w:numId w:val="85"/>
              </w:numPr>
              <w:spacing w:before="40" w:after="40"/>
              <w:ind w:left="367"/>
              <w:jc w:val="center"/>
              <w:rPr>
                <w:rFonts w:eastAsia="Arial" w:cs="Arial"/>
                <w:color w:val="394A58"/>
                <w:sz w:val="16"/>
                <w:szCs w:val="16"/>
              </w:rPr>
            </w:pPr>
            <w:r w:rsidRPr="00662906">
              <w:rPr>
                <w:rFonts w:eastAsia="Arial" w:cs="Arial"/>
                <w:color w:val="394A58"/>
                <w:sz w:val="16"/>
                <w:szCs w:val="16"/>
              </w:rPr>
              <w:t>Segment Member States by climatic zones and socio-economic contexts</w:t>
            </w:r>
          </w:p>
          <w:p w14:paraId="35C13CFB" w14:textId="6F3C7D8B" w:rsidR="00067F55" w:rsidRPr="00662906" w:rsidRDefault="00067F55" w:rsidP="007E6C89">
            <w:pPr>
              <w:pStyle w:val="ListParagraph"/>
              <w:numPr>
                <w:ilvl w:val="0"/>
                <w:numId w:val="85"/>
              </w:numPr>
              <w:spacing w:before="40" w:after="40"/>
              <w:ind w:left="367"/>
              <w:jc w:val="center"/>
              <w:rPr>
                <w:rFonts w:eastAsia="Arial" w:cs="Arial"/>
                <w:color w:val="394A58"/>
                <w:sz w:val="16"/>
                <w:szCs w:val="16"/>
              </w:rPr>
            </w:pPr>
            <w:r w:rsidRPr="00662906">
              <w:rPr>
                <w:rFonts w:eastAsia="Arial" w:cs="Arial"/>
                <w:color w:val="394A58"/>
                <w:sz w:val="16"/>
                <w:szCs w:val="16"/>
              </w:rPr>
              <w:t>Create region-specific guidelines for energy-efficient design and retrofits</w:t>
            </w:r>
          </w:p>
          <w:p w14:paraId="514D45DF" w14:textId="7EA942DD" w:rsidR="00067F55" w:rsidRPr="00662906" w:rsidRDefault="00067F55" w:rsidP="007E6C89">
            <w:pPr>
              <w:pStyle w:val="ListParagraph"/>
              <w:numPr>
                <w:ilvl w:val="0"/>
                <w:numId w:val="85"/>
              </w:numPr>
              <w:spacing w:before="40" w:after="40"/>
              <w:ind w:left="367"/>
              <w:jc w:val="center"/>
              <w:rPr>
                <w:rFonts w:eastAsia="Arial" w:cs="Arial"/>
                <w:color w:val="394A58"/>
                <w:sz w:val="16"/>
                <w:szCs w:val="16"/>
              </w:rPr>
            </w:pPr>
            <w:r w:rsidRPr="00662906">
              <w:rPr>
                <w:rFonts w:eastAsia="Arial" w:cs="Arial"/>
                <w:color w:val="394A58"/>
                <w:sz w:val="16"/>
                <w:szCs w:val="16"/>
              </w:rPr>
              <w:t>Pilot the guidelines in selected Member States with varying building cultures</w:t>
            </w:r>
          </w:p>
          <w:p w14:paraId="46F761CD" w14:textId="1A482BEF" w:rsidR="00067F55" w:rsidRPr="00662906" w:rsidRDefault="00067F55" w:rsidP="007E6C89">
            <w:pPr>
              <w:pStyle w:val="ListParagraph"/>
              <w:numPr>
                <w:ilvl w:val="0"/>
                <w:numId w:val="85"/>
              </w:numPr>
              <w:spacing w:before="40" w:after="40"/>
              <w:ind w:left="367"/>
              <w:jc w:val="center"/>
              <w:rPr>
                <w:rFonts w:eastAsia="Arial" w:cs="Arial"/>
                <w:color w:val="394A58"/>
                <w:sz w:val="16"/>
                <w:szCs w:val="16"/>
              </w:rPr>
            </w:pPr>
            <w:r w:rsidRPr="00662906">
              <w:rPr>
                <w:rFonts w:eastAsia="Arial" w:cs="Arial"/>
                <w:color w:val="394A58"/>
                <w:sz w:val="16"/>
                <w:szCs w:val="16"/>
              </w:rPr>
              <w:t>Gather feedback and refine guidelines for broader roll-out</w:t>
            </w:r>
          </w:p>
        </w:tc>
        <w:tc>
          <w:tcPr>
            <w:tcW w:w="1276" w:type="dxa"/>
            <w:shd w:val="clear" w:color="auto" w:fill="FFFFFF"/>
            <w:tcMar>
              <w:left w:w="57" w:type="dxa"/>
              <w:right w:w="57" w:type="dxa"/>
            </w:tcMar>
          </w:tcPr>
          <w:p w14:paraId="1B6FE2F2" w14:textId="4EDD06D4"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2E621FDA" w14:textId="105BC8F6"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056CC20B" w14:textId="1CA0388C"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 xml:space="preserve">Ministries in charge of Buildings and Public Works, AFREC, </w:t>
            </w:r>
            <w:r w:rsidR="003E3A2C" w:rsidRPr="00662906">
              <w:rPr>
                <w:rFonts w:cs="Arial"/>
                <w:sz w:val="16"/>
                <w:szCs w:val="16"/>
              </w:rPr>
              <w:t>R</w:t>
            </w:r>
            <w:r w:rsidRPr="00662906">
              <w:rPr>
                <w:rFonts w:cs="Arial"/>
                <w:sz w:val="16"/>
                <w:szCs w:val="16"/>
              </w:rPr>
              <w:t>CREEEs</w:t>
            </w:r>
          </w:p>
        </w:tc>
        <w:tc>
          <w:tcPr>
            <w:tcW w:w="851" w:type="dxa"/>
            <w:shd w:val="clear" w:color="auto" w:fill="FFFFFF"/>
            <w:tcMar>
              <w:left w:w="57" w:type="dxa"/>
              <w:right w:w="57" w:type="dxa"/>
            </w:tcMar>
          </w:tcPr>
          <w:p w14:paraId="385CDD4A" w14:textId="2C3D9183"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11C785B6" w14:textId="3E7724C7"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Region-specific EE building guidelines</w:t>
            </w:r>
          </w:p>
          <w:p w14:paraId="1DFBEF87" w14:textId="0A896529"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project evaluation reports</w:t>
            </w:r>
          </w:p>
        </w:tc>
        <w:tc>
          <w:tcPr>
            <w:tcW w:w="1701" w:type="dxa"/>
            <w:shd w:val="clear" w:color="auto" w:fill="FFFFFF"/>
          </w:tcPr>
          <w:p w14:paraId="6520D8D2" w14:textId="61BB6248"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Contextualized, practical protocols for building design and renovation that reduce energy consumption and guide national baselines</w:t>
            </w:r>
          </w:p>
        </w:tc>
        <w:tc>
          <w:tcPr>
            <w:tcW w:w="1843" w:type="dxa"/>
            <w:shd w:val="clear" w:color="auto" w:fill="FFFFFF"/>
          </w:tcPr>
          <w:p w14:paraId="091EA6E5" w14:textId="06374D13" w:rsidR="00A106F6" w:rsidRPr="00662906" w:rsidRDefault="00B93F7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AU MS a</w:t>
            </w:r>
            <w:r w:rsidR="00D941CC" w:rsidRPr="00662906">
              <w:rPr>
                <w:rFonts w:eastAsia="Arial" w:cs="Arial"/>
                <w:color w:val="53575A"/>
                <w:sz w:val="16"/>
                <w:szCs w:val="16"/>
              </w:rPr>
              <w:t>dopti</w:t>
            </w:r>
            <w:r w:rsidRPr="00662906">
              <w:rPr>
                <w:rFonts w:eastAsia="Arial" w:cs="Arial"/>
                <w:color w:val="53575A"/>
                <w:sz w:val="16"/>
                <w:szCs w:val="16"/>
              </w:rPr>
              <w:t>ng</w:t>
            </w:r>
            <w:r w:rsidR="00D941CC" w:rsidRPr="00662906">
              <w:rPr>
                <w:rFonts w:eastAsia="Arial" w:cs="Arial"/>
                <w:color w:val="53575A"/>
                <w:sz w:val="16"/>
                <w:szCs w:val="16"/>
              </w:rPr>
              <w:t xml:space="preserve"> developed energy performance Guidelines by AU-MS</w:t>
            </w:r>
            <w:r w:rsidR="0031128B" w:rsidRPr="00662906">
              <w:rPr>
                <w:rFonts w:eastAsia="Arial" w:cs="Arial"/>
                <w:color w:val="53575A"/>
                <w:sz w:val="16"/>
                <w:szCs w:val="16"/>
              </w:rPr>
              <w:t xml:space="preserve"> </w:t>
            </w:r>
            <w:r w:rsidR="00A106F6" w:rsidRPr="00662906">
              <w:rPr>
                <w:rFonts w:eastAsia="Arial" w:cs="Arial"/>
                <w:color w:val="53575A"/>
                <w:sz w:val="16"/>
                <w:szCs w:val="16"/>
              </w:rPr>
              <w:t>Guidelines produced (Yes/No)</w:t>
            </w:r>
          </w:p>
          <w:p w14:paraId="25555A43" w14:textId="26EC9021" w:rsidR="00067F55"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Baseline data established (Yes/No)</w:t>
            </w:r>
          </w:p>
        </w:tc>
      </w:tr>
      <w:tr w:rsidR="00067F55" w:rsidRPr="00662906" w14:paraId="52649A21" w14:textId="77777777" w:rsidTr="007E6C89">
        <w:trPr>
          <w:trHeight w:val="300"/>
        </w:trPr>
        <w:tc>
          <w:tcPr>
            <w:tcW w:w="167" w:type="dxa"/>
            <w:shd w:val="clear" w:color="auto" w:fill="FFFFFF"/>
            <w:tcMar>
              <w:left w:w="57" w:type="dxa"/>
              <w:right w:w="57" w:type="dxa"/>
            </w:tcMar>
          </w:tcPr>
          <w:p w14:paraId="4C6E1109" w14:textId="77777777" w:rsidR="00067F55" w:rsidRPr="00662906" w:rsidRDefault="00067F55" w:rsidP="00067F55">
            <w:pPr>
              <w:spacing w:before="40" w:after="40"/>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35906E45" w14:textId="481FCD4D"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Conduct national building energy audits to establish consumption baselines</w:t>
            </w:r>
          </w:p>
        </w:tc>
        <w:tc>
          <w:tcPr>
            <w:tcW w:w="3260" w:type="dxa"/>
            <w:tcBorders>
              <w:top w:val="single" w:sz="4" w:space="0" w:color="9F2241"/>
              <w:left w:val="nil"/>
              <w:bottom w:val="single" w:sz="4" w:space="0" w:color="9F2241"/>
              <w:right w:val="nil"/>
            </w:tcBorders>
            <w:tcMar>
              <w:left w:w="57" w:type="dxa"/>
              <w:right w:w="57" w:type="dxa"/>
            </w:tcMar>
          </w:tcPr>
          <w:p w14:paraId="06BEA2EA" w14:textId="7BCAAFF2" w:rsidR="00067F55" w:rsidRPr="00662906" w:rsidRDefault="00067F55" w:rsidP="007E6C89">
            <w:pPr>
              <w:pStyle w:val="ListParagraph"/>
              <w:numPr>
                <w:ilvl w:val="0"/>
                <w:numId w:val="86"/>
              </w:numPr>
              <w:spacing w:before="40" w:after="40"/>
              <w:ind w:left="367"/>
              <w:jc w:val="center"/>
              <w:rPr>
                <w:rFonts w:eastAsia="Arial" w:cs="Arial"/>
                <w:color w:val="394A58"/>
                <w:sz w:val="16"/>
                <w:szCs w:val="16"/>
              </w:rPr>
            </w:pPr>
            <w:r w:rsidRPr="00662906">
              <w:rPr>
                <w:rFonts w:eastAsia="Arial" w:cs="Arial"/>
                <w:color w:val="394A58"/>
                <w:sz w:val="16"/>
                <w:szCs w:val="16"/>
              </w:rPr>
              <w:t>Develop region-specific audit tools tailored to various building typologies</w:t>
            </w:r>
          </w:p>
          <w:p w14:paraId="5A7CA91F" w14:textId="29CCC5F6" w:rsidR="00067F55" w:rsidRPr="00662906" w:rsidRDefault="00067F55" w:rsidP="007E6C89">
            <w:pPr>
              <w:pStyle w:val="ListParagraph"/>
              <w:numPr>
                <w:ilvl w:val="0"/>
                <w:numId w:val="86"/>
              </w:numPr>
              <w:spacing w:before="40" w:after="40"/>
              <w:ind w:left="367"/>
              <w:jc w:val="center"/>
              <w:rPr>
                <w:rFonts w:eastAsia="Arial" w:cs="Arial"/>
                <w:color w:val="394A58"/>
                <w:sz w:val="16"/>
                <w:szCs w:val="16"/>
              </w:rPr>
            </w:pPr>
            <w:r w:rsidRPr="00662906">
              <w:rPr>
                <w:rFonts w:eastAsia="Arial" w:cs="Arial"/>
                <w:color w:val="394A58"/>
                <w:sz w:val="16"/>
                <w:szCs w:val="16"/>
              </w:rPr>
              <w:t>Train local auditors and public works officials</w:t>
            </w:r>
          </w:p>
          <w:p w14:paraId="7B70FA5A" w14:textId="2FD32956" w:rsidR="00067F55" w:rsidRPr="00662906" w:rsidRDefault="00067F55" w:rsidP="007E6C89">
            <w:pPr>
              <w:pStyle w:val="ListParagraph"/>
              <w:numPr>
                <w:ilvl w:val="0"/>
                <w:numId w:val="86"/>
              </w:numPr>
              <w:spacing w:before="40" w:after="40"/>
              <w:ind w:left="367"/>
              <w:jc w:val="center"/>
              <w:rPr>
                <w:rFonts w:eastAsia="Arial" w:cs="Arial"/>
                <w:color w:val="394A58"/>
                <w:sz w:val="16"/>
                <w:szCs w:val="16"/>
              </w:rPr>
            </w:pPr>
            <w:r w:rsidRPr="00662906">
              <w:rPr>
                <w:rFonts w:eastAsia="Arial" w:cs="Arial"/>
                <w:color w:val="394A58"/>
                <w:sz w:val="16"/>
                <w:szCs w:val="16"/>
              </w:rPr>
              <w:t>Conduct large-scale building energy audits in pilot countries</w:t>
            </w:r>
          </w:p>
          <w:p w14:paraId="23803279" w14:textId="4F0E5C2F" w:rsidR="00067F55" w:rsidRPr="00662906" w:rsidRDefault="00067F55" w:rsidP="007E6C89">
            <w:pPr>
              <w:pStyle w:val="ListParagraph"/>
              <w:numPr>
                <w:ilvl w:val="0"/>
                <w:numId w:val="86"/>
              </w:numPr>
              <w:spacing w:before="40" w:after="40"/>
              <w:ind w:left="367"/>
              <w:jc w:val="center"/>
              <w:rPr>
                <w:rFonts w:eastAsia="Arial" w:cs="Arial"/>
                <w:color w:val="394A58"/>
                <w:sz w:val="16"/>
                <w:szCs w:val="16"/>
              </w:rPr>
            </w:pPr>
            <w:r w:rsidRPr="00662906">
              <w:rPr>
                <w:rFonts w:eastAsia="Arial" w:cs="Arial"/>
                <w:color w:val="394A58"/>
                <w:sz w:val="16"/>
                <w:szCs w:val="16"/>
              </w:rPr>
              <w:t>Compile audit results into a centralized database for policy use</w:t>
            </w:r>
          </w:p>
        </w:tc>
        <w:tc>
          <w:tcPr>
            <w:tcW w:w="1276" w:type="dxa"/>
            <w:shd w:val="clear" w:color="auto" w:fill="FFFFFF"/>
            <w:tcMar>
              <w:left w:w="57" w:type="dxa"/>
              <w:right w:w="57" w:type="dxa"/>
            </w:tcMar>
          </w:tcPr>
          <w:p w14:paraId="081D15CD" w14:textId="51040955"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5EDA2064" w14:textId="52E5A035"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71198663" w14:textId="4E3FF489" w:rsidR="00067F55" w:rsidRPr="00662906" w:rsidRDefault="00103E06" w:rsidP="007E6C89">
            <w:pPr>
              <w:spacing w:before="40" w:after="40"/>
              <w:jc w:val="center"/>
              <w:rPr>
                <w:rFonts w:eastAsia="Arial" w:cs="Arial"/>
                <w:color w:val="53575A"/>
                <w:sz w:val="16"/>
                <w:szCs w:val="16"/>
              </w:rPr>
            </w:pPr>
            <w:r w:rsidRPr="00662906">
              <w:rPr>
                <w:rFonts w:cs="Arial"/>
                <w:sz w:val="16"/>
                <w:szCs w:val="16"/>
              </w:rPr>
              <w:t>Ministries in charge of Buildings and Public Works, energy</w:t>
            </w:r>
            <w:r w:rsidRPr="00662906">
              <w:rPr>
                <w:rFonts w:cs="Arial"/>
                <w:sz w:val="16"/>
                <w:szCs w:val="16"/>
              </w:rPr>
              <w:br/>
            </w:r>
            <w:r w:rsidR="00067F55" w:rsidRPr="00662906">
              <w:rPr>
                <w:rFonts w:cs="Arial"/>
                <w:sz w:val="16"/>
                <w:szCs w:val="16"/>
              </w:rPr>
              <w:t xml:space="preserve">Local </w:t>
            </w:r>
            <w:r w:rsidRPr="00662906">
              <w:rPr>
                <w:rFonts w:cs="Arial"/>
                <w:sz w:val="16"/>
                <w:szCs w:val="16"/>
              </w:rPr>
              <w:t>Research and technology Institutes</w:t>
            </w:r>
          </w:p>
        </w:tc>
        <w:tc>
          <w:tcPr>
            <w:tcW w:w="851" w:type="dxa"/>
            <w:shd w:val="clear" w:color="auto" w:fill="FFFFFF"/>
            <w:tcMar>
              <w:left w:w="57" w:type="dxa"/>
              <w:right w:w="57" w:type="dxa"/>
            </w:tcMar>
          </w:tcPr>
          <w:p w14:paraId="7B457541" w14:textId="4CCBF19A"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4231B5DC" w14:textId="0694F919"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Validated audit tools</w:t>
            </w:r>
          </w:p>
          <w:p w14:paraId="3FC174F2" w14:textId="45253A31" w:rsidR="00103E06" w:rsidRPr="00662906" w:rsidRDefault="00103E06"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Pool of energy audit experts</w:t>
            </w:r>
          </w:p>
          <w:p w14:paraId="081A9CCE" w14:textId="1C24F8F2"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Completed building audits</w:t>
            </w:r>
          </w:p>
          <w:p w14:paraId="70EBEFF5" w14:textId="7D4EAD29"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Centralized database of audit findings</w:t>
            </w:r>
          </w:p>
        </w:tc>
        <w:tc>
          <w:tcPr>
            <w:tcW w:w="1701" w:type="dxa"/>
            <w:shd w:val="clear" w:color="auto" w:fill="FFFFFF"/>
          </w:tcPr>
          <w:p w14:paraId="26618244" w14:textId="6CB63F91"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 robust evidence base of actual building energy use, informing updates to building codes, EE benchmarks, and investment priorities</w:t>
            </w:r>
          </w:p>
        </w:tc>
        <w:tc>
          <w:tcPr>
            <w:tcW w:w="1843" w:type="dxa"/>
            <w:shd w:val="clear" w:color="auto" w:fill="FFFFFF"/>
          </w:tcPr>
          <w:p w14:paraId="406A8B08" w14:textId="78B913A8" w:rsidR="00067F55" w:rsidRPr="00662906" w:rsidRDefault="00103E0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Building energy baselines by Type.</w:t>
            </w:r>
            <w:r w:rsidR="00A106F6" w:rsidRPr="00662906">
              <w:rPr>
                <w:rFonts w:eastAsia="Arial" w:cs="Arial"/>
                <w:color w:val="53575A"/>
                <w:sz w:val="16"/>
                <w:szCs w:val="16"/>
              </w:rPr>
              <w:t xml:space="preserve"> (Yes/No)</w:t>
            </w:r>
          </w:p>
        </w:tc>
      </w:tr>
      <w:tr w:rsidR="00067F55" w:rsidRPr="00662906" w14:paraId="7CF3E0AC" w14:textId="77777777" w:rsidTr="007E6C89">
        <w:trPr>
          <w:trHeight w:val="300"/>
        </w:trPr>
        <w:tc>
          <w:tcPr>
            <w:tcW w:w="167" w:type="dxa"/>
            <w:shd w:val="clear" w:color="auto" w:fill="FFFFFF"/>
            <w:tcMar>
              <w:left w:w="57" w:type="dxa"/>
              <w:right w:w="57" w:type="dxa"/>
            </w:tcMar>
          </w:tcPr>
          <w:p w14:paraId="7879D73A" w14:textId="77777777" w:rsidR="00067F55" w:rsidRPr="00662906" w:rsidRDefault="00067F55" w:rsidP="00067F55">
            <w:pPr>
              <w:spacing w:before="40" w:after="40"/>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7542B3D8" w14:textId="0713D0FA"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Build capacities of building authorities and practitioners</w:t>
            </w:r>
          </w:p>
        </w:tc>
        <w:tc>
          <w:tcPr>
            <w:tcW w:w="3260" w:type="dxa"/>
            <w:tcBorders>
              <w:top w:val="single" w:sz="4" w:space="0" w:color="9F2241"/>
              <w:left w:val="nil"/>
              <w:bottom w:val="single" w:sz="4" w:space="0" w:color="9F2241"/>
              <w:right w:val="nil"/>
            </w:tcBorders>
            <w:tcMar>
              <w:left w:w="57" w:type="dxa"/>
              <w:right w:w="57" w:type="dxa"/>
            </w:tcMar>
          </w:tcPr>
          <w:p w14:paraId="1D5BFFC6" w14:textId="516F0C9E" w:rsidR="00067F55" w:rsidRPr="00662906" w:rsidRDefault="00067F55" w:rsidP="007E6C89">
            <w:pPr>
              <w:pStyle w:val="ListParagraph"/>
              <w:numPr>
                <w:ilvl w:val="0"/>
                <w:numId w:val="87"/>
              </w:numPr>
              <w:spacing w:before="40" w:after="40"/>
              <w:ind w:left="367"/>
              <w:jc w:val="center"/>
              <w:rPr>
                <w:rFonts w:eastAsia="Arial" w:cs="Arial"/>
                <w:color w:val="394A58"/>
                <w:sz w:val="16"/>
                <w:szCs w:val="16"/>
              </w:rPr>
            </w:pPr>
            <w:r w:rsidRPr="00662906">
              <w:rPr>
                <w:rFonts w:eastAsia="Arial" w:cs="Arial"/>
                <w:color w:val="394A58"/>
                <w:sz w:val="16"/>
                <w:szCs w:val="16"/>
              </w:rPr>
              <w:t>Identify specific training needs (code enforcement, design best practices, material selection)</w:t>
            </w:r>
          </w:p>
          <w:p w14:paraId="6D7017FB" w14:textId="2C43E5C9" w:rsidR="00067F55" w:rsidRPr="00662906" w:rsidRDefault="00067F55" w:rsidP="007E6C89">
            <w:pPr>
              <w:pStyle w:val="ListParagraph"/>
              <w:numPr>
                <w:ilvl w:val="0"/>
                <w:numId w:val="87"/>
              </w:numPr>
              <w:spacing w:before="40" w:after="40"/>
              <w:ind w:left="367"/>
              <w:jc w:val="center"/>
              <w:rPr>
                <w:rFonts w:eastAsia="Arial" w:cs="Arial"/>
                <w:color w:val="394A58"/>
                <w:sz w:val="16"/>
                <w:szCs w:val="16"/>
              </w:rPr>
            </w:pPr>
            <w:r w:rsidRPr="00662906">
              <w:rPr>
                <w:rFonts w:eastAsia="Arial" w:cs="Arial"/>
                <w:color w:val="394A58"/>
                <w:sz w:val="16"/>
                <w:szCs w:val="16"/>
              </w:rPr>
              <w:t>Develop tailored training curricula and materials</w:t>
            </w:r>
          </w:p>
          <w:p w14:paraId="0054FC36" w14:textId="43D3286F" w:rsidR="00067F55" w:rsidRPr="00662906" w:rsidRDefault="00067F55" w:rsidP="007E6C89">
            <w:pPr>
              <w:pStyle w:val="ListParagraph"/>
              <w:numPr>
                <w:ilvl w:val="0"/>
                <w:numId w:val="87"/>
              </w:numPr>
              <w:spacing w:before="40" w:after="40"/>
              <w:ind w:left="367"/>
              <w:jc w:val="center"/>
              <w:rPr>
                <w:rFonts w:eastAsia="Arial" w:cs="Arial"/>
                <w:color w:val="394A58"/>
                <w:sz w:val="16"/>
                <w:szCs w:val="16"/>
              </w:rPr>
            </w:pPr>
            <w:r w:rsidRPr="00662906">
              <w:rPr>
                <w:rFonts w:eastAsia="Arial" w:cs="Arial"/>
                <w:color w:val="394A58"/>
                <w:sz w:val="16"/>
                <w:szCs w:val="16"/>
              </w:rPr>
              <w:t>Conduct workshops, seminars, and study tours for regulators, architects, and builders</w:t>
            </w:r>
          </w:p>
          <w:p w14:paraId="30DF10A1" w14:textId="4A0617F0" w:rsidR="00067F55" w:rsidRPr="00662906" w:rsidRDefault="00067F55" w:rsidP="007E6C89">
            <w:pPr>
              <w:pStyle w:val="ListParagraph"/>
              <w:numPr>
                <w:ilvl w:val="0"/>
                <w:numId w:val="87"/>
              </w:numPr>
              <w:spacing w:before="40" w:after="40"/>
              <w:ind w:left="367"/>
              <w:jc w:val="center"/>
              <w:rPr>
                <w:rFonts w:eastAsia="Arial" w:cs="Arial"/>
                <w:color w:val="394A58"/>
                <w:sz w:val="16"/>
                <w:szCs w:val="16"/>
              </w:rPr>
            </w:pPr>
            <w:r w:rsidRPr="00662906">
              <w:rPr>
                <w:rFonts w:eastAsia="Arial" w:cs="Arial"/>
                <w:color w:val="394A58"/>
                <w:sz w:val="16"/>
                <w:szCs w:val="16"/>
              </w:rPr>
              <w:t>Evaluate training effectiveness via post-training assessments</w:t>
            </w:r>
          </w:p>
        </w:tc>
        <w:tc>
          <w:tcPr>
            <w:tcW w:w="1276" w:type="dxa"/>
            <w:shd w:val="clear" w:color="auto" w:fill="FFFFFF"/>
            <w:tcMar>
              <w:left w:w="57" w:type="dxa"/>
              <w:right w:w="57" w:type="dxa"/>
            </w:tcMar>
          </w:tcPr>
          <w:p w14:paraId="788DB5A5" w14:textId="4700705F"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F7E6DE1" w14:textId="76E3B4AA"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604A4327" w14:textId="1896DAE4"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AFREC, UN-Habitat, Global Alliance for Buildings and Construction, UNEP/United for Efficiency (U4E)</w:t>
            </w:r>
          </w:p>
        </w:tc>
        <w:tc>
          <w:tcPr>
            <w:tcW w:w="851" w:type="dxa"/>
            <w:shd w:val="clear" w:color="auto" w:fill="FFFFFF"/>
            <w:tcMar>
              <w:left w:w="57" w:type="dxa"/>
              <w:right w:w="57" w:type="dxa"/>
            </w:tcMar>
          </w:tcPr>
          <w:p w14:paraId="1BFF1719" w14:textId="6E581D7D"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28D789D3" w14:textId="16C3110E"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materials and curricula</w:t>
            </w:r>
          </w:p>
          <w:p w14:paraId="6FCF1AA6" w14:textId="5471FAAF"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Workshops/study tours implemented</w:t>
            </w:r>
          </w:p>
          <w:p w14:paraId="11E2DEC3" w14:textId="0C572D48"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Trained cadres of building </w:t>
            </w:r>
            <w:r w:rsidR="00E72ABF" w:rsidRPr="00662906">
              <w:rPr>
                <w:rFonts w:eastAsia="Arial" w:cs="Arial"/>
                <w:color w:val="53575A"/>
                <w:sz w:val="16"/>
                <w:szCs w:val="16"/>
              </w:rPr>
              <w:t>professional</w:t>
            </w:r>
          </w:p>
        </w:tc>
        <w:tc>
          <w:tcPr>
            <w:tcW w:w="1701" w:type="dxa"/>
            <w:shd w:val="clear" w:color="auto" w:fill="FFFFFF"/>
          </w:tcPr>
          <w:p w14:paraId="4788A0B4" w14:textId="26B18E98"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Enhanced expertise across the building sector, boosting adherence to energy-efficient design and effective code enforcement</w:t>
            </w:r>
          </w:p>
        </w:tc>
        <w:tc>
          <w:tcPr>
            <w:tcW w:w="1843" w:type="dxa"/>
            <w:shd w:val="clear" w:color="auto" w:fill="FFFFFF"/>
          </w:tcPr>
          <w:p w14:paraId="7D22EB60" w14:textId="2753F1BD" w:rsidR="00A106F6"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training sessions</w:t>
            </w:r>
          </w:p>
          <w:p w14:paraId="3FACCA78" w14:textId="0CE80E4F" w:rsidR="00A106F6"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participants trained</w:t>
            </w:r>
          </w:p>
          <w:p w14:paraId="4C26861D" w14:textId="3D79ABDD" w:rsidR="00067F55"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Post-training assessment completed (Yes/No)</w:t>
            </w:r>
          </w:p>
        </w:tc>
      </w:tr>
      <w:tr w:rsidR="00067F55" w:rsidRPr="00662906" w14:paraId="0471BE1C" w14:textId="77777777" w:rsidTr="007E6C89">
        <w:trPr>
          <w:trHeight w:val="300"/>
        </w:trPr>
        <w:tc>
          <w:tcPr>
            <w:tcW w:w="167" w:type="dxa"/>
            <w:shd w:val="clear" w:color="auto" w:fill="FFFFFF"/>
            <w:tcMar>
              <w:left w:w="57" w:type="dxa"/>
              <w:right w:w="57" w:type="dxa"/>
            </w:tcMar>
          </w:tcPr>
          <w:p w14:paraId="32FF1408" w14:textId="77777777" w:rsidR="00067F55" w:rsidRPr="00662906" w:rsidRDefault="00067F55" w:rsidP="00067F55">
            <w:pPr>
              <w:spacing w:before="40" w:after="40"/>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7EB03FF5" w14:textId="1E44C922"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Create a regional database for building stocks, energy consumption, and related carbon emission levels</w:t>
            </w:r>
          </w:p>
        </w:tc>
        <w:tc>
          <w:tcPr>
            <w:tcW w:w="3260" w:type="dxa"/>
            <w:tcBorders>
              <w:top w:val="single" w:sz="4" w:space="0" w:color="9F2241"/>
              <w:left w:val="nil"/>
              <w:bottom w:val="single" w:sz="4" w:space="0" w:color="9F2241"/>
              <w:right w:val="nil"/>
            </w:tcBorders>
            <w:tcMar>
              <w:left w:w="57" w:type="dxa"/>
              <w:right w:w="57" w:type="dxa"/>
            </w:tcMar>
          </w:tcPr>
          <w:p w14:paraId="23593BFA" w14:textId="33AAF90C" w:rsidR="00067F55" w:rsidRPr="00662906" w:rsidRDefault="00067F55" w:rsidP="007E6C89">
            <w:pPr>
              <w:pStyle w:val="ListParagraph"/>
              <w:numPr>
                <w:ilvl w:val="0"/>
                <w:numId w:val="88"/>
              </w:numPr>
              <w:spacing w:before="40" w:after="40"/>
              <w:ind w:left="367"/>
              <w:jc w:val="center"/>
              <w:rPr>
                <w:rFonts w:eastAsia="Arial" w:cs="Arial"/>
                <w:color w:val="394A58"/>
                <w:sz w:val="16"/>
                <w:szCs w:val="16"/>
              </w:rPr>
            </w:pPr>
            <w:r w:rsidRPr="00662906">
              <w:rPr>
                <w:rFonts w:eastAsia="Arial" w:cs="Arial"/>
                <w:color w:val="394A58"/>
                <w:sz w:val="16"/>
                <w:szCs w:val="16"/>
              </w:rPr>
              <w:t>Conduct a stocktaking study of building types across Member States</w:t>
            </w:r>
          </w:p>
          <w:p w14:paraId="315EA7FC" w14:textId="4121034C" w:rsidR="00067F55" w:rsidRPr="00662906" w:rsidRDefault="00067F55" w:rsidP="007E6C89">
            <w:pPr>
              <w:pStyle w:val="ListParagraph"/>
              <w:numPr>
                <w:ilvl w:val="0"/>
                <w:numId w:val="88"/>
              </w:numPr>
              <w:spacing w:before="40" w:after="40"/>
              <w:ind w:left="367"/>
              <w:jc w:val="center"/>
              <w:rPr>
                <w:rFonts w:eastAsia="Arial" w:cs="Arial"/>
                <w:color w:val="394A58"/>
                <w:sz w:val="16"/>
                <w:szCs w:val="16"/>
              </w:rPr>
            </w:pPr>
            <w:r w:rsidRPr="00662906">
              <w:rPr>
                <w:rFonts w:eastAsia="Arial" w:cs="Arial"/>
                <w:color w:val="394A58"/>
                <w:sz w:val="16"/>
                <w:szCs w:val="16"/>
              </w:rPr>
              <w:t>Develop an online platform to store and share building energy performance data</w:t>
            </w:r>
          </w:p>
          <w:p w14:paraId="175F30F0" w14:textId="2A884E75" w:rsidR="00067F55" w:rsidRPr="00662906" w:rsidRDefault="00067F55" w:rsidP="007E6C89">
            <w:pPr>
              <w:pStyle w:val="ListParagraph"/>
              <w:numPr>
                <w:ilvl w:val="0"/>
                <w:numId w:val="88"/>
              </w:numPr>
              <w:spacing w:before="40" w:after="40"/>
              <w:ind w:left="367"/>
              <w:jc w:val="center"/>
              <w:rPr>
                <w:rFonts w:eastAsia="Arial" w:cs="Arial"/>
                <w:color w:val="394A58"/>
                <w:sz w:val="16"/>
                <w:szCs w:val="16"/>
              </w:rPr>
            </w:pPr>
            <w:r w:rsidRPr="00662906">
              <w:rPr>
                <w:rFonts w:eastAsia="Arial" w:cs="Arial"/>
                <w:color w:val="394A58"/>
                <w:sz w:val="16"/>
                <w:szCs w:val="16"/>
              </w:rPr>
              <w:t>Collaborate with local authorities and ministries for regular data updates</w:t>
            </w:r>
          </w:p>
          <w:p w14:paraId="6DF374E8" w14:textId="355E84C1" w:rsidR="00067F55" w:rsidRPr="00662906" w:rsidRDefault="00067F55" w:rsidP="007E6C89">
            <w:pPr>
              <w:pStyle w:val="ListParagraph"/>
              <w:numPr>
                <w:ilvl w:val="0"/>
                <w:numId w:val="88"/>
              </w:numPr>
              <w:spacing w:before="40" w:after="40"/>
              <w:ind w:left="367"/>
              <w:jc w:val="center"/>
              <w:rPr>
                <w:rFonts w:eastAsia="Arial" w:cs="Arial"/>
                <w:color w:val="394A58"/>
                <w:sz w:val="16"/>
                <w:szCs w:val="16"/>
              </w:rPr>
            </w:pPr>
            <w:r w:rsidRPr="00662906">
              <w:rPr>
                <w:rFonts w:eastAsia="Arial" w:cs="Arial"/>
                <w:color w:val="394A58"/>
                <w:sz w:val="16"/>
                <w:szCs w:val="16"/>
              </w:rPr>
              <w:t>Generate periodic analysis reports for policymakers</w:t>
            </w:r>
          </w:p>
        </w:tc>
        <w:tc>
          <w:tcPr>
            <w:tcW w:w="1276" w:type="dxa"/>
            <w:shd w:val="clear" w:color="auto" w:fill="FFFFFF"/>
            <w:tcMar>
              <w:left w:w="57" w:type="dxa"/>
              <w:right w:w="57" w:type="dxa"/>
            </w:tcMar>
          </w:tcPr>
          <w:p w14:paraId="2FD8CEEF" w14:textId="45703B3F"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2B877AF8" w14:textId="49A61EE9" w:rsidR="00067F55" w:rsidRPr="00662906" w:rsidRDefault="00103E06" w:rsidP="007E6C89">
            <w:pPr>
              <w:spacing w:before="40" w:after="40"/>
              <w:jc w:val="center"/>
              <w:rPr>
                <w:rFonts w:eastAsia="Arial" w:cs="Arial"/>
                <w:color w:val="53575A"/>
                <w:sz w:val="16"/>
                <w:szCs w:val="16"/>
              </w:rPr>
            </w:pPr>
            <w:r w:rsidRPr="00662906">
              <w:rPr>
                <w:rFonts w:cs="Arial"/>
                <w:sz w:val="16"/>
                <w:szCs w:val="16"/>
              </w:rPr>
              <w:t xml:space="preserve">RECs </w:t>
            </w:r>
            <w:r w:rsidR="00067F55" w:rsidRPr="00662906">
              <w:rPr>
                <w:rFonts w:cs="Arial"/>
                <w:sz w:val="16"/>
                <w:szCs w:val="16"/>
              </w:rPr>
              <w:t>Directorates in charge of Energy</w:t>
            </w:r>
          </w:p>
        </w:tc>
        <w:tc>
          <w:tcPr>
            <w:tcW w:w="1198" w:type="dxa"/>
            <w:shd w:val="clear" w:color="auto" w:fill="FFFFFF"/>
            <w:tcMar>
              <w:left w:w="57" w:type="dxa"/>
              <w:right w:w="57" w:type="dxa"/>
            </w:tcMar>
          </w:tcPr>
          <w:p w14:paraId="07855543" w14:textId="2769608E"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Ministries in charge of Energy &amp; Buildings, Local Authorities</w:t>
            </w:r>
          </w:p>
        </w:tc>
        <w:tc>
          <w:tcPr>
            <w:tcW w:w="851" w:type="dxa"/>
            <w:shd w:val="clear" w:color="auto" w:fill="FFFFFF"/>
            <w:tcMar>
              <w:left w:w="57" w:type="dxa"/>
              <w:right w:w="57" w:type="dxa"/>
            </w:tcMar>
          </w:tcPr>
          <w:p w14:paraId="2124A4AA" w14:textId="10A9E541"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0AF48549" w14:textId="4A369BCC"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Comprehensive building stock survey</w:t>
            </w:r>
          </w:p>
          <w:p w14:paraId="61A9F225" w14:textId="2C03AAEA"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Operational online database</w:t>
            </w:r>
          </w:p>
          <w:p w14:paraId="4AC1AD1C" w14:textId="6AAC1619"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Regularly published data/</w:t>
            </w:r>
            <w:r w:rsidR="00E72ABF" w:rsidRPr="00662906">
              <w:rPr>
                <w:rFonts w:eastAsia="Arial" w:cs="Arial"/>
                <w:color w:val="53575A"/>
                <w:sz w:val="16"/>
                <w:szCs w:val="16"/>
              </w:rPr>
              <w:t xml:space="preserve"> </w:t>
            </w:r>
            <w:r w:rsidRPr="00662906">
              <w:rPr>
                <w:rFonts w:eastAsia="Arial" w:cs="Arial"/>
                <w:color w:val="53575A"/>
                <w:sz w:val="16"/>
                <w:szCs w:val="16"/>
              </w:rPr>
              <w:t>analysis reports</w:t>
            </w:r>
          </w:p>
        </w:tc>
        <w:tc>
          <w:tcPr>
            <w:tcW w:w="1701" w:type="dxa"/>
            <w:shd w:val="clear" w:color="auto" w:fill="FFFFFF"/>
          </w:tcPr>
          <w:p w14:paraId="031ADB33" w14:textId="04B82CDF"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Improved data-driven policymaking through timely, standardized information on building energy use and emissions across regions</w:t>
            </w:r>
          </w:p>
        </w:tc>
        <w:tc>
          <w:tcPr>
            <w:tcW w:w="1843" w:type="dxa"/>
            <w:shd w:val="clear" w:color="auto" w:fill="FFFFFF"/>
          </w:tcPr>
          <w:p w14:paraId="6E98B8BB" w14:textId="6300DE6C" w:rsidR="00A106F6" w:rsidRPr="00662906" w:rsidRDefault="00103E0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Building stock </w:t>
            </w:r>
            <w:r w:rsidR="00A106F6" w:rsidRPr="00662906">
              <w:rPr>
                <w:rFonts w:eastAsia="Arial" w:cs="Arial"/>
                <w:color w:val="53575A"/>
                <w:sz w:val="16"/>
                <w:szCs w:val="16"/>
              </w:rPr>
              <w:t>Database platform established (Yes/No)</w:t>
            </w:r>
          </w:p>
          <w:p w14:paraId="1E0A191A" w14:textId="149923CE" w:rsidR="00067F55" w:rsidRPr="00662906" w:rsidRDefault="00067F55" w:rsidP="007E6C89">
            <w:pPr>
              <w:spacing w:before="40" w:after="40"/>
              <w:ind w:left="-39"/>
              <w:jc w:val="center"/>
              <w:rPr>
                <w:rFonts w:eastAsia="Arial" w:cs="Arial"/>
                <w:color w:val="53575A"/>
                <w:sz w:val="16"/>
                <w:szCs w:val="16"/>
              </w:rPr>
            </w:pPr>
          </w:p>
        </w:tc>
      </w:tr>
      <w:tr w:rsidR="00067F55" w:rsidRPr="00662906" w14:paraId="0FFC8872" w14:textId="77777777" w:rsidTr="007E6C89">
        <w:trPr>
          <w:trHeight w:val="300"/>
        </w:trPr>
        <w:tc>
          <w:tcPr>
            <w:tcW w:w="167" w:type="dxa"/>
            <w:shd w:val="clear" w:color="auto" w:fill="FFFFFF"/>
            <w:tcMar>
              <w:left w:w="57" w:type="dxa"/>
              <w:right w:w="57" w:type="dxa"/>
            </w:tcMar>
          </w:tcPr>
          <w:p w14:paraId="1A96EC79" w14:textId="77777777" w:rsidR="00067F55" w:rsidRPr="00662906" w:rsidRDefault="00067F55" w:rsidP="00067F55">
            <w:pPr>
              <w:spacing w:before="40" w:after="40"/>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2AFAAF8E" w14:textId="4FE4EDAD"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Create national building compliance bodies with associations at regional and continental level</w:t>
            </w:r>
          </w:p>
        </w:tc>
        <w:tc>
          <w:tcPr>
            <w:tcW w:w="3260" w:type="dxa"/>
            <w:tcBorders>
              <w:top w:val="single" w:sz="4" w:space="0" w:color="9F2241"/>
              <w:left w:val="nil"/>
              <w:bottom w:val="single" w:sz="4" w:space="0" w:color="9F2241"/>
              <w:right w:val="nil"/>
            </w:tcBorders>
            <w:tcMar>
              <w:left w:w="57" w:type="dxa"/>
              <w:right w:w="57" w:type="dxa"/>
            </w:tcMar>
          </w:tcPr>
          <w:p w14:paraId="18AA481C" w14:textId="23C0A9A1" w:rsidR="00067F55" w:rsidRPr="00662906" w:rsidRDefault="00067F55" w:rsidP="007E6C89">
            <w:pPr>
              <w:pStyle w:val="ListParagraph"/>
              <w:numPr>
                <w:ilvl w:val="0"/>
                <w:numId w:val="89"/>
              </w:numPr>
              <w:spacing w:before="40" w:after="40"/>
              <w:ind w:left="367"/>
              <w:jc w:val="center"/>
              <w:rPr>
                <w:rFonts w:eastAsia="Arial" w:cs="Arial"/>
                <w:color w:val="394A58"/>
                <w:sz w:val="16"/>
                <w:szCs w:val="16"/>
              </w:rPr>
            </w:pPr>
            <w:r w:rsidRPr="00662906">
              <w:rPr>
                <w:rFonts w:eastAsia="Arial" w:cs="Arial"/>
                <w:color w:val="394A58"/>
                <w:sz w:val="16"/>
                <w:szCs w:val="16"/>
              </w:rPr>
              <w:t>Identify relevant public works bodies and professional associations</w:t>
            </w:r>
          </w:p>
          <w:p w14:paraId="579D2B8B" w14:textId="31383811" w:rsidR="00067F55" w:rsidRPr="00662906" w:rsidRDefault="00067F55" w:rsidP="007E6C89">
            <w:pPr>
              <w:pStyle w:val="ListParagraph"/>
              <w:numPr>
                <w:ilvl w:val="0"/>
                <w:numId w:val="89"/>
              </w:numPr>
              <w:spacing w:before="40" w:after="40"/>
              <w:ind w:left="367"/>
              <w:jc w:val="center"/>
              <w:rPr>
                <w:rFonts w:eastAsia="Arial" w:cs="Arial"/>
                <w:color w:val="394A58"/>
                <w:sz w:val="16"/>
                <w:szCs w:val="16"/>
              </w:rPr>
            </w:pPr>
            <w:r w:rsidRPr="00662906">
              <w:rPr>
                <w:rFonts w:eastAsia="Arial" w:cs="Arial"/>
                <w:color w:val="394A58"/>
                <w:sz w:val="16"/>
                <w:szCs w:val="16"/>
              </w:rPr>
              <w:t>Provide training on energy-efficient building guidelines and compliance protocols</w:t>
            </w:r>
          </w:p>
          <w:p w14:paraId="439C5760" w14:textId="54CBAEF4" w:rsidR="00067F55" w:rsidRPr="00662906" w:rsidRDefault="00067F55" w:rsidP="007E6C89">
            <w:pPr>
              <w:pStyle w:val="ListParagraph"/>
              <w:numPr>
                <w:ilvl w:val="0"/>
                <w:numId w:val="89"/>
              </w:numPr>
              <w:spacing w:before="40" w:after="40"/>
              <w:ind w:left="367"/>
              <w:jc w:val="center"/>
              <w:rPr>
                <w:rFonts w:eastAsia="Arial" w:cs="Arial"/>
                <w:color w:val="394A58"/>
                <w:sz w:val="16"/>
                <w:szCs w:val="16"/>
              </w:rPr>
            </w:pPr>
            <w:r w:rsidRPr="00662906">
              <w:rPr>
                <w:rFonts w:eastAsia="Arial" w:cs="Arial"/>
                <w:color w:val="394A58"/>
                <w:sz w:val="16"/>
                <w:szCs w:val="16"/>
              </w:rPr>
              <w:t>Form official compliance committees to oversee code adherence</w:t>
            </w:r>
          </w:p>
          <w:p w14:paraId="3D5DC587" w14:textId="0C79D384" w:rsidR="00067F55" w:rsidRPr="00662906" w:rsidRDefault="00067F55" w:rsidP="007E6C89">
            <w:pPr>
              <w:pStyle w:val="ListParagraph"/>
              <w:numPr>
                <w:ilvl w:val="0"/>
                <w:numId w:val="89"/>
              </w:numPr>
              <w:spacing w:before="40" w:after="40"/>
              <w:ind w:left="367"/>
              <w:jc w:val="center"/>
              <w:rPr>
                <w:rFonts w:eastAsia="Arial" w:cs="Arial"/>
                <w:color w:val="394A58"/>
                <w:sz w:val="16"/>
                <w:szCs w:val="16"/>
              </w:rPr>
            </w:pPr>
            <w:r w:rsidRPr="00662906">
              <w:rPr>
                <w:rFonts w:eastAsia="Arial" w:cs="Arial"/>
                <w:color w:val="394A58"/>
                <w:sz w:val="16"/>
                <w:szCs w:val="16"/>
              </w:rPr>
              <w:t>Facilitate best-practice exchanges at regional/continental levels</w:t>
            </w:r>
          </w:p>
        </w:tc>
        <w:tc>
          <w:tcPr>
            <w:tcW w:w="1276" w:type="dxa"/>
            <w:shd w:val="clear" w:color="auto" w:fill="FFFFFF"/>
            <w:tcMar>
              <w:left w:w="57" w:type="dxa"/>
              <w:right w:w="57" w:type="dxa"/>
            </w:tcMar>
          </w:tcPr>
          <w:p w14:paraId="516F970C" w14:textId="60CCB4E5"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096ABFFC" w14:textId="1AC0B5DE" w:rsidR="00103E06" w:rsidRPr="00662906" w:rsidRDefault="00103E06" w:rsidP="007E6C89">
            <w:pPr>
              <w:spacing w:before="40" w:after="40"/>
              <w:jc w:val="center"/>
              <w:rPr>
                <w:rFonts w:cs="Arial"/>
                <w:sz w:val="16"/>
                <w:szCs w:val="16"/>
              </w:rPr>
            </w:pPr>
            <w:r w:rsidRPr="00662906">
              <w:rPr>
                <w:rFonts w:cs="Arial"/>
                <w:sz w:val="16"/>
                <w:szCs w:val="16"/>
              </w:rPr>
              <w:t>AFREC</w:t>
            </w:r>
          </w:p>
          <w:p w14:paraId="3119103F" w14:textId="77777777" w:rsidR="00103E06" w:rsidRPr="00662906" w:rsidRDefault="00103E06" w:rsidP="007E6C89">
            <w:pPr>
              <w:spacing w:before="40" w:after="40"/>
              <w:jc w:val="center"/>
              <w:rPr>
                <w:rFonts w:cs="Arial"/>
                <w:sz w:val="16"/>
                <w:szCs w:val="16"/>
              </w:rPr>
            </w:pPr>
          </w:p>
          <w:p w14:paraId="41027A61" w14:textId="5A6D9FDF" w:rsidR="00067F55" w:rsidRPr="00662906" w:rsidRDefault="00067F55" w:rsidP="007E6C89">
            <w:pPr>
              <w:spacing w:before="40" w:after="40"/>
              <w:jc w:val="center"/>
              <w:rPr>
                <w:rFonts w:eastAsia="Arial" w:cs="Arial"/>
                <w:color w:val="53575A"/>
                <w:sz w:val="16"/>
                <w:szCs w:val="16"/>
              </w:rPr>
            </w:pPr>
          </w:p>
        </w:tc>
        <w:tc>
          <w:tcPr>
            <w:tcW w:w="1198" w:type="dxa"/>
            <w:shd w:val="clear" w:color="auto" w:fill="FFFFFF"/>
            <w:tcMar>
              <w:left w:w="57" w:type="dxa"/>
              <w:right w:w="57" w:type="dxa"/>
            </w:tcMar>
          </w:tcPr>
          <w:p w14:paraId="171DBEF8" w14:textId="2503AB1F" w:rsidR="00067F55" w:rsidRPr="00662906" w:rsidRDefault="00103E06" w:rsidP="007E6C89">
            <w:pPr>
              <w:spacing w:before="40" w:after="40"/>
              <w:jc w:val="center"/>
              <w:rPr>
                <w:rFonts w:eastAsia="Arial" w:cs="Arial"/>
                <w:color w:val="53575A"/>
                <w:sz w:val="16"/>
                <w:szCs w:val="16"/>
              </w:rPr>
            </w:pPr>
            <w:r w:rsidRPr="00662906">
              <w:rPr>
                <w:rFonts w:cs="Arial"/>
                <w:sz w:val="16"/>
                <w:szCs w:val="16"/>
              </w:rPr>
              <w:t>Ministries in charge of Buildings and Public Works</w:t>
            </w:r>
          </w:p>
        </w:tc>
        <w:tc>
          <w:tcPr>
            <w:tcW w:w="851" w:type="dxa"/>
            <w:shd w:val="clear" w:color="auto" w:fill="FFFFFF"/>
            <w:tcMar>
              <w:left w:w="57" w:type="dxa"/>
              <w:right w:w="57" w:type="dxa"/>
            </w:tcMar>
          </w:tcPr>
          <w:p w14:paraId="6B3400DD" w14:textId="019600F3"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6272FB1F" w14:textId="18C88DFE"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Compliance committees formed</w:t>
            </w:r>
          </w:p>
          <w:p w14:paraId="7018B9C9" w14:textId="60FC18EC"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sessions for public works associations</w:t>
            </w:r>
          </w:p>
          <w:p w14:paraId="6AE21C9A" w14:textId="52405EB0"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Compliance monitoring framework</w:t>
            </w:r>
          </w:p>
        </w:tc>
        <w:tc>
          <w:tcPr>
            <w:tcW w:w="1701" w:type="dxa"/>
            <w:shd w:val="clear" w:color="auto" w:fill="FFFFFF"/>
          </w:tcPr>
          <w:p w14:paraId="7F70320F" w14:textId="289E1DB6"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Consistent enforcement and monitoring of building codes, leading to higher rates of compliance and enhanced building efficiency standards</w:t>
            </w:r>
          </w:p>
        </w:tc>
        <w:tc>
          <w:tcPr>
            <w:tcW w:w="1843" w:type="dxa"/>
            <w:shd w:val="clear" w:color="auto" w:fill="FFFFFF"/>
          </w:tcPr>
          <w:p w14:paraId="2F0C8FFC" w14:textId="3B8EB867" w:rsidR="00067F55" w:rsidRPr="00662906" w:rsidRDefault="00103E0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Compliance Auth</w:t>
            </w:r>
            <w:r w:rsidR="00DD1AC3" w:rsidRPr="00662906">
              <w:rPr>
                <w:rFonts w:eastAsia="Arial" w:cs="Arial"/>
                <w:color w:val="53575A"/>
                <w:sz w:val="16"/>
                <w:szCs w:val="16"/>
              </w:rPr>
              <w:t>o</w:t>
            </w:r>
            <w:r w:rsidRPr="00662906">
              <w:rPr>
                <w:rFonts w:eastAsia="Arial" w:cs="Arial"/>
                <w:color w:val="53575A"/>
                <w:sz w:val="16"/>
                <w:szCs w:val="16"/>
              </w:rPr>
              <w:t>rities established in AU-MS</w:t>
            </w:r>
            <w:r w:rsidR="00B93F7E" w:rsidRPr="00662906">
              <w:rPr>
                <w:rFonts w:eastAsia="Arial" w:cs="Arial"/>
                <w:color w:val="53575A"/>
                <w:sz w:val="16"/>
                <w:szCs w:val="16"/>
              </w:rPr>
              <w:t xml:space="preserve"> (</w:t>
            </w:r>
            <w:r w:rsidR="004B1508" w:rsidRPr="00662906">
              <w:rPr>
                <w:rFonts w:eastAsia="Arial" w:cs="Arial"/>
                <w:color w:val="53575A"/>
                <w:sz w:val="16"/>
                <w:szCs w:val="16"/>
              </w:rPr>
              <w:t>Number)</w:t>
            </w:r>
          </w:p>
        </w:tc>
      </w:tr>
      <w:tr w:rsidR="00067F55" w:rsidRPr="00662906" w14:paraId="6027C8DC" w14:textId="77777777" w:rsidTr="007E6C89">
        <w:trPr>
          <w:trHeight w:val="300"/>
        </w:trPr>
        <w:tc>
          <w:tcPr>
            <w:tcW w:w="167" w:type="dxa"/>
            <w:shd w:val="clear" w:color="auto" w:fill="FFFFFF"/>
            <w:tcMar>
              <w:left w:w="57" w:type="dxa"/>
              <w:right w:w="57" w:type="dxa"/>
            </w:tcMar>
          </w:tcPr>
          <w:p w14:paraId="660B4558" w14:textId="77777777" w:rsidR="00067F55" w:rsidRPr="00662906" w:rsidRDefault="00067F55" w:rsidP="00067F55">
            <w:pPr>
              <w:spacing w:before="40" w:after="40"/>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59702931" w14:textId="1C7ED4E6"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Launch energy efficiency awareness campaigns for the public</w:t>
            </w:r>
          </w:p>
        </w:tc>
        <w:tc>
          <w:tcPr>
            <w:tcW w:w="3260" w:type="dxa"/>
            <w:tcBorders>
              <w:top w:val="single" w:sz="4" w:space="0" w:color="9F2241"/>
              <w:left w:val="nil"/>
              <w:bottom w:val="single" w:sz="4" w:space="0" w:color="9F2241"/>
              <w:right w:val="nil"/>
            </w:tcBorders>
            <w:tcMar>
              <w:left w:w="57" w:type="dxa"/>
              <w:right w:w="57" w:type="dxa"/>
            </w:tcMar>
          </w:tcPr>
          <w:p w14:paraId="7AD24FBC" w14:textId="26765A74" w:rsidR="00067F55" w:rsidRPr="00662906" w:rsidRDefault="00067F55" w:rsidP="007E6C89">
            <w:pPr>
              <w:pStyle w:val="ListParagraph"/>
              <w:numPr>
                <w:ilvl w:val="0"/>
                <w:numId w:val="90"/>
              </w:numPr>
              <w:spacing w:before="40" w:after="40"/>
              <w:ind w:left="367"/>
              <w:jc w:val="center"/>
              <w:rPr>
                <w:rFonts w:eastAsia="Arial" w:cs="Arial"/>
                <w:color w:val="394A58"/>
                <w:sz w:val="16"/>
                <w:szCs w:val="16"/>
              </w:rPr>
            </w:pPr>
            <w:r w:rsidRPr="00662906">
              <w:rPr>
                <w:rFonts w:eastAsia="Arial" w:cs="Arial"/>
                <w:color w:val="394A58"/>
                <w:sz w:val="16"/>
                <w:szCs w:val="16"/>
              </w:rPr>
              <w:t>Develop a multi-channel awareness strategy (TV, radio, print, social media)</w:t>
            </w:r>
          </w:p>
          <w:p w14:paraId="7149C62C" w14:textId="4254F2CC" w:rsidR="00067F55" w:rsidRPr="00662906" w:rsidRDefault="00067F55" w:rsidP="007E6C89">
            <w:pPr>
              <w:pStyle w:val="ListParagraph"/>
              <w:numPr>
                <w:ilvl w:val="0"/>
                <w:numId w:val="90"/>
              </w:numPr>
              <w:spacing w:before="40" w:after="40"/>
              <w:ind w:left="367"/>
              <w:jc w:val="center"/>
              <w:rPr>
                <w:rFonts w:eastAsia="Arial" w:cs="Arial"/>
                <w:color w:val="394A58"/>
                <w:sz w:val="16"/>
                <w:szCs w:val="16"/>
              </w:rPr>
            </w:pPr>
            <w:r w:rsidRPr="00662906">
              <w:rPr>
                <w:rFonts w:eastAsia="Arial" w:cs="Arial"/>
                <w:color w:val="394A58"/>
                <w:sz w:val="16"/>
                <w:szCs w:val="16"/>
              </w:rPr>
              <w:t>Partner with community organizations and media to highlight benefits of energy-efficient buildings</w:t>
            </w:r>
          </w:p>
          <w:p w14:paraId="36446EF6" w14:textId="4FF34683" w:rsidR="00067F55" w:rsidRPr="00662906" w:rsidRDefault="00067F55" w:rsidP="007E6C89">
            <w:pPr>
              <w:pStyle w:val="ListParagraph"/>
              <w:numPr>
                <w:ilvl w:val="0"/>
                <w:numId w:val="90"/>
              </w:numPr>
              <w:spacing w:before="40" w:after="40"/>
              <w:ind w:left="367"/>
              <w:jc w:val="center"/>
              <w:rPr>
                <w:rFonts w:eastAsia="Arial" w:cs="Arial"/>
                <w:color w:val="394A58"/>
                <w:sz w:val="16"/>
                <w:szCs w:val="16"/>
              </w:rPr>
            </w:pPr>
            <w:r w:rsidRPr="00662906">
              <w:rPr>
                <w:rFonts w:eastAsia="Arial" w:cs="Arial"/>
                <w:color w:val="394A58"/>
                <w:sz w:val="16"/>
                <w:szCs w:val="16"/>
              </w:rPr>
              <w:t>Conduct periodic evaluations to measure campaign reach and impact</w:t>
            </w:r>
          </w:p>
          <w:p w14:paraId="61A5018A" w14:textId="42E4F797" w:rsidR="00067F55" w:rsidRPr="00662906" w:rsidRDefault="00067F55" w:rsidP="007E6C89">
            <w:pPr>
              <w:pStyle w:val="ListParagraph"/>
              <w:numPr>
                <w:ilvl w:val="0"/>
                <w:numId w:val="90"/>
              </w:numPr>
              <w:spacing w:before="40" w:after="40"/>
              <w:ind w:left="367"/>
              <w:jc w:val="center"/>
              <w:rPr>
                <w:rFonts w:eastAsia="Arial" w:cs="Arial"/>
                <w:color w:val="394A58"/>
                <w:sz w:val="16"/>
                <w:szCs w:val="16"/>
              </w:rPr>
            </w:pPr>
            <w:r w:rsidRPr="00662906">
              <w:rPr>
                <w:rFonts w:eastAsia="Arial" w:cs="Arial"/>
                <w:color w:val="394A58"/>
                <w:sz w:val="16"/>
                <w:szCs w:val="16"/>
              </w:rPr>
              <w:t>Adapt messaging based on feedback</w:t>
            </w:r>
          </w:p>
        </w:tc>
        <w:tc>
          <w:tcPr>
            <w:tcW w:w="1276" w:type="dxa"/>
            <w:shd w:val="clear" w:color="auto" w:fill="FFFFFF"/>
            <w:tcMar>
              <w:left w:w="57" w:type="dxa"/>
              <w:right w:w="57" w:type="dxa"/>
            </w:tcMar>
          </w:tcPr>
          <w:p w14:paraId="1238F8C2" w14:textId="72AF0E2A"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2EABD3FD" w14:textId="40BF61B0"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10F05C84" w14:textId="091368B2"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Ministries in charge of Energy &amp; Buildings, Local Media Houses</w:t>
            </w:r>
          </w:p>
        </w:tc>
        <w:tc>
          <w:tcPr>
            <w:tcW w:w="851" w:type="dxa"/>
            <w:shd w:val="clear" w:color="auto" w:fill="FFFFFF"/>
            <w:tcMar>
              <w:left w:w="57" w:type="dxa"/>
              <w:right w:w="57" w:type="dxa"/>
            </w:tcMar>
          </w:tcPr>
          <w:p w14:paraId="7019F1FE" w14:textId="48A41A47"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1CB11C73" w14:textId="6D774E13"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Campaign materials (TV spots, radio messages, brochures)</w:t>
            </w:r>
          </w:p>
          <w:p w14:paraId="519D2BE3" w14:textId="64FB3A30"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Media coverage reports</w:t>
            </w:r>
          </w:p>
          <w:p w14:paraId="1B348A6D" w14:textId="73587119"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Outreach evaluation surveys</w:t>
            </w:r>
          </w:p>
        </w:tc>
        <w:tc>
          <w:tcPr>
            <w:tcW w:w="1701" w:type="dxa"/>
            <w:shd w:val="clear" w:color="auto" w:fill="FFFFFF"/>
          </w:tcPr>
          <w:p w14:paraId="49AF27ED" w14:textId="54E69985"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Broader public understanding of and demand for energy-efficient buildings, creating market pressure for compliance with established standards</w:t>
            </w:r>
          </w:p>
        </w:tc>
        <w:tc>
          <w:tcPr>
            <w:tcW w:w="1843" w:type="dxa"/>
            <w:shd w:val="clear" w:color="auto" w:fill="FFFFFF"/>
          </w:tcPr>
          <w:p w14:paraId="7A63C274" w14:textId="6D452DD8" w:rsidR="00067F55"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Public awareness surveys conducted (Yes/No)</w:t>
            </w:r>
          </w:p>
        </w:tc>
      </w:tr>
      <w:tr w:rsidR="00067F55" w:rsidRPr="00662906" w14:paraId="5499D910" w14:textId="77777777" w:rsidTr="007E6C89">
        <w:trPr>
          <w:trHeight w:val="300"/>
        </w:trPr>
        <w:tc>
          <w:tcPr>
            <w:tcW w:w="167" w:type="dxa"/>
            <w:shd w:val="clear" w:color="auto" w:fill="FFFFFF"/>
            <w:tcMar>
              <w:left w:w="57" w:type="dxa"/>
              <w:right w:w="57" w:type="dxa"/>
            </w:tcMar>
          </w:tcPr>
          <w:p w14:paraId="71518F56" w14:textId="77777777" w:rsidR="00067F55" w:rsidRPr="00662906" w:rsidRDefault="00067F55" w:rsidP="00067F55">
            <w:pPr>
              <w:spacing w:before="40" w:after="40"/>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60F4DA44" w14:textId="4308F6BE"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Promote large-scale building retrofit programs for existing stock</w:t>
            </w:r>
          </w:p>
        </w:tc>
        <w:tc>
          <w:tcPr>
            <w:tcW w:w="3260" w:type="dxa"/>
            <w:tcBorders>
              <w:top w:val="single" w:sz="4" w:space="0" w:color="9F2241"/>
              <w:left w:val="nil"/>
              <w:bottom w:val="single" w:sz="4" w:space="0" w:color="9F2241"/>
              <w:right w:val="nil"/>
            </w:tcBorders>
            <w:tcMar>
              <w:left w:w="57" w:type="dxa"/>
              <w:right w:w="57" w:type="dxa"/>
            </w:tcMar>
          </w:tcPr>
          <w:p w14:paraId="10DD5333" w14:textId="7804F111" w:rsidR="00067F55" w:rsidRPr="00662906" w:rsidRDefault="00067F55" w:rsidP="007E6C89">
            <w:pPr>
              <w:pStyle w:val="ListParagraph"/>
              <w:numPr>
                <w:ilvl w:val="0"/>
                <w:numId w:val="91"/>
              </w:numPr>
              <w:spacing w:before="40" w:after="40"/>
              <w:ind w:left="367"/>
              <w:jc w:val="center"/>
              <w:rPr>
                <w:rFonts w:eastAsia="Arial" w:cs="Arial"/>
                <w:color w:val="394A58"/>
                <w:sz w:val="16"/>
                <w:szCs w:val="16"/>
              </w:rPr>
            </w:pPr>
            <w:r w:rsidRPr="00662906">
              <w:rPr>
                <w:rFonts w:eastAsia="Arial" w:cs="Arial"/>
                <w:color w:val="394A58"/>
                <w:sz w:val="16"/>
                <w:szCs w:val="16"/>
              </w:rPr>
              <w:t>Identify funding mechanisms (grants</w:t>
            </w:r>
            <w:r w:rsidR="00E05964" w:rsidRPr="00662906">
              <w:rPr>
                <w:rFonts w:eastAsia="Arial" w:cs="Arial"/>
                <w:color w:val="394A58"/>
                <w:sz w:val="16"/>
                <w:szCs w:val="16"/>
              </w:rPr>
              <w:t xml:space="preserve"> from development banks</w:t>
            </w:r>
            <w:r w:rsidRPr="00662906">
              <w:rPr>
                <w:rFonts w:eastAsia="Arial" w:cs="Arial"/>
                <w:color w:val="394A58"/>
                <w:sz w:val="16"/>
                <w:szCs w:val="16"/>
              </w:rPr>
              <w:t>, private partnerships) to support retrofitting</w:t>
            </w:r>
          </w:p>
          <w:p w14:paraId="15CD8081" w14:textId="6BBBC567" w:rsidR="00067F55" w:rsidRPr="00662906" w:rsidRDefault="00067F55" w:rsidP="007E6C89">
            <w:pPr>
              <w:pStyle w:val="ListParagraph"/>
              <w:numPr>
                <w:ilvl w:val="0"/>
                <w:numId w:val="91"/>
              </w:numPr>
              <w:spacing w:before="40" w:after="40"/>
              <w:ind w:left="367"/>
              <w:jc w:val="center"/>
              <w:rPr>
                <w:rFonts w:eastAsia="Arial" w:cs="Arial"/>
                <w:color w:val="394A58"/>
                <w:sz w:val="16"/>
                <w:szCs w:val="16"/>
              </w:rPr>
            </w:pPr>
            <w:r w:rsidRPr="00662906">
              <w:rPr>
                <w:rFonts w:eastAsia="Arial" w:cs="Arial"/>
                <w:color w:val="394A58"/>
                <w:sz w:val="16"/>
                <w:szCs w:val="16"/>
              </w:rPr>
              <w:t>Develop guidelines for cost-effective retrofits (insulation, glazing,</w:t>
            </w:r>
            <w:r w:rsidR="003E3A2C" w:rsidRPr="00662906">
              <w:rPr>
                <w:rFonts w:eastAsia="Arial" w:cs="Arial"/>
                <w:color w:val="394A58"/>
                <w:sz w:val="16"/>
                <w:szCs w:val="16"/>
              </w:rPr>
              <w:t xml:space="preserve"> Heating, ventilation, and air conditioning</w:t>
            </w:r>
            <w:r w:rsidRPr="00662906">
              <w:rPr>
                <w:rFonts w:eastAsia="Arial" w:cs="Arial"/>
                <w:color w:val="394A58"/>
                <w:sz w:val="16"/>
                <w:szCs w:val="16"/>
              </w:rPr>
              <w:t xml:space="preserve"> </w:t>
            </w:r>
            <w:r w:rsidR="003E3A2C" w:rsidRPr="00662906">
              <w:rPr>
                <w:rFonts w:eastAsia="Arial" w:cs="Arial"/>
                <w:color w:val="394A58"/>
                <w:sz w:val="16"/>
                <w:szCs w:val="16"/>
              </w:rPr>
              <w:t>(</w:t>
            </w:r>
            <w:r w:rsidRPr="00662906">
              <w:rPr>
                <w:rFonts w:eastAsia="Arial" w:cs="Arial"/>
                <w:color w:val="394A58"/>
                <w:sz w:val="16"/>
                <w:szCs w:val="16"/>
              </w:rPr>
              <w:t>HVAC</w:t>
            </w:r>
            <w:r w:rsidR="003E3A2C" w:rsidRPr="00662906">
              <w:rPr>
                <w:rFonts w:eastAsia="Arial" w:cs="Arial"/>
                <w:color w:val="394A58"/>
                <w:sz w:val="16"/>
                <w:szCs w:val="16"/>
              </w:rPr>
              <w:t>)</w:t>
            </w:r>
            <w:r w:rsidRPr="00662906">
              <w:rPr>
                <w:rFonts w:eastAsia="Arial" w:cs="Arial"/>
                <w:color w:val="394A58"/>
                <w:sz w:val="16"/>
                <w:szCs w:val="16"/>
              </w:rPr>
              <w:t xml:space="preserve"> upgrades)</w:t>
            </w:r>
          </w:p>
          <w:p w14:paraId="07C79874" w14:textId="70A1243D" w:rsidR="00067F55" w:rsidRPr="00662906" w:rsidRDefault="00067F55" w:rsidP="007E6C89">
            <w:pPr>
              <w:pStyle w:val="ListParagraph"/>
              <w:numPr>
                <w:ilvl w:val="0"/>
                <w:numId w:val="91"/>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Train local contractors in retrofit best practices</w:t>
            </w:r>
          </w:p>
          <w:p w14:paraId="5A62C7FE" w14:textId="423EDD42" w:rsidR="00067F55" w:rsidRPr="00662906" w:rsidRDefault="00067F55" w:rsidP="007E6C89">
            <w:pPr>
              <w:pStyle w:val="ListParagraph"/>
              <w:numPr>
                <w:ilvl w:val="0"/>
                <w:numId w:val="91"/>
              </w:numPr>
              <w:spacing w:before="40" w:after="40"/>
              <w:ind w:left="367"/>
              <w:jc w:val="center"/>
              <w:rPr>
                <w:rFonts w:eastAsia="Arial" w:cs="Arial"/>
                <w:color w:val="394A58"/>
                <w:sz w:val="16"/>
                <w:szCs w:val="16"/>
              </w:rPr>
            </w:pPr>
            <w:r w:rsidRPr="00662906">
              <w:rPr>
                <w:rFonts w:eastAsia="Arial" w:cs="Arial"/>
                <w:color w:val="394A58"/>
                <w:sz w:val="16"/>
                <w:szCs w:val="16"/>
              </w:rPr>
              <w:t>Pilot retrofit projects in select urban areas</w:t>
            </w:r>
          </w:p>
        </w:tc>
        <w:tc>
          <w:tcPr>
            <w:tcW w:w="1276" w:type="dxa"/>
            <w:shd w:val="clear" w:color="auto" w:fill="FFFFFF"/>
            <w:tcMar>
              <w:left w:w="57" w:type="dxa"/>
              <w:right w:w="57" w:type="dxa"/>
            </w:tcMar>
          </w:tcPr>
          <w:p w14:paraId="1A9F3783" w14:textId="5A90F6AD" w:rsidR="00067F55" w:rsidRPr="00662906" w:rsidRDefault="00067F55"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69216711" w14:textId="06541F5F"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Ministries in charge of Energy and Buildings</w:t>
            </w:r>
          </w:p>
        </w:tc>
        <w:tc>
          <w:tcPr>
            <w:tcW w:w="1198" w:type="dxa"/>
            <w:shd w:val="clear" w:color="auto" w:fill="FFFFFF"/>
            <w:tcMar>
              <w:left w:w="57" w:type="dxa"/>
              <w:right w:w="57" w:type="dxa"/>
            </w:tcMar>
          </w:tcPr>
          <w:p w14:paraId="417BE625" w14:textId="624534EA"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AFREC, UN-Habitat, Development Partners</w:t>
            </w:r>
            <w:r w:rsidR="00DD1AC3" w:rsidRPr="00662906">
              <w:rPr>
                <w:rFonts w:cs="Arial"/>
                <w:sz w:val="16"/>
                <w:szCs w:val="16"/>
              </w:rPr>
              <w:t>, Ministries of Finance</w:t>
            </w:r>
          </w:p>
        </w:tc>
        <w:tc>
          <w:tcPr>
            <w:tcW w:w="851" w:type="dxa"/>
            <w:shd w:val="clear" w:color="auto" w:fill="FFFFFF"/>
            <w:tcMar>
              <w:left w:w="57" w:type="dxa"/>
              <w:right w:w="57" w:type="dxa"/>
            </w:tcMar>
          </w:tcPr>
          <w:p w14:paraId="4938F3A8" w14:textId="26C3ECD3"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6BE26955" w14:textId="70F83D28"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Retrofit funding proposals</w:t>
            </w:r>
          </w:p>
          <w:p w14:paraId="67EFD3EB" w14:textId="7E4F1140"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guidelines for retrofits</w:t>
            </w:r>
          </w:p>
          <w:p w14:paraId="372FCD05" w14:textId="3868DBA0" w:rsidR="00067F55" w:rsidRPr="00662906" w:rsidRDefault="00067F5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Completed pilot retrofit projects</w:t>
            </w:r>
          </w:p>
        </w:tc>
        <w:tc>
          <w:tcPr>
            <w:tcW w:w="1701" w:type="dxa"/>
            <w:shd w:val="clear" w:color="auto" w:fill="FFFFFF"/>
          </w:tcPr>
          <w:p w14:paraId="3FD91966" w14:textId="2D9C6B51" w:rsidR="00067F55" w:rsidRPr="00662906" w:rsidRDefault="00067F55" w:rsidP="007E6C89">
            <w:pPr>
              <w:spacing w:before="40" w:after="40"/>
              <w:jc w:val="center"/>
              <w:rPr>
                <w:rFonts w:eastAsia="Arial" w:cs="Arial"/>
                <w:color w:val="53575A"/>
                <w:sz w:val="16"/>
                <w:szCs w:val="16"/>
              </w:rPr>
            </w:pPr>
            <w:r w:rsidRPr="00662906">
              <w:rPr>
                <w:rFonts w:cs="Arial"/>
                <w:sz w:val="16"/>
                <w:szCs w:val="16"/>
              </w:rPr>
              <w:t>Substantial improvements in the energy efficiency of existing buildings, generating immediate energy savings and emission reductions</w:t>
            </w:r>
          </w:p>
        </w:tc>
        <w:tc>
          <w:tcPr>
            <w:tcW w:w="1843" w:type="dxa"/>
            <w:shd w:val="clear" w:color="auto" w:fill="FFFFFF"/>
          </w:tcPr>
          <w:p w14:paraId="0268E349" w14:textId="231CE17A" w:rsidR="00A106F6" w:rsidRPr="00662906" w:rsidRDefault="00DD1AC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Financing and technical support </w:t>
            </w:r>
            <w:r w:rsidR="00562436" w:rsidRPr="00662906">
              <w:rPr>
                <w:rFonts w:eastAsia="Arial" w:cs="Arial"/>
                <w:color w:val="53575A"/>
                <w:sz w:val="16"/>
                <w:szCs w:val="16"/>
              </w:rPr>
              <w:t xml:space="preserve">schemes </w:t>
            </w:r>
            <w:r w:rsidRPr="00662906">
              <w:rPr>
                <w:rFonts w:eastAsia="Arial" w:cs="Arial"/>
                <w:color w:val="53575A"/>
                <w:sz w:val="16"/>
                <w:szCs w:val="16"/>
              </w:rPr>
              <w:t xml:space="preserve">for </w:t>
            </w:r>
            <w:r w:rsidR="00CF0CA3" w:rsidRPr="00662906">
              <w:rPr>
                <w:rFonts w:eastAsia="Arial" w:cs="Arial"/>
                <w:color w:val="53575A"/>
                <w:sz w:val="16"/>
                <w:szCs w:val="16"/>
              </w:rPr>
              <w:t>retrofitting</w:t>
            </w:r>
            <w:r w:rsidRPr="00662906">
              <w:rPr>
                <w:rFonts w:eastAsia="Arial" w:cs="Arial"/>
                <w:color w:val="53575A"/>
                <w:sz w:val="16"/>
                <w:szCs w:val="16"/>
              </w:rPr>
              <w:t xml:space="preserve"> in buildings established</w:t>
            </w:r>
            <w:r w:rsidR="00A106F6" w:rsidRPr="00662906">
              <w:rPr>
                <w:rFonts w:eastAsia="Arial" w:cs="Arial"/>
                <w:color w:val="53575A"/>
                <w:sz w:val="16"/>
                <w:szCs w:val="16"/>
              </w:rPr>
              <w:t xml:space="preserve"> (Yes/No)</w:t>
            </w:r>
          </w:p>
          <w:p w14:paraId="0CE41767" w14:textId="46C12AB7" w:rsidR="00A106F6"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Number of retrofit projects completed</w:t>
            </w:r>
          </w:p>
          <w:p w14:paraId="154A0B22" w14:textId="7B90822C" w:rsidR="00067F55" w:rsidRPr="00662906" w:rsidRDefault="00A106F6"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Adoption of retrofit guidelines (Yes/No)</w:t>
            </w:r>
          </w:p>
        </w:tc>
      </w:tr>
    </w:tbl>
    <w:bookmarkEnd w:id="628"/>
    <w:p w14:paraId="4006A5CA" w14:textId="43E204FA" w:rsidR="0204753B" w:rsidRPr="00662906" w:rsidRDefault="001B5718" w:rsidP="0204753B">
      <w:pPr>
        <w:rPr>
          <w:rFonts w:eastAsia="Arial" w:cs="Arial"/>
          <w:i/>
          <w:iCs/>
          <w:color w:val="B4A169"/>
          <w:sz w:val="16"/>
          <w:szCs w:val="16"/>
        </w:rPr>
      </w:pPr>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p>
    <w:p w14:paraId="16ED568E" w14:textId="17BB2032" w:rsidR="003B45A9" w:rsidRPr="00662906" w:rsidRDefault="1FB41F28" w:rsidP="00E12831">
      <w:pPr>
        <w:pStyle w:val="Caption"/>
      </w:pPr>
      <w:bookmarkStart w:id="629" w:name="_Toc171955594"/>
      <w:bookmarkStart w:id="630" w:name="_Toc176430323"/>
      <w:bookmarkStart w:id="631" w:name="_Toc197433910"/>
      <w:r w:rsidRPr="00662906">
        <w:t xml:space="preserve">Table </w:t>
      </w:r>
      <w:fldSimple w:instr=" SEQ Table \* ARABIC ">
        <w:r w:rsidR="00610F61">
          <w:rPr>
            <w:noProof/>
          </w:rPr>
          <w:t>22</w:t>
        </w:r>
      </w:fldSimple>
      <w:r w:rsidR="483119FC" w:rsidRPr="00662906">
        <w:t>:</w:t>
      </w:r>
      <w:r w:rsidR="7A166E9B" w:rsidRPr="00662906">
        <w:t xml:space="preserve"> Action Plan for Strategic Intervention 2: Boost market demand for energy-efficient buildings.</w:t>
      </w:r>
      <w:bookmarkEnd w:id="629"/>
      <w:bookmarkEnd w:id="630"/>
      <w:bookmarkEnd w:id="631"/>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3B45A9" w:rsidRPr="00662906" w14:paraId="1FD8AB60" w14:textId="77777777" w:rsidTr="00E8722A">
        <w:trPr>
          <w:trHeight w:val="360"/>
        </w:trPr>
        <w:tc>
          <w:tcPr>
            <w:tcW w:w="14456" w:type="dxa"/>
            <w:gridSpan w:val="10"/>
            <w:shd w:val="clear" w:color="auto" w:fill="B4A269"/>
          </w:tcPr>
          <w:p w14:paraId="0D5F65FF" w14:textId="3EB00F3A" w:rsidR="003B45A9" w:rsidRPr="00662906" w:rsidRDefault="003B45A9" w:rsidP="00E8722A">
            <w:pPr>
              <w:spacing w:before="60" w:after="60"/>
              <w:ind w:left="-57" w:right="-57"/>
              <w:rPr>
                <w:rFonts w:eastAsia="Arial" w:cs="Arial"/>
                <w:b/>
                <w:color w:val="FFFFFF"/>
                <w:sz w:val="16"/>
                <w:szCs w:val="16"/>
              </w:rPr>
            </w:pPr>
            <w:r w:rsidRPr="00662906">
              <w:rPr>
                <w:rFonts w:eastAsia="Arial" w:cs="Arial"/>
                <w:b/>
                <w:color w:val="FFFFFF"/>
                <w:sz w:val="16"/>
                <w:szCs w:val="16"/>
              </w:rPr>
              <w:t>Pathway to Change:</w:t>
            </w:r>
            <w:r w:rsidRPr="00662906">
              <w:rPr>
                <w:rFonts w:cs="Arial"/>
                <w:sz w:val="16"/>
                <w:szCs w:val="16"/>
              </w:rPr>
              <w:t xml:space="preserve"> </w:t>
            </w:r>
            <w:r w:rsidRPr="00662906">
              <w:rPr>
                <w:rFonts w:eastAsia="Arial" w:cs="Arial"/>
                <w:bCs/>
                <w:color w:val="FFFFFF"/>
                <w:sz w:val="16"/>
                <w:szCs w:val="16"/>
              </w:rPr>
              <w:t xml:space="preserve">Creating awareness of energy-efficient building practices alone is insufficient without a corresponding market demand. This intervention addresses barriers such as the high cost of energy-efficient structures and the low-income levels of many African households. Through robust regulatory frameworks and financial incentives for large corporations and consumers, the pathway envisions the mainstream adoption of energy-efficient </w:t>
            </w:r>
            <w:r w:rsidR="00A61751" w:rsidRPr="00662906">
              <w:rPr>
                <w:rFonts w:eastAsia="Arial" w:cs="Arial"/>
                <w:bCs/>
                <w:color w:val="FFFFFF"/>
                <w:sz w:val="16"/>
                <w:szCs w:val="16"/>
              </w:rPr>
              <w:t xml:space="preserve">in </w:t>
            </w:r>
            <w:r w:rsidRPr="00662906">
              <w:rPr>
                <w:rFonts w:eastAsia="Arial" w:cs="Arial"/>
                <w:bCs/>
                <w:color w:val="FFFFFF"/>
                <w:sz w:val="16"/>
                <w:szCs w:val="16"/>
              </w:rPr>
              <w:t>buildings, while fostering innovation and economic growth in the building sector.</w:t>
            </w:r>
          </w:p>
        </w:tc>
      </w:tr>
      <w:tr w:rsidR="00550D1E" w:rsidRPr="00662906" w14:paraId="1675E311" w14:textId="77777777" w:rsidTr="00E8722A">
        <w:trPr>
          <w:trHeight w:val="699"/>
        </w:trPr>
        <w:tc>
          <w:tcPr>
            <w:tcW w:w="1415" w:type="dxa"/>
            <w:gridSpan w:val="2"/>
            <w:shd w:val="clear" w:color="auto" w:fill="B4A269"/>
            <w:tcMar>
              <w:left w:w="57" w:type="dxa"/>
              <w:right w:w="57" w:type="dxa"/>
            </w:tcMar>
            <w:vAlign w:val="center"/>
          </w:tcPr>
          <w:p w14:paraId="56333D24"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06BD81EC" w14:textId="77777777" w:rsidR="003B45A9" w:rsidRPr="00662906" w:rsidRDefault="003B45A9"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2F2DE72B"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0F0A2B73"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1431918E"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4CA99F98"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225C6E1A"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4EF893CA"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314A9D00" w14:textId="77777777" w:rsidR="003B45A9" w:rsidRPr="00662906" w:rsidRDefault="003B45A9"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550D1E" w:rsidRPr="00662906" w14:paraId="20E1BBBE" w14:textId="77777777" w:rsidTr="007E6C89">
        <w:trPr>
          <w:trHeight w:val="1413"/>
        </w:trPr>
        <w:tc>
          <w:tcPr>
            <w:tcW w:w="167" w:type="dxa"/>
            <w:shd w:val="clear" w:color="auto" w:fill="FFFFFF"/>
            <w:tcMar>
              <w:left w:w="57" w:type="dxa"/>
              <w:right w:w="57" w:type="dxa"/>
            </w:tcMar>
          </w:tcPr>
          <w:p w14:paraId="4394C364" w14:textId="77777777" w:rsidR="00550D1E" w:rsidRPr="00662906" w:rsidRDefault="00550D1E"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3D18A05B" w14:textId="140A2CC6"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Develop minimum energy efficiency labels for building materials and products</w:t>
            </w:r>
          </w:p>
        </w:tc>
        <w:tc>
          <w:tcPr>
            <w:tcW w:w="3260" w:type="dxa"/>
            <w:tcBorders>
              <w:bottom w:val="single" w:sz="2" w:space="0" w:color="9F2241"/>
            </w:tcBorders>
            <w:shd w:val="clear" w:color="auto" w:fill="FFFFFF"/>
            <w:tcMar>
              <w:left w:w="57" w:type="dxa"/>
              <w:right w:w="57" w:type="dxa"/>
            </w:tcMar>
          </w:tcPr>
          <w:p w14:paraId="38283F6A" w14:textId="3D5EF73F" w:rsidR="00550D1E" w:rsidRPr="00662906" w:rsidRDefault="00550D1E" w:rsidP="007E6C89">
            <w:pPr>
              <w:pStyle w:val="ListParagraph"/>
              <w:numPr>
                <w:ilvl w:val="0"/>
                <w:numId w:val="92"/>
              </w:numPr>
              <w:spacing w:before="0" w:after="0"/>
              <w:ind w:left="367"/>
              <w:jc w:val="center"/>
              <w:rPr>
                <w:rFonts w:cs="Arial"/>
                <w:sz w:val="16"/>
                <w:szCs w:val="16"/>
              </w:rPr>
            </w:pPr>
            <w:r w:rsidRPr="00662906">
              <w:rPr>
                <w:rFonts w:cs="Arial"/>
                <w:sz w:val="16"/>
                <w:szCs w:val="16"/>
              </w:rPr>
              <w:t xml:space="preserve">Conduct a baseline study of existing </w:t>
            </w:r>
            <w:r w:rsidR="003E3A2C" w:rsidRPr="00662906">
              <w:rPr>
                <w:rFonts w:cs="Arial"/>
                <w:sz w:val="16"/>
                <w:szCs w:val="16"/>
              </w:rPr>
              <w:t>labelling</w:t>
            </w:r>
            <w:r w:rsidRPr="00662906">
              <w:rPr>
                <w:rFonts w:cs="Arial"/>
                <w:sz w:val="16"/>
                <w:szCs w:val="16"/>
              </w:rPr>
              <w:t xml:space="preserve"> standards among </w:t>
            </w:r>
            <w:r w:rsidR="00A61751" w:rsidRPr="00662906">
              <w:rPr>
                <w:rFonts w:cs="Arial"/>
                <w:sz w:val="16"/>
                <w:szCs w:val="16"/>
              </w:rPr>
              <w:t xml:space="preserve">for building materials in </w:t>
            </w:r>
            <w:r w:rsidRPr="00662906">
              <w:rPr>
                <w:rFonts w:cs="Arial"/>
                <w:sz w:val="16"/>
                <w:szCs w:val="16"/>
              </w:rPr>
              <w:t>AU Member States</w:t>
            </w:r>
          </w:p>
          <w:p w14:paraId="7B15A0C4" w14:textId="37B462B1" w:rsidR="00550D1E" w:rsidRPr="00662906" w:rsidRDefault="00550D1E" w:rsidP="007E6C89">
            <w:pPr>
              <w:pStyle w:val="ListParagraph"/>
              <w:numPr>
                <w:ilvl w:val="0"/>
                <w:numId w:val="92"/>
              </w:numPr>
              <w:spacing w:before="0" w:after="0"/>
              <w:ind w:left="367"/>
              <w:jc w:val="center"/>
              <w:rPr>
                <w:rFonts w:cs="Arial"/>
                <w:sz w:val="16"/>
                <w:szCs w:val="16"/>
              </w:rPr>
            </w:pPr>
            <w:r w:rsidRPr="00662906">
              <w:rPr>
                <w:rFonts w:cs="Arial"/>
                <w:sz w:val="16"/>
                <w:szCs w:val="16"/>
              </w:rPr>
              <w:t xml:space="preserve">Benchmark with international best practices for EE </w:t>
            </w:r>
            <w:r w:rsidR="003E3A2C" w:rsidRPr="00662906">
              <w:rPr>
                <w:rFonts w:cs="Arial"/>
                <w:sz w:val="16"/>
                <w:szCs w:val="16"/>
              </w:rPr>
              <w:t>labelling</w:t>
            </w:r>
          </w:p>
          <w:p w14:paraId="07C5888D" w14:textId="3E65A8E0" w:rsidR="00550D1E" w:rsidRPr="00662906" w:rsidRDefault="00550D1E" w:rsidP="007E6C89">
            <w:pPr>
              <w:pStyle w:val="ListParagraph"/>
              <w:numPr>
                <w:ilvl w:val="0"/>
                <w:numId w:val="92"/>
              </w:numPr>
              <w:spacing w:before="0" w:after="0"/>
              <w:ind w:left="367"/>
              <w:jc w:val="center"/>
              <w:rPr>
                <w:rFonts w:cs="Arial"/>
                <w:sz w:val="16"/>
                <w:szCs w:val="16"/>
              </w:rPr>
            </w:pPr>
            <w:r w:rsidRPr="00662906">
              <w:rPr>
                <w:rFonts w:cs="Arial"/>
                <w:sz w:val="16"/>
                <w:szCs w:val="16"/>
              </w:rPr>
              <w:t xml:space="preserve">Draft </w:t>
            </w:r>
            <w:r w:rsidR="003E3A2C" w:rsidRPr="00662906">
              <w:rPr>
                <w:rFonts w:cs="Arial"/>
                <w:sz w:val="16"/>
                <w:szCs w:val="16"/>
              </w:rPr>
              <w:t>labelling</w:t>
            </w:r>
            <w:r w:rsidRPr="00662906">
              <w:rPr>
                <w:rFonts w:cs="Arial"/>
                <w:sz w:val="16"/>
                <w:szCs w:val="16"/>
              </w:rPr>
              <w:t xml:space="preserve"> frameworks tailored to African contexts</w:t>
            </w:r>
          </w:p>
          <w:p w14:paraId="449BDF72" w14:textId="59B429AF" w:rsidR="00550D1E" w:rsidRPr="00662906" w:rsidRDefault="00550D1E" w:rsidP="007E6C89">
            <w:pPr>
              <w:pStyle w:val="ListParagraph"/>
              <w:numPr>
                <w:ilvl w:val="0"/>
                <w:numId w:val="92"/>
              </w:numPr>
              <w:spacing w:before="0" w:after="0"/>
              <w:ind w:left="367"/>
              <w:jc w:val="center"/>
              <w:rPr>
                <w:rFonts w:cs="Arial"/>
                <w:sz w:val="16"/>
                <w:szCs w:val="16"/>
              </w:rPr>
            </w:pPr>
            <w:r w:rsidRPr="00662906">
              <w:rPr>
                <w:rFonts w:cs="Arial"/>
                <w:sz w:val="16"/>
                <w:szCs w:val="16"/>
              </w:rPr>
              <w:t xml:space="preserve">Organize regional stakeholder consultations to finalize </w:t>
            </w:r>
            <w:r w:rsidR="003E3A2C" w:rsidRPr="00662906">
              <w:rPr>
                <w:rFonts w:cs="Arial"/>
                <w:sz w:val="16"/>
                <w:szCs w:val="16"/>
              </w:rPr>
              <w:t>labelling</w:t>
            </w:r>
            <w:r w:rsidRPr="00662906">
              <w:rPr>
                <w:rFonts w:cs="Arial"/>
                <w:sz w:val="16"/>
                <w:szCs w:val="16"/>
              </w:rPr>
              <w:t xml:space="preserve"> requirements</w:t>
            </w:r>
          </w:p>
        </w:tc>
        <w:tc>
          <w:tcPr>
            <w:tcW w:w="1276" w:type="dxa"/>
            <w:shd w:val="clear" w:color="auto" w:fill="FFFFFF"/>
            <w:tcMar>
              <w:left w:w="57" w:type="dxa"/>
              <w:right w:w="57" w:type="dxa"/>
            </w:tcMar>
          </w:tcPr>
          <w:p w14:paraId="2AD7FC98" w14:textId="3F7B450A"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3B022770" w14:textId="7714739C"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5CAFD3D2" w14:textId="66A425D9"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Buildings and Public Works, Ministries in charge of Energy, UN-Habitat, Global Alliance for Buildings and Construction, UNEP/U4E</w:t>
            </w:r>
          </w:p>
        </w:tc>
        <w:tc>
          <w:tcPr>
            <w:tcW w:w="851" w:type="dxa"/>
            <w:shd w:val="clear" w:color="auto" w:fill="FFFFFF"/>
            <w:tcMar>
              <w:left w:w="57" w:type="dxa"/>
              <w:right w:w="57" w:type="dxa"/>
            </w:tcMar>
          </w:tcPr>
          <w:p w14:paraId="605DFADA" w14:textId="424CF18A"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3F1FDABC" w14:textId="4D11F87B"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Draft EE </w:t>
            </w:r>
            <w:r w:rsidR="003E3A2C" w:rsidRPr="00662906">
              <w:rPr>
                <w:rFonts w:eastAsia="Arial" w:cs="Arial"/>
                <w:color w:val="53575A"/>
                <w:sz w:val="16"/>
                <w:szCs w:val="16"/>
              </w:rPr>
              <w:t>labelling</w:t>
            </w:r>
            <w:r w:rsidRPr="00662906">
              <w:rPr>
                <w:rFonts w:eastAsia="Arial" w:cs="Arial"/>
                <w:color w:val="53575A"/>
                <w:sz w:val="16"/>
                <w:szCs w:val="16"/>
              </w:rPr>
              <w:t xml:space="preserve"> frameworks</w:t>
            </w:r>
          </w:p>
          <w:p w14:paraId="44173B95" w14:textId="554F1D50"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feedback reports</w:t>
            </w:r>
          </w:p>
          <w:p w14:paraId="50B315E8" w14:textId="630872A1"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Final </w:t>
            </w:r>
            <w:r w:rsidR="003E3A2C" w:rsidRPr="00662906">
              <w:rPr>
                <w:rFonts w:eastAsia="Arial" w:cs="Arial"/>
                <w:color w:val="53575A"/>
                <w:sz w:val="16"/>
                <w:szCs w:val="16"/>
              </w:rPr>
              <w:t>labelling</w:t>
            </w:r>
            <w:r w:rsidRPr="00662906">
              <w:rPr>
                <w:rFonts w:eastAsia="Arial" w:cs="Arial"/>
                <w:color w:val="53575A"/>
                <w:sz w:val="16"/>
                <w:szCs w:val="16"/>
              </w:rPr>
              <w:t xml:space="preserve"> guidelines</w:t>
            </w:r>
          </w:p>
        </w:tc>
        <w:tc>
          <w:tcPr>
            <w:tcW w:w="1701" w:type="dxa"/>
            <w:shd w:val="clear" w:color="auto" w:fill="FFFFFF"/>
          </w:tcPr>
          <w:p w14:paraId="015C5321" w14:textId="144DCF88"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Widespread recognition and use of standardized labels for building materials, enhancing clarity on product efficiency and promoting market demand for greener products</w:t>
            </w:r>
          </w:p>
        </w:tc>
        <w:tc>
          <w:tcPr>
            <w:tcW w:w="1843" w:type="dxa"/>
            <w:shd w:val="clear" w:color="auto" w:fill="FFFFFF"/>
          </w:tcPr>
          <w:p w14:paraId="596F60CF" w14:textId="1D90F934"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EE labe</w:t>
            </w:r>
            <w:r w:rsidR="003E3A2C" w:rsidRPr="00662906">
              <w:rPr>
                <w:rFonts w:eastAsia="Arial" w:cs="Arial"/>
                <w:color w:val="53575A"/>
                <w:sz w:val="16"/>
                <w:szCs w:val="16"/>
              </w:rPr>
              <w:t>l</w:t>
            </w:r>
            <w:r w:rsidRPr="00662906">
              <w:rPr>
                <w:rFonts w:eastAsia="Arial" w:cs="Arial"/>
                <w:color w:val="53575A"/>
                <w:sz w:val="16"/>
                <w:szCs w:val="16"/>
              </w:rPr>
              <w:t xml:space="preserve">ling framework </w:t>
            </w:r>
            <w:r w:rsidR="00A61751" w:rsidRPr="00662906">
              <w:rPr>
                <w:rFonts w:eastAsia="Arial" w:cs="Arial"/>
                <w:color w:val="53575A"/>
                <w:sz w:val="16"/>
                <w:szCs w:val="16"/>
              </w:rPr>
              <w:t xml:space="preserve">for buildings </w:t>
            </w:r>
            <w:r w:rsidRPr="00662906">
              <w:rPr>
                <w:rFonts w:eastAsia="Arial" w:cs="Arial"/>
                <w:color w:val="53575A"/>
                <w:sz w:val="16"/>
                <w:szCs w:val="16"/>
              </w:rPr>
              <w:t>finalized</w:t>
            </w:r>
            <w:r w:rsidR="00A61751" w:rsidRPr="00662906">
              <w:rPr>
                <w:rFonts w:eastAsia="Arial" w:cs="Arial"/>
                <w:color w:val="53575A"/>
                <w:sz w:val="16"/>
                <w:szCs w:val="16"/>
              </w:rPr>
              <w:t xml:space="preserve"> and adopted by AU-MS</w:t>
            </w:r>
            <w:r w:rsidRPr="00662906">
              <w:rPr>
                <w:rFonts w:eastAsia="Arial" w:cs="Arial"/>
                <w:color w:val="53575A"/>
                <w:sz w:val="16"/>
                <w:szCs w:val="16"/>
              </w:rPr>
              <w:t xml:space="preserve"> (Yes/No)</w:t>
            </w:r>
          </w:p>
        </w:tc>
      </w:tr>
      <w:tr w:rsidR="00550D1E" w:rsidRPr="00662906" w14:paraId="21F73A89" w14:textId="77777777" w:rsidTr="007E6C89">
        <w:trPr>
          <w:trHeight w:val="300"/>
        </w:trPr>
        <w:tc>
          <w:tcPr>
            <w:tcW w:w="167" w:type="dxa"/>
            <w:shd w:val="clear" w:color="auto" w:fill="FFFFFF"/>
            <w:tcMar>
              <w:left w:w="57" w:type="dxa"/>
              <w:right w:w="57" w:type="dxa"/>
            </w:tcMar>
          </w:tcPr>
          <w:p w14:paraId="0EEC3A00" w14:textId="77777777" w:rsidR="00550D1E" w:rsidRPr="00662906" w:rsidRDefault="00550D1E"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1779BA8A" w14:textId="6564740E"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Introduce national building certification tools and systems (standardizable at regional or continental level)</w:t>
            </w:r>
          </w:p>
        </w:tc>
        <w:tc>
          <w:tcPr>
            <w:tcW w:w="3260" w:type="dxa"/>
            <w:tcBorders>
              <w:bottom w:val="single" w:sz="4" w:space="0" w:color="9F2241"/>
            </w:tcBorders>
            <w:shd w:val="clear" w:color="auto" w:fill="FFFFFF"/>
            <w:tcMar>
              <w:left w:w="57" w:type="dxa"/>
              <w:right w:w="57" w:type="dxa"/>
            </w:tcMar>
          </w:tcPr>
          <w:p w14:paraId="444E8879" w14:textId="6F75C2FF" w:rsidR="00550D1E" w:rsidRPr="00662906" w:rsidRDefault="00550D1E" w:rsidP="007E6C89">
            <w:pPr>
              <w:pStyle w:val="ListParagraph"/>
              <w:numPr>
                <w:ilvl w:val="0"/>
                <w:numId w:val="93"/>
              </w:numPr>
              <w:spacing w:before="40" w:after="40"/>
              <w:ind w:left="367"/>
              <w:jc w:val="center"/>
              <w:rPr>
                <w:rFonts w:eastAsia="Arial" w:cs="Arial"/>
                <w:color w:val="394A58"/>
                <w:sz w:val="16"/>
                <w:szCs w:val="16"/>
              </w:rPr>
            </w:pPr>
            <w:r w:rsidRPr="00662906">
              <w:rPr>
                <w:rFonts w:eastAsia="Arial" w:cs="Arial"/>
                <w:color w:val="394A58"/>
                <w:sz w:val="16"/>
                <w:szCs w:val="16"/>
              </w:rPr>
              <w:t>Examine current certification practices across select AU Member States</w:t>
            </w:r>
          </w:p>
          <w:p w14:paraId="13D6539D" w14:textId="7FB0B1FA" w:rsidR="00550D1E" w:rsidRPr="00662906" w:rsidRDefault="00550D1E" w:rsidP="007E6C89">
            <w:pPr>
              <w:pStyle w:val="ListParagraph"/>
              <w:numPr>
                <w:ilvl w:val="0"/>
                <w:numId w:val="93"/>
              </w:numPr>
              <w:spacing w:before="40" w:after="40"/>
              <w:ind w:left="367"/>
              <w:jc w:val="center"/>
              <w:rPr>
                <w:rFonts w:eastAsia="Arial" w:cs="Arial"/>
                <w:color w:val="394A58"/>
                <w:sz w:val="16"/>
                <w:szCs w:val="16"/>
              </w:rPr>
            </w:pPr>
            <w:r w:rsidRPr="00662906">
              <w:rPr>
                <w:rFonts w:eastAsia="Arial" w:cs="Arial"/>
                <w:color w:val="394A58"/>
                <w:sz w:val="16"/>
                <w:szCs w:val="16"/>
              </w:rPr>
              <w:t>Develop a unified framework that defines certification criteria and institutional roles</w:t>
            </w:r>
          </w:p>
          <w:p w14:paraId="205276B8" w14:textId="51F30D8A" w:rsidR="00550D1E" w:rsidRPr="00662906" w:rsidRDefault="00550D1E" w:rsidP="007E6C89">
            <w:pPr>
              <w:pStyle w:val="ListParagraph"/>
              <w:numPr>
                <w:ilvl w:val="0"/>
                <w:numId w:val="93"/>
              </w:numPr>
              <w:spacing w:before="40" w:after="40"/>
              <w:ind w:left="367"/>
              <w:jc w:val="center"/>
              <w:rPr>
                <w:rFonts w:eastAsia="Arial" w:cs="Arial"/>
                <w:color w:val="394A58"/>
                <w:sz w:val="16"/>
                <w:szCs w:val="16"/>
              </w:rPr>
            </w:pPr>
            <w:r w:rsidRPr="00662906">
              <w:rPr>
                <w:rFonts w:eastAsia="Arial" w:cs="Arial"/>
                <w:color w:val="394A58"/>
                <w:sz w:val="16"/>
                <w:szCs w:val="16"/>
              </w:rPr>
              <w:t>Train certifiers and establish information systems for issuing certificates</w:t>
            </w:r>
          </w:p>
          <w:p w14:paraId="5DB7C993" w14:textId="615F1714" w:rsidR="00550D1E" w:rsidRPr="00662906" w:rsidRDefault="00550D1E" w:rsidP="007E6C89">
            <w:pPr>
              <w:pStyle w:val="ListParagraph"/>
              <w:numPr>
                <w:ilvl w:val="0"/>
                <w:numId w:val="93"/>
              </w:numPr>
              <w:spacing w:before="40" w:after="40"/>
              <w:ind w:left="367"/>
              <w:jc w:val="center"/>
              <w:rPr>
                <w:rFonts w:eastAsia="Arial" w:cs="Arial"/>
                <w:color w:val="394A58"/>
                <w:sz w:val="16"/>
                <w:szCs w:val="16"/>
              </w:rPr>
            </w:pPr>
            <w:r w:rsidRPr="00662906">
              <w:rPr>
                <w:rFonts w:eastAsia="Arial" w:cs="Arial"/>
                <w:color w:val="394A58"/>
                <w:sz w:val="16"/>
                <w:szCs w:val="16"/>
              </w:rPr>
              <w:t>Pilot certification processes in selected regions</w:t>
            </w:r>
          </w:p>
        </w:tc>
        <w:tc>
          <w:tcPr>
            <w:tcW w:w="1276" w:type="dxa"/>
            <w:shd w:val="clear" w:color="auto" w:fill="FFFFFF"/>
            <w:tcMar>
              <w:left w:w="57" w:type="dxa"/>
              <w:right w:w="57" w:type="dxa"/>
            </w:tcMar>
          </w:tcPr>
          <w:p w14:paraId="6EBCF659" w14:textId="1CDB10B4"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243AE63" w14:textId="1B1C8D81"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5986081F" w14:textId="316D459C"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Buildings and Public Works, AFREC, Global Alliance for Buildings and Construction</w:t>
            </w:r>
          </w:p>
        </w:tc>
        <w:tc>
          <w:tcPr>
            <w:tcW w:w="851" w:type="dxa"/>
            <w:shd w:val="clear" w:color="auto" w:fill="FFFFFF"/>
            <w:tcMar>
              <w:left w:w="57" w:type="dxa"/>
              <w:right w:w="57" w:type="dxa"/>
            </w:tcMar>
          </w:tcPr>
          <w:p w14:paraId="05F26648" w14:textId="481450E8"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7A23B53" w14:textId="4BDB8F0B"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Building certification framework</w:t>
            </w:r>
          </w:p>
          <w:p w14:paraId="65CAA9EE" w14:textId="30FAC2FA"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Institutional guidelines for certifiers</w:t>
            </w:r>
          </w:p>
          <w:p w14:paraId="28A5257E" w14:textId="5754068C"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certification records</w:t>
            </w:r>
          </w:p>
        </w:tc>
        <w:tc>
          <w:tcPr>
            <w:tcW w:w="1701" w:type="dxa"/>
            <w:shd w:val="clear" w:color="auto" w:fill="FFFFFF"/>
          </w:tcPr>
          <w:p w14:paraId="629C1CE0" w14:textId="081F5AC5"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Clear, credible certification pathways that boost consumer trust and encourage investment in energy-efficient buildings, eventually harmonizable regionally or continentally</w:t>
            </w:r>
          </w:p>
        </w:tc>
        <w:tc>
          <w:tcPr>
            <w:tcW w:w="1843" w:type="dxa"/>
            <w:shd w:val="clear" w:color="auto" w:fill="FFFFFF"/>
          </w:tcPr>
          <w:p w14:paraId="7B37F2CC" w14:textId="469F0B5D" w:rsidR="00550D1E" w:rsidRPr="00662906" w:rsidRDefault="0001718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Building </w:t>
            </w:r>
            <w:r w:rsidR="00550D1E" w:rsidRPr="00662906">
              <w:rPr>
                <w:rFonts w:eastAsia="Arial" w:cs="Arial"/>
                <w:color w:val="53575A"/>
                <w:sz w:val="16"/>
                <w:szCs w:val="16"/>
              </w:rPr>
              <w:t xml:space="preserve">Certification framework </w:t>
            </w:r>
            <w:r w:rsidRPr="00662906">
              <w:rPr>
                <w:rFonts w:eastAsia="Arial" w:cs="Arial"/>
                <w:color w:val="53575A"/>
                <w:sz w:val="16"/>
                <w:szCs w:val="16"/>
              </w:rPr>
              <w:t xml:space="preserve">, capacity and lessons established in select AU-MS </w:t>
            </w:r>
            <w:r w:rsidR="00550D1E" w:rsidRPr="00662906">
              <w:rPr>
                <w:rFonts w:eastAsia="Arial" w:cs="Arial"/>
                <w:color w:val="53575A"/>
                <w:sz w:val="16"/>
                <w:szCs w:val="16"/>
              </w:rPr>
              <w:t>(Yes/No)</w:t>
            </w:r>
          </w:p>
          <w:p w14:paraId="2C6A84B5" w14:textId="0318F50B"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trained certifiers</w:t>
            </w:r>
          </w:p>
          <w:p w14:paraId="32E1F816" w14:textId="36440E4C"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certifications completed (count)</w:t>
            </w:r>
          </w:p>
        </w:tc>
      </w:tr>
      <w:tr w:rsidR="00550D1E" w:rsidRPr="00662906" w14:paraId="40A12B30" w14:textId="77777777" w:rsidTr="007E6C89">
        <w:trPr>
          <w:trHeight w:val="300"/>
        </w:trPr>
        <w:tc>
          <w:tcPr>
            <w:tcW w:w="167" w:type="dxa"/>
            <w:shd w:val="clear" w:color="auto" w:fill="FFFFFF"/>
            <w:tcMar>
              <w:left w:w="57" w:type="dxa"/>
              <w:right w:w="57" w:type="dxa"/>
            </w:tcMar>
          </w:tcPr>
          <w:p w14:paraId="248D6BBE" w14:textId="77777777" w:rsidR="00550D1E" w:rsidRPr="00662906" w:rsidRDefault="00550D1E"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606B26EC" w14:textId="3CDB7741"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Create a funding mechanism/win</w:t>
            </w:r>
            <w:r w:rsidRPr="00662906">
              <w:rPr>
                <w:rFonts w:cs="Arial"/>
                <w:sz w:val="16"/>
                <w:szCs w:val="16"/>
              </w:rPr>
              <w:lastRenderedPageBreak/>
              <w:t>dow to support EE in buildings</w:t>
            </w:r>
          </w:p>
        </w:tc>
        <w:tc>
          <w:tcPr>
            <w:tcW w:w="3260" w:type="dxa"/>
            <w:tcBorders>
              <w:top w:val="single" w:sz="4" w:space="0" w:color="9F2241"/>
              <w:left w:val="nil"/>
              <w:bottom w:val="single" w:sz="4" w:space="0" w:color="9F2241"/>
              <w:right w:val="nil"/>
            </w:tcBorders>
            <w:tcMar>
              <w:left w:w="57" w:type="dxa"/>
              <w:right w:w="57" w:type="dxa"/>
            </w:tcMar>
          </w:tcPr>
          <w:p w14:paraId="651CC6DF" w14:textId="32052B75"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Map existing funding instruments (public, private, international) for EE projects</w:t>
            </w:r>
          </w:p>
          <w:p w14:paraId="1C065625" w14:textId="7AD6B706"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Conduct stakeholder consultations on establishing or adapting a specialized EE financing window</w:t>
            </w:r>
          </w:p>
          <w:p w14:paraId="3A2389F5" w14:textId="6645B06A"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t>Develop training modules for national banking institutions on financing EE</w:t>
            </w:r>
          </w:p>
          <w:p w14:paraId="00703E8B" w14:textId="14464D1D"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t>Propose government guarantees or partial risk-sharing models to incentivize loans</w:t>
            </w:r>
          </w:p>
          <w:p w14:paraId="6D1C195C" w14:textId="129497BD"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t xml:space="preserve">Explore </w:t>
            </w:r>
            <w:r w:rsidR="003E3A2C" w:rsidRPr="00662906">
              <w:rPr>
                <w:rFonts w:eastAsia="Arial" w:cs="Arial"/>
                <w:color w:val="394A58"/>
                <w:sz w:val="16"/>
                <w:szCs w:val="16"/>
              </w:rPr>
              <w:t>Development Financial Institutions (</w:t>
            </w:r>
            <w:r w:rsidRPr="00662906">
              <w:rPr>
                <w:rFonts w:eastAsia="Arial" w:cs="Arial"/>
                <w:color w:val="394A58"/>
                <w:sz w:val="16"/>
                <w:szCs w:val="16"/>
              </w:rPr>
              <w:t>DFI</w:t>
            </w:r>
            <w:r w:rsidR="003E3A2C" w:rsidRPr="00662906">
              <w:rPr>
                <w:rFonts w:eastAsia="Arial" w:cs="Arial"/>
                <w:color w:val="394A58"/>
                <w:sz w:val="16"/>
                <w:szCs w:val="16"/>
              </w:rPr>
              <w:t xml:space="preserve">s) </w:t>
            </w:r>
            <w:r w:rsidRPr="00662906">
              <w:rPr>
                <w:rFonts w:eastAsia="Arial" w:cs="Arial"/>
                <w:color w:val="394A58"/>
                <w:sz w:val="16"/>
                <w:szCs w:val="16"/>
              </w:rPr>
              <w:t>/</w:t>
            </w:r>
            <w:r w:rsidR="003E3A2C" w:rsidRPr="00662906">
              <w:rPr>
                <w:rFonts w:eastAsia="Arial" w:cs="Arial"/>
                <w:color w:val="394A58"/>
                <w:sz w:val="16"/>
                <w:szCs w:val="16"/>
              </w:rPr>
              <w:t xml:space="preserve"> International Financing Institutions (</w:t>
            </w:r>
            <w:r w:rsidRPr="00662906">
              <w:rPr>
                <w:rFonts w:eastAsia="Arial" w:cs="Arial"/>
                <w:color w:val="394A58"/>
                <w:sz w:val="16"/>
                <w:szCs w:val="16"/>
              </w:rPr>
              <w:t>IFI</w:t>
            </w:r>
            <w:r w:rsidR="003E3A2C" w:rsidRPr="00662906">
              <w:rPr>
                <w:rFonts w:eastAsia="Arial" w:cs="Arial"/>
                <w:color w:val="394A58"/>
                <w:sz w:val="16"/>
                <w:szCs w:val="16"/>
              </w:rPr>
              <w:t>s)</w:t>
            </w:r>
            <w:r w:rsidRPr="00662906">
              <w:rPr>
                <w:rFonts w:eastAsia="Arial" w:cs="Arial"/>
                <w:color w:val="394A58"/>
                <w:sz w:val="16"/>
                <w:szCs w:val="16"/>
              </w:rPr>
              <w:t xml:space="preserve"> grants to fortify the EE funding window</w:t>
            </w:r>
          </w:p>
          <w:p w14:paraId="134D1B41" w14:textId="71EE9045" w:rsidR="00550D1E" w:rsidRPr="00662906" w:rsidRDefault="00550D1E" w:rsidP="007E6C89">
            <w:pPr>
              <w:pStyle w:val="ListParagraph"/>
              <w:numPr>
                <w:ilvl w:val="0"/>
                <w:numId w:val="94"/>
              </w:numPr>
              <w:spacing w:before="40" w:after="40"/>
              <w:ind w:left="367"/>
              <w:jc w:val="center"/>
              <w:rPr>
                <w:rFonts w:eastAsia="Arial" w:cs="Arial"/>
                <w:color w:val="394A58"/>
                <w:sz w:val="16"/>
                <w:szCs w:val="16"/>
              </w:rPr>
            </w:pPr>
            <w:r w:rsidRPr="00662906">
              <w:rPr>
                <w:rFonts w:eastAsia="Arial" w:cs="Arial"/>
                <w:color w:val="394A58"/>
                <w:sz w:val="16"/>
                <w:szCs w:val="16"/>
              </w:rPr>
              <w:t>Develop standard tools and templates for financial institutions</w:t>
            </w:r>
          </w:p>
        </w:tc>
        <w:tc>
          <w:tcPr>
            <w:tcW w:w="1276" w:type="dxa"/>
            <w:shd w:val="clear" w:color="auto" w:fill="FFFFFF"/>
            <w:tcMar>
              <w:left w:w="57" w:type="dxa"/>
              <w:right w:w="57" w:type="dxa"/>
            </w:tcMar>
          </w:tcPr>
          <w:p w14:paraId="101B4244" w14:textId="4E70A8F3" w:rsidR="00550D1E" w:rsidRPr="00662906" w:rsidRDefault="00550D1E" w:rsidP="007E6C89">
            <w:pPr>
              <w:spacing w:before="40" w:after="40"/>
              <w:jc w:val="center"/>
              <w:rPr>
                <w:rFonts w:eastAsia="Arial" w:cs="Arial"/>
                <w:color w:val="53575A"/>
                <w:sz w:val="16"/>
                <w:szCs w:val="16"/>
              </w:rPr>
            </w:pPr>
            <w:r w:rsidRPr="00662906">
              <w:rPr>
                <w:rFonts w:cs="Arial"/>
                <w:sz w:val="16"/>
                <w:szCs w:val="16"/>
              </w:rPr>
              <w:lastRenderedPageBreak/>
              <w:t>Regional</w:t>
            </w:r>
          </w:p>
        </w:tc>
        <w:tc>
          <w:tcPr>
            <w:tcW w:w="1070" w:type="dxa"/>
            <w:shd w:val="clear" w:color="auto" w:fill="FFFFFF"/>
            <w:tcMar>
              <w:left w:w="57" w:type="dxa"/>
              <w:right w:w="57" w:type="dxa"/>
            </w:tcMar>
          </w:tcPr>
          <w:p w14:paraId="00C9E048" w14:textId="530E55DB"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AfDB</w:t>
            </w:r>
          </w:p>
        </w:tc>
        <w:tc>
          <w:tcPr>
            <w:tcW w:w="1198" w:type="dxa"/>
            <w:shd w:val="clear" w:color="auto" w:fill="FFFFFF"/>
            <w:tcMar>
              <w:left w:w="57" w:type="dxa"/>
              <w:right w:w="57" w:type="dxa"/>
            </w:tcMar>
          </w:tcPr>
          <w:p w14:paraId="5BADD8C3" w14:textId="68009BC1"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 xml:space="preserve">Regional and National Development </w:t>
            </w:r>
            <w:r w:rsidRPr="00662906">
              <w:rPr>
                <w:rFonts w:cs="Arial"/>
                <w:sz w:val="16"/>
                <w:szCs w:val="16"/>
              </w:rPr>
              <w:lastRenderedPageBreak/>
              <w:t>Banks, Ministries in charge of Energy, International Finance Corporations (IFCs), World Bank</w:t>
            </w:r>
          </w:p>
        </w:tc>
        <w:tc>
          <w:tcPr>
            <w:tcW w:w="851" w:type="dxa"/>
            <w:shd w:val="clear" w:color="auto" w:fill="FFFFFF"/>
            <w:tcMar>
              <w:left w:w="57" w:type="dxa"/>
              <w:right w:w="57" w:type="dxa"/>
            </w:tcMar>
          </w:tcPr>
          <w:p w14:paraId="376189EE" w14:textId="7A643C36" w:rsidR="00550D1E" w:rsidRPr="00662906" w:rsidRDefault="00550D1E" w:rsidP="007E6C89">
            <w:pPr>
              <w:spacing w:before="40" w:after="40"/>
              <w:jc w:val="center"/>
              <w:rPr>
                <w:rFonts w:eastAsia="Arial" w:cs="Arial"/>
                <w:color w:val="53575A"/>
                <w:sz w:val="16"/>
                <w:szCs w:val="16"/>
              </w:rPr>
            </w:pPr>
            <w:r w:rsidRPr="00662906">
              <w:rPr>
                <w:rFonts w:cs="Arial"/>
                <w:sz w:val="16"/>
                <w:szCs w:val="16"/>
              </w:rPr>
              <w:lastRenderedPageBreak/>
              <w:t>Medium Term</w:t>
            </w:r>
          </w:p>
        </w:tc>
        <w:tc>
          <w:tcPr>
            <w:tcW w:w="1842" w:type="dxa"/>
            <w:shd w:val="clear" w:color="auto" w:fill="FFFFFF"/>
          </w:tcPr>
          <w:p w14:paraId="2218562D" w14:textId="3A74D794"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EE financing strategy or window</w:t>
            </w:r>
          </w:p>
          <w:p w14:paraId="1AAEC209" w14:textId="4E2E1312"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Training materials for banks</w:t>
            </w:r>
          </w:p>
          <w:p w14:paraId="5BF1083E" w14:textId="48EB91DC"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risk-sharing agreement templates</w:t>
            </w:r>
          </w:p>
        </w:tc>
        <w:tc>
          <w:tcPr>
            <w:tcW w:w="1701" w:type="dxa"/>
            <w:shd w:val="clear" w:color="auto" w:fill="FFFFFF"/>
          </w:tcPr>
          <w:p w14:paraId="48D60E16" w14:textId="35E9DA2F" w:rsidR="00550D1E" w:rsidRPr="00662906" w:rsidRDefault="00550D1E" w:rsidP="007E6C89">
            <w:pPr>
              <w:spacing w:before="40" w:after="40"/>
              <w:jc w:val="center"/>
              <w:rPr>
                <w:rFonts w:eastAsia="Arial" w:cs="Arial"/>
                <w:color w:val="53575A"/>
                <w:sz w:val="16"/>
                <w:szCs w:val="16"/>
              </w:rPr>
            </w:pPr>
            <w:r w:rsidRPr="00662906">
              <w:rPr>
                <w:rFonts w:cs="Arial"/>
                <w:sz w:val="16"/>
                <w:szCs w:val="16"/>
              </w:rPr>
              <w:lastRenderedPageBreak/>
              <w:t xml:space="preserve">Expanded access to affordable capital for EE building projects, </w:t>
            </w:r>
            <w:r w:rsidRPr="00662906">
              <w:rPr>
                <w:rFonts w:cs="Arial"/>
                <w:sz w:val="16"/>
                <w:szCs w:val="16"/>
              </w:rPr>
              <w:lastRenderedPageBreak/>
              <w:t>driving higher uptake of energy-efficient materials and designs across different income brackets</w:t>
            </w:r>
          </w:p>
        </w:tc>
        <w:tc>
          <w:tcPr>
            <w:tcW w:w="1843" w:type="dxa"/>
            <w:shd w:val="clear" w:color="auto" w:fill="FFFFFF"/>
          </w:tcPr>
          <w:p w14:paraId="2F16966F" w14:textId="0B18E19F"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Specialized EE finance </w:t>
            </w:r>
            <w:r w:rsidR="0001718E" w:rsidRPr="00662906">
              <w:rPr>
                <w:rFonts w:eastAsia="Arial" w:cs="Arial"/>
                <w:color w:val="53575A"/>
                <w:sz w:val="16"/>
                <w:szCs w:val="16"/>
              </w:rPr>
              <w:t xml:space="preserve">mechanisms and </w:t>
            </w:r>
            <w:r w:rsidR="0001718E" w:rsidRPr="00662906">
              <w:rPr>
                <w:rFonts w:eastAsia="Arial" w:cs="Arial"/>
                <w:color w:val="53575A"/>
                <w:sz w:val="16"/>
                <w:szCs w:val="16"/>
              </w:rPr>
              <w:lastRenderedPageBreak/>
              <w:t>institutional framework</w:t>
            </w:r>
            <w:r w:rsidR="00FD607B" w:rsidRPr="00662906">
              <w:rPr>
                <w:rFonts w:eastAsia="Arial" w:cs="Arial"/>
                <w:color w:val="53575A"/>
                <w:sz w:val="16"/>
                <w:szCs w:val="16"/>
              </w:rPr>
              <w:t xml:space="preserve"> </w:t>
            </w:r>
            <w:r w:rsidR="0001718E" w:rsidRPr="00662906">
              <w:rPr>
                <w:rFonts w:eastAsia="Arial" w:cs="Arial"/>
                <w:color w:val="53575A"/>
                <w:sz w:val="16"/>
                <w:szCs w:val="16"/>
              </w:rPr>
              <w:t xml:space="preserve">to support EE in Buildings </w:t>
            </w:r>
            <w:r w:rsidRPr="00662906">
              <w:rPr>
                <w:rFonts w:eastAsia="Arial" w:cs="Arial"/>
                <w:color w:val="53575A"/>
                <w:sz w:val="16"/>
                <w:szCs w:val="16"/>
              </w:rPr>
              <w:t>established (Yes/No)</w:t>
            </w:r>
          </w:p>
          <w:p w14:paraId="54865614" w14:textId="42C8D262" w:rsidR="00550D1E" w:rsidRPr="00662906" w:rsidRDefault="00550D1E" w:rsidP="007E6C89">
            <w:pPr>
              <w:pStyle w:val="ListParagraph"/>
              <w:numPr>
                <w:ilvl w:val="0"/>
                <w:numId w:val="0"/>
              </w:numPr>
              <w:spacing w:before="40" w:after="40"/>
              <w:ind w:left="321"/>
              <w:jc w:val="center"/>
              <w:rPr>
                <w:rFonts w:eastAsia="Arial" w:cs="Arial"/>
                <w:color w:val="53575A"/>
                <w:sz w:val="16"/>
                <w:szCs w:val="16"/>
              </w:rPr>
            </w:pPr>
          </w:p>
        </w:tc>
      </w:tr>
      <w:tr w:rsidR="00550D1E" w:rsidRPr="00662906" w14:paraId="5A6A74A7" w14:textId="77777777" w:rsidTr="007E6C89">
        <w:trPr>
          <w:trHeight w:val="300"/>
        </w:trPr>
        <w:tc>
          <w:tcPr>
            <w:tcW w:w="167" w:type="dxa"/>
            <w:shd w:val="clear" w:color="auto" w:fill="FFFFFF"/>
            <w:tcMar>
              <w:left w:w="57" w:type="dxa"/>
              <w:right w:w="57" w:type="dxa"/>
            </w:tcMar>
          </w:tcPr>
          <w:p w14:paraId="020295D3" w14:textId="77777777" w:rsidR="00550D1E" w:rsidRPr="00662906" w:rsidRDefault="00550D1E"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383A7AC6" w14:textId="7C322F8E"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Implement demonstration programs for energy-efficient buildings</w:t>
            </w:r>
          </w:p>
        </w:tc>
        <w:tc>
          <w:tcPr>
            <w:tcW w:w="3260" w:type="dxa"/>
            <w:tcBorders>
              <w:top w:val="single" w:sz="4" w:space="0" w:color="9F2241"/>
              <w:left w:val="nil"/>
              <w:bottom w:val="single" w:sz="4" w:space="0" w:color="9F2241"/>
              <w:right w:val="nil"/>
            </w:tcBorders>
            <w:tcMar>
              <w:left w:w="57" w:type="dxa"/>
              <w:right w:w="57" w:type="dxa"/>
            </w:tcMar>
          </w:tcPr>
          <w:p w14:paraId="67DB704B" w14:textId="21C810EB" w:rsidR="00550D1E" w:rsidRPr="00662906" w:rsidRDefault="00550D1E" w:rsidP="007E6C89">
            <w:pPr>
              <w:pStyle w:val="ListParagraph"/>
              <w:numPr>
                <w:ilvl w:val="0"/>
                <w:numId w:val="95"/>
              </w:numPr>
              <w:spacing w:before="40" w:after="40"/>
              <w:ind w:left="367"/>
              <w:jc w:val="center"/>
              <w:rPr>
                <w:rFonts w:eastAsia="Arial" w:cs="Arial"/>
                <w:color w:val="394A58"/>
                <w:sz w:val="16"/>
                <w:szCs w:val="16"/>
              </w:rPr>
            </w:pPr>
            <w:r w:rsidRPr="00662906">
              <w:rPr>
                <w:rFonts w:eastAsia="Arial" w:cs="Arial"/>
                <w:color w:val="394A58"/>
                <w:sz w:val="16"/>
                <w:szCs w:val="16"/>
              </w:rPr>
              <w:t>Select pilot Member States representing diverse economic and climatic contexts</w:t>
            </w:r>
          </w:p>
          <w:p w14:paraId="686FE222" w14:textId="115B0D74" w:rsidR="00550D1E" w:rsidRPr="00662906" w:rsidRDefault="00550D1E" w:rsidP="007E6C89">
            <w:pPr>
              <w:pStyle w:val="ListParagraph"/>
              <w:numPr>
                <w:ilvl w:val="0"/>
                <w:numId w:val="95"/>
              </w:numPr>
              <w:spacing w:before="40" w:after="40"/>
              <w:ind w:left="367"/>
              <w:jc w:val="center"/>
              <w:rPr>
                <w:rFonts w:eastAsia="Arial" w:cs="Arial"/>
                <w:color w:val="394A58"/>
                <w:sz w:val="16"/>
                <w:szCs w:val="16"/>
              </w:rPr>
            </w:pPr>
            <w:r w:rsidRPr="00662906">
              <w:rPr>
                <w:rFonts w:eastAsia="Arial" w:cs="Arial"/>
                <w:color w:val="394A58"/>
                <w:sz w:val="16"/>
                <w:szCs w:val="16"/>
              </w:rPr>
              <w:t>Choose building types (residential, commercial, institutional) for EE retrofits or new builds</w:t>
            </w:r>
          </w:p>
          <w:p w14:paraId="274319FB" w14:textId="1F519DD3" w:rsidR="00550D1E" w:rsidRPr="00662906" w:rsidRDefault="00550D1E" w:rsidP="007E6C89">
            <w:pPr>
              <w:pStyle w:val="ListParagraph"/>
              <w:numPr>
                <w:ilvl w:val="0"/>
                <w:numId w:val="95"/>
              </w:numPr>
              <w:spacing w:before="40" w:after="40"/>
              <w:ind w:left="367"/>
              <w:jc w:val="center"/>
              <w:rPr>
                <w:rFonts w:eastAsia="Arial" w:cs="Arial"/>
                <w:color w:val="394A58"/>
                <w:sz w:val="16"/>
                <w:szCs w:val="16"/>
              </w:rPr>
            </w:pPr>
            <w:r w:rsidRPr="00662906">
              <w:rPr>
                <w:rFonts w:eastAsia="Arial" w:cs="Arial"/>
                <w:color w:val="394A58"/>
                <w:sz w:val="16"/>
                <w:szCs w:val="16"/>
              </w:rPr>
              <w:t>Document cost-benefit analyses (energy savings, payback periods)</w:t>
            </w:r>
          </w:p>
          <w:p w14:paraId="7B855FB5" w14:textId="6B619499" w:rsidR="00550D1E" w:rsidRPr="00662906" w:rsidRDefault="00550D1E" w:rsidP="007E6C89">
            <w:pPr>
              <w:pStyle w:val="ListParagraph"/>
              <w:numPr>
                <w:ilvl w:val="0"/>
                <w:numId w:val="95"/>
              </w:numPr>
              <w:spacing w:before="40" w:after="40"/>
              <w:ind w:left="367"/>
              <w:jc w:val="center"/>
              <w:rPr>
                <w:rFonts w:eastAsia="Arial" w:cs="Arial"/>
                <w:color w:val="394A58"/>
                <w:sz w:val="16"/>
                <w:szCs w:val="16"/>
              </w:rPr>
            </w:pPr>
            <w:r w:rsidRPr="00662906">
              <w:rPr>
                <w:rFonts w:eastAsia="Arial" w:cs="Arial"/>
                <w:color w:val="394A58"/>
                <w:sz w:val="16"/>
                <w:szCs w:val="16"/>
              </w:rPr>
              <w:t>Provide technical guidance throughout project implementation</w:t>
            </w:r>
          </w:p>
        </w:tc>
        <w:tc>
          <w:tcPr>
            <w:tcW w:w="1276" w:type="dxa"/>
            <w:shd w:val="clear" w:color="auto" w:fill="FFFFFF"/>
            <w:tcMar>
              <w:left w:w="57" w:type="dxa"/>
              <w:right w:w="57" w:type="dxa"/>
            </w:tcMar>
          </w:tcPr>
          <w:p w14:paraId="46B59D43" w14:textId="7266E28B"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405EEC94" w14:textId="700DE34F"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14A6D06C" w14:textId="5FD62E6E"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Buildings and Public Works, AFREC, UN-Habitat, Global Alliance for Buildings and Construction, UNEP/U4E</w:t>
            </w:r>
          </w:p>
        </w:tc>
        <w:tc>
          <w:tcPr>
            <w:tcW w:w="851" w:type="dxa"/>
            <w:shd w:val="clear" w:color="auto" w:fill="FFFFFF"/>
            <w:tcMar>
              <w:left w:w="57" w:type="dxa"/>
              <w:right w:w="57" w:type="dxa"/>
            </w:tcMar>
          </w:tcPr>
          <w:p w14:paraId="5E966CDD" w14:textId="36C01EFC"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5D779204" w14:textId="2B27E172"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project reports</w:t>
            </w:r>
          </w:p>
          <w:p w14:paraId="4F299E56" w14:textId="1EE9CF72"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guidance manuals</w:t>
            </w:r>
          </w:p>
          <w:p w14:paraId="4B7D3957" w14:textId="064CC9A0"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Cost-benefit analysis summaries</w:t>
            </w:r>
          </w:p>
        </w:tc>
        <w:tc>
          <w:tcPr>
            <w:tcW w:w="1701" w:type="dxa"/>
            <w:shd w:val="clear" w:color="auto" w:fill="FFFFFF"/>
          </w:tcPr>
          <w:p w14:paraId="1E0D9081" w14:textId="676413C4"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Stronger evidence base illustrating the feasibility and returns of energy-efficient building designs, encouraging broader policy and market adoption</w:t>
            </w:r>
          </w:p>
        </w:tc>
        <w:tc>
          <w:tcPr>
            <w:tcW w:w="1843" w:type="dxa"/>
            <w:shd w:val="clear" w:color="auto" w:fill="FFFFFF"/>
          </w:tcPr>
          <w:p w14:paraId="50A453F5" w14:textId="57A02B20" w:rsidR="00550D1E" w:rsidRPr="00662906" w:rsidRDefault="0001718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Benefits of EE in Buildings </w:t>
            </w:r>
            <w:r w:rsidR="00550D1E" w:rsidRPr="00662906">
              <w:rPr>
                <w:rFonts w:eastAsia="Arial" w:cs="Arial"/>
                <w:color w:val="53575A"/>
                <w:sz w:val="16"/>
                <w:szCs w:val="16"/>
              </w:rPr>
              <w:t>Demonstrat</w:t>
            </w:r>
            <w:r w:rsidRPr="00662906">
              <w:rPr>
                <w:rFonts w:eastAsia="Arial" w:cs="Arial"/>
                <w:color w:val="53575A"/>
                <w:sz w:val="16"/>
                <w:szCs w:val="16"/>
              </w:rPr>
              <w:t>ed</w:t>
            </w:r>
            <w:r w:rsidR="00550D1E" w:rsidRPr="00662906">
              <w:rPr>
                <w:rFonts w:eastAsia="Arial" w:cs="Arial"/>
                <w:color w:val="53575A"/>
                <w:sz w:val="16"/>
                <w:szCs w:val="16"/>
              </w:rPr>
              <w:t xml:space="preserve"> </w:t>
            </w:r>
            <w:r w:rsidRPr="00662906">
              <w:rPr>
                <w:rFonts w:eastAsia="Arial" w:cs="Arial"/>
                <w:color w:val="53575A"/>
                <w:sz w:val="16"/>
                <w:szCs w:val="16"/>
              </w:rPr>
              <w:t>in selected MS and Building types</w:t>
            </w:r>
            <w:r w:rsidR="00CF0CA3" w:rsidRPr="00662906">
              <w:rPr>
                <w:rFonts w:eastAsia="Arial" w:cs="Arial"/>
                <w:color w:val="53575A"/>
                <w:sz w:val="16"/>
                <w:szCs w:val="16"/>
              </w:rPr>
              <w:t xml:space="preserve"> </w:t>
            </w:r>
            <w:r w:rsidR="00550D1E" w:rsidRPr="00662906">
              <w:rPr>
                <w:rFonts w:eastAsia="Arial" w:cs="Arial"/>
                <w:color w:val="53575A"/>
                <w:sz w:val="16"/>
                <w:szCs w:val="16"/>
              </w:rPr>
              <w:t>(Yes/No)</w:t>
            </w:r>
          </w:p>
          <w:p w14:paraId="4B35B106" w14:textId="5740A00B" w:rsidR="00550D1E" w:rsidRPr="00662906" w:rsidRDefault="00550D1E"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Availability of cost-benefit data (Yes/No)</w:t>
            </w:r>
          </w:p>
          <w:p w14:paraId="2BE71056" w14:textId="21EFCC2E" w:rsidR="00550D1E" w:rsidRPr="00662906" w:rsidRDefault="00550D1E" w:rsidP="007E6C89">
            <w:pPr>
              <w:spacing w:before="40" w:after="40"/>
              <w:ind w:left="720" w:hanging="360"/>
              <w:jc w:val="center"/>
              <w:rPr>
                <w:rFonts w:eastAsia="Arial" w:cs="Arial"/>
                <w:color w:val="53575A"/>
                <w:sz w:val="16"/>
                <w:szCs w:val="16"/>
              </w:rPr>
            </w:pPr>
          </w:p>
        </w:tc>
      </w:tr>
      <w:tr w:rsidR="00550D1E" w:rsidRPr="00662906" w14:paraId="1FED1775" w14:textId="77777777" w:rsidTr="007E6C89">
        <w:trPr>
          <w:trHeight w:val="300"/>
        </w:trPr>
        <w:tc>
          <w:tcPr>
            <w:tcW w:w="167" w:type="dxa"/>
            <w:shd w:val="clear" w:color="auto" w:fill="FFFFFF"/>
            <w:tcMar>
              <w:left w:w="57" w:type="dxa"/>
              <w:right w:w="57" w:type="dxa"/>
            </w:tcMar>
          </w:tcPr>
          <w:p w14:paraId="410A1A76" w14:textId="77777777" w:rsidR="00550D1E" w:rsidRPr="00662906" w:rsidRDefault="00550D1E"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3BA5FB02" w14:textId="2C575758"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Create national building compliance bodies</w:t>
            </w:r>
          </w:p>
        </w:tc>
        <w:tc>
          <w:tcPr>
            <w:tcW w:w="3260" w:type="dxa"/>
            <w:tcBorders>
              <w:top w:val="single" w:sz="4" w:space="0" w:color="9F2241"/>
              <w:left w:val="nil"/>
              <w:bottom w:val="single" w:sz="4" w:space="0" w:color="9F2241"/>
              <w:right w:val="nil"/>
            </w:tcBorders>
            <w:tcMar>
              <w:left w:w="57" w:type="dxa"/>
              <w:right w:w="57" w:type="dxa"/>
            </w:tcMar>
          </w:tcPr>
          <w:p w14:paraId="3389B827" w14:textId="355A9430" w:rsidR="00550D1E" w:rsidRPr="00662906" w:rsidRDefault="00550D1E" w:rsidP="007E6C89">
            <w:pPr>
              <w:pStyle w:val="ListParagraph"/>
              <w:numPr>
                <w:ilvl w:val="0"/>
                <w:numId w:val="96"/>
              </w:numPr>
              <w:spacing w:before="40" w:after="40"/>
              <w:ind w:left="367"/>
              <w:jc w:val="center"/>
              <w:rPr>
                <w:rFonts w:eastAsia="Arial" w:cs="Arial"/>
                <w:color w:val="394A58"/>
                <w:sz w:val="16"/>
                <w:szCs w:val="16"/>
              </w:rPr>
            </w:pPr>
            <w:r w:rsidRPr="00662906">
              <w:rPr>
                <w:rFonts w:eastAsia="Arial" w:cs="Arial"/>
                <w:color w:val="394A58"/>
                <w:sz w:val="16"/>
                <w:szCs w:val="16"/>
              </w:rPr>
              <w:t>Determine whether new entities are required or if mandates for existing authorities/regulators can be extended</w:t>
            </w:r>
          </w:p>
          <w:p w14:paraId="456A6DD5" w14:textId="1EAB1CCA" w:rsidR="00550D1E" w:rsidRPr="00662906" w:rsidRDefault="00550D1E" w:rsidP="007E6C89">
            <w:pPr>
              <w:pStyle w:val="ListParagraph"/>
              <w:numPr>
                <w:ilvl w:val="0"/>
                <w:numId w:val="96"/>
              </w:numPr>
              <w:spacing w:before="40" w:after="40"/>
              <w:ind w:left="367"/>
              <w:jc w:val="center"/>
              <w:rPr>
                <w:rFonts w:eastAsia="Arial" w:cs="Arial"/>
                <w:color w:val="394A58"/>
                <w:sz w:val="16"/>
                <w:szCs w:val="16"/>
              </w:rPr>
            </w:pPr>
            <w:r w:rsidRPr="00662906">
              <w:rPr>
                <w:rFonts w:eastAsia="Arial" w:cs="Arial"/>
                <w:color w:val="394A58"/>
                <w:sz w:val="16"/>
                <w:szCs w:val="16"/>
              </w:rPr>
              <w:t>Draft compliance guidelines clarifying institutional roles and responsibilities</w:t>
            </w:r>
          </w:p>
          <w:p w14:paraId="5E582CF1" w14:textId="5A3B1C7E" w:rsidR="00550D1E" w:rsidRPr="00662906" w:rsidRDefault="00550D1E" w:rsidP="007E6C89">
            <w:pPr>
              <w:pStyle w:val="ListParagraph"/>
              <w:numPr>
                <w:ilvl w:val="0"/>
                <w:numId w:val="96"/>
              </w:numPr>
              <w:spacing w:before="40" w:after="40"/>
              <w:ind w:left="367"/>
              <w:jc w:val="center"/>
              <w:rPr>
                <w:rFonts w:eastAsia="Arial" w:cs="Arial"/>
                <w:color w:val="394A58"/>
                <w:sz w:val="16"/>
                <w:szCs w:val="16"/>
              </w:rPr>
            </w:pPr>
            <w:r w:rsidRPr="00662906">
              <w:rPr>
                <w:rFonts w:eastAsia="Arial" w:cs="Arial"/>
                <w:color w:val="394A58"/>
                <w:sz w:val="16"/>
                <w:szCs w:val="16"/>
              </w:rPr>
              <w:t>Deliver training sessions for compliance officers and relevant professionals</w:t>
            </w:r>
          </w:p>
        </w:tc>
        <w:tc>
          <w:tcPr>
            <w:tcW w:w="1276" w:type="dxa"/>
            <w:shd w:val="clear" w:color="auto" w:fill="FFFFFF"/>
            <w:tcMar>
              <w:left w:w="57" w:type="dxa"/>
              <w:right w:w="57" w:type="dxa"/>
            </w:tcMar>
          </w:tcPr>
          <w:p w14:paraId="77C10632" w14:textId="0371680B"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4317948A" w14:textId="30B10DD8"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7AAA4D04" w14:textId="120F28F8"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Ministries in charge of Buildings and Public Works, AFREC</w:t>
            </w:r>
            <w:r w:rsidR="003A133C" w:rsidRPr="00662906">
              <w:rPr>
                <w:rFonts w:cs="Arial"/>
                <w:sz w:val="16"/>
                <w:szCs w:val="16"/>
              </w:rPr>
              <w:t xml:space="preserve"> UN-Habitat, Global Alliance for Buildings and Construction, UNEP/U4E</w:t>
            </w:r>
          </w:p>
        </w:tc>
        <w:tc>
          <w:tcPr>
            <w:tcW w:w="851" w:type="dxa"/>
            <w:shd w:val="clear" w:color="auto" w:fill="FFFFFF"/>
            <w:tcMar>
              <w:left w:w="57" w:type="dxa"/>
              <w:right w:w="57" w:type="dxa"/>
            </w:tcMar>
          </w:tcPr>
          <w:p w14:paraId="72599F51" w14:textId="50D4CA86"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5C2720ED" w14:textId="2D404146"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Compliance guidelines</w:t>
            </w:r>
          </w:p>
          <w:p w14:paraId="64270E32" w14:textId="7A76BE37"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Established or expanded compliance bodies</w:t>
            </w:r>
          </w:p>
          <w:p w14:paraId="7A5C2B17" w14:textId="67ACDA83" w:rsidR="00550D1E" w:rsidRPr="00662906" w:rsidRDefault="00550D1E"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enforcement staff</w:t>
            </w:r>
          </w:p>
        </w:tc>
        <w:tc>
          <w:tcPr>
            <w:tcW w:w="1701" w:type="dxa"/>
            <w:shd w:val="clear" w:color="auto" w:fill="FFFFFF"/>
          </w:tcPr>
          <w:p w14:paraId="3CEE18FA" w14:textId="0557261E" w:rsidR="00550D1E" w:rsidRPr="00662906" w:rsidRDefault="00550D1E" w:rsidP="007E6C89">
            <w:pPr>
              <w:spacing w:before="40" w:after="40"/>
              <w:jc w:val="center"/>
              <w:rPr>
                <w:rFonts w:eastAsia="Arial" w:cs="Arial"/>
                <w:color w:val="53575A"/>
                <w:sz w:val="16"/>
                <w:szCs w:val="16"/>
              </w:rPr>
            </w:pPr>
            <w:r w:rsidRPr="00662906">
              <w:rPr>
                <w:rFonts w:cs="Arial"/>
                <w:sz w:val="16"/>
                <w:szCs w:val="16"/>
              </w:rPr>
              <w:t>A stable institutional framework ensuring consistent enforcement of EE standards and certification protocols, ultimately reinforcing market confidence in energy-efficient construction</w:t>
            </w:r>
          </w:p>
        </w:tc>
        <w:tc>
          <w:tcPr>
            <w:tcW w:w="1843" w:type="dxa"/>
            <w:shd w:val="clear" w:color="auto" w:fill="FFFFFF"/>
          </w:tcPr>
          <w:p w14:paraId="19C1E265" w14:textId="1B0267E5"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Compliance bodies</w:t>
            </w:r>
            <w:r w:rsidR="007203BD" w:rsidRPr="00662906">
              <w:rPr>
                <w:rFonts w:eastAsia="Arial" w:cs="Arial"/>
                <w:color w:val="53575A"/>
                <w:sz w:val="16"/>
                <w:szCs w:val="16"/>
              </w:rPr>
              <w:t xml:space="preserve"> operationalized</w:t>
            </w:r>
            <w:r w:rsidR="00CF0CA3" w:rsidRPr="00662906">
              <w:rPr>
                <w:rFonts w:eastAsia="Arial" w:cs="Arial"/>
                <w:color w:val="53575A"/>
                <w:sz w:val="16"/>
                <w:szCs w:val="16"/>
              </w:rPr>
              <w:t xml:space="preserve"> </w:t>
            </w:r>
            <w:r w:rsidRPr="00662906">
              <w:rPr>
                <w:rFonts w:eastAsia="Arial" w:cs="Arial"/>
                <w:color w:val="53575A"/>
                <w:sz w:val="16"/>
                <w:szCs w:val="16"/>
              </w:rPr>
              <w:t>(Yes/No)</w:t>
            </w:r>
          </w:p>
          <w:p w14:paraId="3E16F9E9" w14:textId="141838B2"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Guidelines </w:t>
            </w:r>
            <w:r w:rsidR="003A133C" w:rsidRPr="00662906">
              <w:rPr>
                <w:rFonts w:eastAsia="Arial" w:cs="Arial"/>
                <w:color w:val="53575A"/>
                <w:sz w:val="16"/>
                <w:szCs w:val="16"/>
              </w:rPr>
              <w:t>established in AU-MS</w:t>
            </w:r>
            <w:r w:rsidR="007203BD" w:rsidRPr="00662906">
              <w:rPr>
                <w:rFonts w:eastAsia="Arial" w:cs="Arial"/>
                <w:color w:val="53575A"/>
                <w:sz w:val="16"/>
                <w:szCs w:val="16"/>
              </w:rPr>
              <w:t xml:space="preserve"> </w:t>
            </w:r>
            <w:r w:rsidRPr="00662906">
              <w:rPr>
                <w:rFonts w:eastAsia="Arial" w:cs="Arial"/>
                <w:color w:val="53575A"/>
                <w:sz w:val="16"/>
                <w:szCs w:val="16"/>
              </w:rPr>
              <w:t>(Yes/No)</w:t>
            </w:r>
          </w:p>
          <w:p w14:paraId="5478233F" w14:textId="4EC240A0" w:rsidR="00550D1E" w:rsidRPr="00662906" w:rsidRDefault="00550D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trained compliance officers</w:t>
            </w:r>
          </w:p>
        </w:tc>
      </w:tr>
    </w:tbl>
    <w:p w14:paraId="3CBA9F2E" w14:textId="4309D925" w:rsidR="0204753B" w:rsidRPr="00662906" w:rsidRDefault="00BF1B2D" w:rsidP="0204753B">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bookmarkStart w:id="632" w:name="_Toc171955595"/>
    </w:p>
    <w:p w14:paraId="611C0388" w14:textId="77777777" w:rsidR="00EA52FB" w:rsidRPr="00662906" w:rsidRDefault="00EA52FB" w:rsidP="000F5509">
      <w:pPr>
        <w:pStyle w:val="Caption"/>
      </w:pPr>
      <w:bookmarkStart w:id="633" w:name="_Toc176430324"/>
    </w:p>
    <w:p w14:paraId="3CF86764" w14:textId="77777777" w:rsidR="00EA52FB" w:rsidRPr="00662906" w:rsidRDefault="00EA52FB" w:rsidP="000F5509">
      <w:pPr>
        <w:pStyle w:val="Caption"/>
      </w:pPr>
    </w:p>
    <w:p w14:paraId="2EFCE357" w14:textId="77777777" w:rsidR="00EA52FB" w:rsidRPr="00662906" w:rsidRDefault="00EA52FB" w:rsidP="000F5509">
      <w:pPr>
        <w:pStyle w:val="Caption"/>
      </w:pPr>
    </w:p>
    <w:p w14:paraId="26361DFC" w14:textId="77777777" w:rsidR="00EA52FB" w:rsidRPr="00662906" w:rsidRDefault="00EA52FB" w:rsidP="000F5509">
      <w:pPr>
        <w:pStyle w:val="Caption"/>
      </w:pPr>
    </w:p>
    <w:p w14:paraId="275A6E63" w14:textId="128A4FCE" w:rsidR="1760A01F" w:rsidRPr="00662906" w:rsidRDefault="568D03AD" w:rsidP="000F5509">
      <w:pPr>
        <w:pStyle w:val="Caption"/>
      </w:pPr>
      <w:bookmarkStart w:id="634" w:name="_Toc197433911"/>
      <w:r w:rsidRPr="00662906">
        <w:lastRenderedPageBreak/>
        <w:t xml:space="preserve">Table </w:t>
      </w:r>
      <w:fldSimple w:instr=" SEQ Table \* ARABIC ">
        <w:r w:rsidR="00610F61">
          <w:rPr>
            <w:noProof/>
          </w:rPr>
          <w:t>23</w:t>
        </w:r>
      </w:fldSimple>
      <w:r w:rsidR="000A0BF3" w:rsidRPr="00662906">
        <w:t xml:space="preserve">: </w:t>
      </w:r>
      <w:r w:rsidR="0FF7CE1E" w:rsidRPr="00662906">
        <w:t>Action Plan for Strategic Intervention 3: Boost capacity for delivery of energy-efficient building</w:t>
      </w:r>
      <w:bookmarkEnd w:id="632"/>
      <w:bookmarkEnd w:id="633"/>
      <w:bookmarkEnd w:id="634"/>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7005CE" w:rsidRPr="00662906" w14:paraId="42C82D88" w14:textId="77777777" w:rsidTr="00E8722A">
        <w:trPr>
          <w:trHeight w:val="360"/>
        </w:trPr>
        <w:tc>
          <w:tcPr>
            <w:tcW w:w="14456" w:type="dxa"/>
            <w:gridSpan w:val="10"/>
            <w:shd w:val="clear" w:color="auto" w:fill="B4A269"/>
          </w:tcPr>
          <w:p w14:paraId="4AEEB5FB" w14:textId="698DEC39" w:rsidR="007005CE" w:rsidRPr="00662906" w:rsidRDefault="007005CE" w:rsidP="00E8722A">
            <w:pPr>
              <w:spacing w:before="60" w:after="60"/>
              <w:ind w:left="-57" w:right="-57"/>
              <w:rPr>
                <w:rFonts w:eastAsia="Arial" w:cs="Arial"/>
                <w:b/>
                <w:color w:val="FFFFFF"/>
                <w:sz w:val="16"/>
                <w:szCs w:val="16"/>
              </w:rPr>
            </w:pPr>
            <w:r w:rsidRPr="00662906">
              <w:rPr>
                <w:rFonts w:eastAsia="Arial" w:cs="Arial"/>
                <w:b/>
                <w:color w:val="FFFFFF"/>
                <w:sz w:val="16"/>
                <w:szCs w:val="16"/>
              </w:rPr>
              <w:t xml:space="preserve">Pathway to Change: </w:t>
            </w:r>
            <w:r w:rsidRPr="00662906">
              <w:rPr>
                <w:rFonts w:cs="Arial"/>
                <w:sz w:val="16"/>
                <w:szCs w:val="16"/>
              </w:rPr>
              <w:t xml:space="preserve">  </w:t>
            </w:r>
            <w:r w:rsidRPr="00662906">
              <w:rPr>
                <w:rFonts w:eastAsia="Arial" w:cs="Arial"/>
                <w:bCs/>
                <w:color w:val="FFFFFF"/>
                <w:sz w:val="16"/>
                <w:szCs w:val="16"/>
              </w:rPr>
              <w:t>While building codes and certification systems provide the foundation for energy-efficient construction, their success depends on the capacity of implementers and practitioners. This intervention seeks to enhance technical expertise</w:t>
            </w:r>
            <w:r w:rsidR="00800018" w:rsidRPr="00662906">
              <w:rPr>
                <w:rFonts w:eastAsia="Arial" w:cs="Arial"/>
                <w:bCs/>
                <w:color w:val="FFFFFF"/>
                <w:sz w:val="16"/>
                <w:szCs w:val="16"/>
              </w:rPr>
              <w:t xml:space="preserve"> and requisite access to financing and models to ensure</w:t>
            </w:r>
            <w:r w:rsidRPr="00662906">
              <w:rPr>
                <w:rFonts w:eastAsia="Arial" w:cs="Arial"/>
                <w:bCs/>
                <w:color w:val="FFFFFF"/>
                <w:sz w:val="16"/>
                <w:szCs w:val="16"/>
              </w:rPr>
              <w:t xml:space="preserve"> sustainab</w:t>
            </w:r>
            <w:r w:rsidR="00800018" w:rsidRPr="00662906">
              <w:rPr>
                <w:rFonts w:eastAsia="Arial" w:cs="Arial"/>
                <w:bCs/>
                <w:color w:val="FFFFFF"/>
                <w:sz w:val="16"/>
                <w:szCs w:val="16"/>
              </w:rPr>
              <w:t xml:space="preserve">ility of EE </w:t>
            </w:r>
            <w:r w:rsidRPr="00662906">
              <w:rPr>
                <w:rFonts w:eastAsia="Arial" w:cs="Arial"/>
                <w:bCs/>
                <w:color w:val="FFFFFF"/>
                <w:sz w:val="16"/>
                <w:szCs w:val="16"/>
              </w:rPr>
              <w:t>practices</w:t>
            </w:r>
            <w:r w:rsidR="00800018" w:rsidRPr="00662906">
              <w:rPr>
                <w:rFonts w:eastAsia="Arial" w:cs="Arial"/>
                <w:bCs/>
                <w:color w:val="FFFFFF"/>
                <w:sz w:val="16"/>
                <w:szCs w:val="16"/>
              </w:rPr>
              <w:t xml:space="preserve"> in the building sector</w:t>
            </w:r>
            <w:r w:rsidRPr="00662906">
              <w:rPr>
                <w:rFonts w:eastAsia="Arial" w:cs="Arial"/>
                <w:bCs/>
                <w:color w:val="FFFFFF"/>
                <w:sz w:val="16"/>
                <w:szCs w:val="16"/>
              </w:rPr>
              <w:t>. By fostering a skilled workforce and creating enabling conditions, the pathway ensures the long-term viability of energy-efficient building practices, contributing to decarbonization and resilience in the built environment.</w:t>
            </w:r>
          </w:p>
        </w:tc>
      </w:tr>
      <w:tr w:rsidR="009C6169" w:rsidRPr="00662906" w14:paraId="54FB8D4D" w14:textId="77777777" w:rsidTr="00E8722A">
        <w:trPr>
          <w:trHeight w:val="699"/>
        </w:trPr>
        <w:tc>
          <w:tcPr>
            <w:tcW w:w="1415" w:type="dxa"/>
            <w:gridSpan w:val="2"/>
            <w:shd w:val="clear" w:color="auto" w:fill="B4A269"/>
            <w:tcMar>
              <w:left w:w="57" w:type="dxa"/>
              <w:right w:w="57" w:type="dxa"/>
            </w:tcMar>
            <w:vAlign w:val="center"/>
          </w:tcPr>
          <w:p w14:paraId="1487A1F6"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325D0EE5" w14:textId="77777777" w:rsidR="007005CE" w:rsidRPr="00662906" w:rsidRDefault="007005CE"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37112755"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281EADF0"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3C03A3A8"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72AA4B34"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0A140EAB"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3E836481"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51B36D0C" w14:textId="77777777" w:rsidR="007005CE" w:rsidRPr="00662906" w:rsidRDefault="007005CE"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9C6169" w:rsidRPr="00662906" w14:paraId="72997E46" w14:textId="77777777" w:rsidTr="007E6C89">
        <w:trPr>
          <w:trHeight w:val="1413"/>
        </w:trPr>
        <w:tc>
          <w:tcPr>
            <w:tcW w:w="167" w:type="dxa"/>
            <w:shd w:val="clear" w:color="auto" w:fill="FFFFFF"/>
            <w:tcMar>
              <w:left w:w="57" w:type="dxa"/>
              <w:right w:w="57" w:type="dxa"/>
            </w:tcMar>
          </w:tcPr>
          <w:p w14:paraId="0E1385CE" w14:textId="77777777" w:rsidR="009C6169" w:rsidRPr="00662906" w:rsidRDefault="009C6169"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1E00DE85" w14:textId="3A55CFD8"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Support ESCOs</w:t>
            </w:r>
          </w:p>
        </w:tc>
        <w:tc>
          <w:tcPr>
            <w:tcW w:w="3260" w:type="dxa"/>
            <w:tcBorders>
              <w:bottom w:val="single" w:sz="2" w:space="0" w:color="9F2241"/>
            </w:tcBorders>
            <w:shd w:val="clear" w:color="auto" w:fill="FFFFFF"/>
            <w:tcMar>
              <w:left w:w="57" w:type="dxa"/>
              <w:right w:w="57" w:type="dxa"/>
            </w:tcMar>
          </w:tcPr>
          <w:p w14:paraId="26BF3C1F" w14:textId="2CAA240A" w:rsidR="009C6169" w:rsidRPr="00662906" w:rsidRDefault="009C6169" w:rsidP="007E6C89">
            <w:pPr>
              <w:pStyle w:val="ListParagraph"/>
              <w:numPr>
                <w:ilvl w:val="0"/>
                <w:numId w:val="97"/>
              </w:numPr>
              <w:spacing w:before="0" w:after="0"/>
              <w:ind w:left="367"/>
              <w:jc w:val="center"/>
              <w:rPr>
                <w:rFonts w:cs="Arial"/>
                <w:sz w:val="16"/>
                <w:szCs w:val="16"/>
              </w:rPr>
            </w:pPr>
            <w:r w:rsidRPr="00662906">
              <w:rPr>
                <w:rFonts w:cs="Arial"/>
                <w:sz w:val="16"/>
                <w:szCs w:val="16"/>
              </w:rPr>
              <w:t>Develop and deliver structured startup courses for potential ESCO founders</w:t>
            </w:r>
          </w:p>
          <w:p w14:paraId="11724303" w14:textId="30DE0326" w:rsidR="009C6169" w:rsidRPr="00662906" w:rsidRDefault="009C6169" w:rsidP="007E6C89">
            <w:pPr>
              <w:pStyle w:val="ListParagraph"/>
              <w:numPr>
                <w:ilvl w:val="0"/>
                <w:numId w:val="97"/>
              </w:numPr>
              <w:spacing w:before="0" w:after="0"/>
              <w:ind w:left="367"/>
              <w:jc w:val="center"/>
              <w:rPr>
                <w:rFonts w:cs="Arial"/>
                <w:sz w:val="16"/>
                <w:szCs w:val="16"/>
              </w:rPr>
            </w:pPr>
            <w:r w:rsidRPr="00662906">
              <w:rPr>
                <w:rFonts w:cs="Arial"/>
                <w:sz w:val="16"/>
                <w:szCs w:val="16"/>
              </w:rPr>
              <w:t>Coordinate with financial institutions to design standardized ESCO contracts and performance-based contracting frameworks</w:t>
            </w:r>
          </w:p>
          <w:p w14:paraId="67818415" w14:textId="212FBEA6" w:rsidR="009C6169" w:rsidRPr="00662906" w:rsidRDefault="009C6169" w:rsidP="007E6C89">
            <w:pPr>
              <w:pStyle w:val="ListParagraph"/>
              <w:numPr>
                <w:ilvl w:val="0"/>
                <w:numId w:val="97"/>
              </w:numPr>
              <w:spacing w:before="0" w:after="0"/>
              <w:ind w:left="367"/>
              <w:jc w:val="center"/>
              <w:rPr>
                <w:rFonts w:cs="Arial"/>
                <w:sz w:val="16"/>
                <w:szCs w:val="16"/>
              </w:rPr>
            </w:pPr>
            <w:r w:rsidRPr="00662906">
              <w:rPr>
                <w:rFonts w:cs="Arial"/>
                <w:sz w:val="16"/>
                <w:szCs w:val="16"/>
              </w:rPr>
              <w:t>Offer mentorship programs pairing new ESCOs with established energy firms</w:t>
            </w:r>
          </w:p>
          <w:p w14:paraId="6EB50A18" w14:textId="4801BEEF" w:rsidR="009C6169" w:rsidRPr="00662906" w:rsidRDefault="009C6169" w:rsidP="007E6C89">
            <w:pPr>
              <w:pStyle w:val="ListParagraph"/>
              <w:numPr>
                <w:ilvl w:val="0"/>
                <w:numId w:val="97"/>
              </w:numPr>
              <w:spacing w:before="0" w:after="0"/>
              <w:ind w:left="367"/>
              <w:jc w:val="center"/>
              <w:rPr>
                <w:rFonts w:cs="Arial"/>
                <w:sz w:val="16"/>
                <w:szCs w:val="16"/>
              </w:rPr>
            </w:pPr>
            <w:r w:rsidRPr="00662906">
              <w:rPr>
                <w:rFonts w:cs="Arial"/>
                <w:sz w:val="16"/>
                <w:szCs w:val="16"/>
              </w:rPr>
              <w:t>Host networking events to connect ESCOs with building owners and developers</w:t>
            </w:r>
          </w:p>
          <w:p w14:paraId="644D3B65" w14:textId="6F4F4E28" w:rsidR="009C6169" w:rsidRPr="00662906" w:rsidRDefault="009C6169" w:rsidP="007E6C89">
            <w:pPr>
              <w:pStyle w:val="ListParagraph"/>
              <w:numPr>
                <w:ilvl w:val="0"/>
                <w:numId w:val="97"/>
              </w:numPr>
              <w:spacing w:before="0" w:after="0"/>
              <w:ind w:left="367"/>
              <w:jc w:val="center"/>
              <w:rPr>
                <w:rFonts w:cs="Arial"/>
                <w:sz w:val="16"/>
                <w:szCs w:val="16"/>
              </w:rPr>
            </w:pPr>
            <w:r w:rsidRPr="00662906">
              <w:rPr>
                <w:rFonts w:cs="Arial"/>
                <w:sz w:val="16"/>
                <w:szCs w:val="16"/>
              </w:rPr>
              <w:t>Facilitate policy dialogue on legal/regulatory measures that enable ESCO growth, including risk mitigation tools</w:t>
            </w:r>
          </w:p>
        </w:tc>
        <w:tc>
          <w:tcPr>
            <w:tcW w:w="1276" w:type="dxa"/>
            <w:shd w:val="clear" w:color="auto" w:fill="FFFFFF"/>
            <w:tcMar>
              <w:left w:w="57" w:type="dxa"/>
              <w:right w:w="57" w:type="dxa"/>
            </w:tcMar>
          </w:tcPr>
          <w:p w14:paraId="01EC6C0F" w14:textId="30D0F534"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5FA312C" w14:textId="5B5BA7E7"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4A3D47E4" w14:textId="664524DA"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Ministries in charge of Buildings and Public Works, Standards Regulators, AFREC, UN-Habitat, Global Alliance for Buildings and Construction, UNEP</w:t>
            </w:r>
          </w:p>
        </w:tc>
        <w:tc>
          <w:tcPr>
            <w:tcW w:w="851" w:type="dxa"/>
            <w:shd w:val="clear" w:color="auto" w:fill="FFFFFF"/>
            <w:tcMar>
              <w:left w:w="57" w:type="dxa"/>
              <w:right w:w="57" w:type="dxa"/>
            </w:tcMar>
          </w:tcPr>
          <w:p w14:paraId="2BFBDDAE" w14:textId="05A3BA88"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22C37A8F" w14:textId="6080DCC7"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Comprehensive ESCO startup training modules</w:t>
            </w:r>
          </w:p>
          <w:p w14:paraId="404185DC" w14:textId="1A770AB8"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Standard ESCO contract templates</w:t>
            </w:r>
          </w:p>
          <w:p w14:paraId="2CB90E75" w14:textId="4248A1FE"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Policy </w:t>
            </w:r>
            <w:r w:rsidR="00A703A9" w:rsidRPr="00662906">
              <w:rPr>
                <w:rFonts w:eastAsia="Arial" w:cs="Arial"/>
                <w:color w:val="53575A"/>
                <w:sz w:val="16"/>
                <w:szCs w:val="16"/>
              </w:rPr>
              <w:t>R</w:t>
            </w:r>
            <w:r w:rsidRPr="00662906">
              <w:rPr>
                <w:rFonts w:eastAsia="Arial" w:cs="Arial"/>
                <w:color w:val="53575A"/>
                <w:sz w:val="16"/>
                <w:szCs w:val="16"/>
              </w:rPr>
              <w:t>ecommendations for ESCO-friendly regulations</w:t>
            </w:r>
          </w:p>
          <w:p w14:paraId="030577DD" w14:textId="59DC8F9C"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Database of </w:t>
            </w:r>
            <w:r w:rsidR="00800018" w:rsidRPr="00662906">
              <w:rPr>
                <w:rFonts w:eastAsia="Arial" w:cs="Arial"/>
                <w:color w:val="53575A"/>
                <w:sz w:val="16"/>
                <w:szCs w:val="16"/>
              </w:rPr>
              <w:t xml:space="preserve">ESCOs and </w:t>
            </w:r>
            <w:r w:rsidRPr="00662906">
              <w:rPr>
                <w:rFonts w:eastAsia="Arial" w:cs="Arial"/>
                <w:color w:val="53575A"/>
                <w:sz w:val="16"/>
                <w:szCs w:val="16"/>
              </w:rPr>
              <w:t>potential partners/investors</w:t>
            </w:r>
          </w:p>
        </w:tc>
        <w:tc>
          <w:tcPr>
            <w:tcW w:w="1701" w:type="dxa"/>
            <w:shd w:val="clear" w:color="auto" w:fill="FFFFFF"/>
          </w:tcPr>
          <w:p w14:paraId="03D3F84F" w14:textId="5554B941"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Enhanced ecosystem for ESCO development and service delivery, driving energy-efficiency improvements in buildings through expert, performance-based contracting</w:t>
            </w:r>
          </w:p>
        </w:tc>
        <w:tc>
          <w:tcPr>
            <w:tcW w:w="1843" w:type="dxa"/>
            <w:shd w:val="clear" w:color="auto" w:fill="FFFFFF"/>
          </w:tcPr>
          <w:p w14:paraId="40765AEE" w14:textId="64935654"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Existence of standardized ESCO contracts (Yes/No)</w:t>
            </w:r>
          </w:p>
          <w:p w14:paraId="178B36C1" w14:textId="25A2A283"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Policy recommendations submitted (Yes/No)</w:t>
            </w:r>
          </w:p>
          <w:p w14:paraId="3B13686A" w14:textId="6B414551"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ESCOs formally registered</w:t>
            </w:r>
          </w:p>
        </w:tc>
      </w:tr>
      <w:tr w:rsidR="009C6169" w:rsidRPr="00662906" w14:paraId="4BC749C3" w14:textId="77777777" w:rsidTr="007E6C89">
        <w:trPr>
          <w:trHeight w:val="300"/>
        </w:trPr>
        <w:tc>
          <w:tcPr>
            <w:tcW w:w="167" w:type="dxa"/>
            <w:shd w:val="clear" w:color="auto" w:fill="FFFFFF"/>
            <w:tcMar>
              <w:left w:w="57" w:type="dxa"/>
              <w:right w:w="57" w:type="dxa"/>
            </w:tcMar>
          </w:tcPr>
          <w:p w14:paraId="058E467C" w14:textId="77777777" w:rsidR="009C6169" w:rsidRPr="00662906" w:rsidRDefault="009C6169"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3E32AAAF" w14:textId="4382F31B"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Capacitate local manufacturers of building materials and energy equipment/appliances</w:t>
            </w:r>
          </w:p>
        </w:tc>
        <w:tc>
          <w:tcPr>
            <w:tcW w:w="3260" w:type="dxa"/>
            <w:tcBorders>
              <w:bottom w:val="single" w:sz="4" w:space="0" w:color="9F2241"/>
            </w:tcBorders>
            <w:shd w:val="clear" w:color="auto" w:fill="FFFFFF"/>
            <w:tcMar>
              <w:left w:w="57" w:type="dxa"/>
              <w:right w:w="57" w:type="dxa"/>
            </w:tcMar>
          </w:tcPr>
          <w:p w14:paraId="25C23967" w14:textId="28B4809B" w:rsidR="009C6169" w:rsidRPr="00662906" w:rsidRDefault="009C6169" w:rsidP="007E6C89">
            <w:pPr>
              <w:pStyle w:val="ListParagraph"/>
              <w:numPr>
                <w:ilvl w:val="0"/>
                <w:numId w:val="98"/>
              </w:numPr>
              <w:spacing w:before="40" w:after="40"/>
              <w:ind w:left="367"/>
              <w:jc w:val="center"/>
              <w:rPr>
                <w:rFonts w:eastAsia="Arial" w:cs="Arial"/>
                <w:color w:val="394A58"/>
                <w:sz w:val="16"/>
                <w:szCs w:val="16"/>
              </w:rPr>
            </w:pPr>
            <w:r w:rsidRPr="00662906">
              <w:rPr>
                <w:rFonts w:eastAsia="Arial" w:cs="Arial"/>
                <w:color w:val="394A58"/>
                <w:sz w:val="16"/>
                <w:szCs w:val="16"/>
              </w:rPr>
              <w:t>Conduct awareness campaigns on EE standards and certifications for building materials/equipment</w:t>
            </w:r>
          </w:p>
          <w:p w14:paraId="2720EB01" w14:textId="458A7C55" w:rsidR="009C6169" w:rsidRPr="00662906" w:rsidRDefault="009C6169" w:rsidP="007E6C89">
            <w:pPr>
              <w:pStyle w:val="ListParagraph"/>
              <w:numPr>
                <w:ilvl w:val="0"/>
                <w:numId w:val="98"/>
              </w:numPr>
              <w:spacing w:before="40" w:after="40"/>
              <w:ind w:left="367"/>
              <w:jc w:val="center"/>
              <w:rPr>
                <w:rFonts w:eastAsia="Arial" w:cs="Arial"/>
                <w:color w:val="394A58"/>
                <w:sz w:val="16"/>
                <w:szCs w:val="16"/>
              </w:rPr>
            </w:pPr>
            <w:r w:rsidRPr="00662906">
              <w:rPr>
                <w:rFonts w:eastAsia="Arial" w:cs="Arial"/>
                <w:color w:val="394A58"/>
                <w:sz w:val="16"/>
                <w:szCs w:val="16"/>
              </w:rPr>
              <w:t>Organize technical workshops on modern manufacturing processes (e.g., low-carbon cement, insulat</w:t>
            </w:r>
            <w:r w:rsidR="00BA0808" w:rsidRPr="00662906">
              <w:rPr>
                <w:rFonts w:eastAsia="Arial" w:cs="Arial"/>
                <w:color w:val="394A58"/>
                <w:sz w:val="16"/>
                <w:szCs w:val="16"/>
              </w:rPr>
              <w:t>ion</w:t>
            </w:r>
            <w:r w:rsidRPr="00662906">
              <w:rPr>
                <w:rFonts w:eastAsia="Arial" w:cs="Arial"/>
                <w:color w:val="394A58"/>
                <w:sz w:val="16"/>
                <w:szCs w:val="16"/>
              </w:rPr>
              <w:t xml:space="preserve"> materials)</w:t>
            </w:r>
          </w:p>
          <w:p w14:paraId="34E43CE3" w14:textId="0913543C" w:rsidR="009C6169" w:rsidRPr="00662906" w:rsidRDefault="009C6169" w:rsidP="007E6C89">
            <w:pPr>
              <w:pStyle w:val="ListParagraph"/>
              <w:numPr>
                <w:ilvl w:val="0"/>
                <w:numId w:val="98"/>
              </w:numPr>
              <w:spacing w:before="40" w:after="40"/>
              <w:ind w:left="367"/>
              <w:jc w:val="center"/>
              <w:rPr>
                <w:rFonts w:eastAsia="Arial" w:cs="Arial"/>
                <w:color w:val="394A58"/>
                <w:sz w:val="16"/>
                <w:szCs w:val="16"/>
              </w:rPr>
            </w:pPr>
            <w:r w:rsidRPr="00662906">
              <w:rPr>
                <w:rFonts w:eastAsia="Arial" w:cs="Arial"/>
                <w:color w:val="394A58"/>
                <w:sz w:val="16"/>
                <w:szCs w:val="16"/>
              </w:rPr>
              <w:t>Provide guidance on accessing financing for technology upgrades</w:t>
            </w:r>
          </w:p>
          <w:p w14:paraId="5BA64FCB" w14:textId="40CCA5D8" w:rsidR="009C6169" w:rsidRPr="00662906" w:rsidRDefault="009C6169" w:rsidP="007E6C89">
            <w:pPr>
              <w:pStyle w:val="ListParagraph"/>
              <w:numPr>
                <w:ilvl w:val="0"/>
                <w:numId w:val="98"/>
              </w:numPr>
              <w:spacing w:before="40" w:after="40"/>
              <w:ind w:left="367"/>
              <w:jc w:val="center"/>
              <w:rPr>
                <w:rFonts w:eastAsia="Arial" w:cs="Arial"/>
                <w:color w:val="394A58"/>
                <w:sz w:val="16"/>
                <w:szCs w:val="16"/>
              </w:rPr>
            </w:pPr>
            <w:r w:rsidRPr="00662906">
              <w:rPr>
                <w:rFonts w:eastAsia="Arial" w:cs="Arial"/>
                <w:color w:val="394A58"/>
                <w:sz w:val="16"/>
                <w:szCs w:val="16"/>
              </w:rPr>
              <w:t>Establish partnerships with research institutions for product innovation</w:t>
            </w:r>
          </w:p>
        </w:tc>
        <w:tc>
          <w:tcPr>
            <w:tcW w:w="1276" w:type="dxa"/>
            <w:shd w:val="clear" w:color="auto" w:fill="FFFFFF"/>
            <w:tcMar>
              <w:left w:w="57" w:type="dxa"/>
              <w:right w:w="57" w:type="dxa"/>
            </w:tcMar>
          </w:tcPr>
          <w:p w14:paraId="16500BD8" w14:textId="7537A621"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17E322EE" w14:textId="72ED3F10"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7FBFC68B" w14:textId="12994B6A"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AFREC, Ministries in charge of Energy &amp; Buildings, Global Alliance for Buildings and Construction</w:t>
            </w:r>
          </w:p>
        </w:tc>
        <w:tc>
          <w:tcPr>
            <w:tcW w:w="851" w:type="dxa"/>
            <w:shd w:val="clear" w:color="auto" w:fill="FFFFFF"/>
            <w:tcMar>
              <w:left w:w="57" w:type="dxa"/>
              <w:right w:w="57" w:type="dxa"/>
            </w:tcMar>
          </w:tcPr>
          <w:p w14:paraId="7B30CAA3" w14:textId="1DEEEC10"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2F078D16" w14:textId="477C297B"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proceedings and training materials</w:t>
            </w:r>
          </w:p>
          <w:p w14:paraId="4FBC4A26" w14:textId="08A61197"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of improved manufacturing processes</w:t>
            </w:r>
          </w:p>
          <w:p w14:paraId="7A934AC5" w14:textId="7EC889A0"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Access-to-finance toolkits for manufacturers</w:t>
            </w:r>
          </w:p>
        </w:tc>
        <w:tc>
          <w:tcPr>
            <w:tcW w:w="1701" w:type="dxa"/>
            <w:shd w:val="clear" w:color="auto" w:fill="FFFFFF"/>
          </w:tcPr>
          <w:p w14:paraId="7FA86059" w14:textId="2E53C3D6"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Wider availability of cost-effective, locally produced EE building materials and appliances, reducing construction costs and boosting domestic industries</w:t>
            </w:r>
          </w:p>
        </w:tc>
        <w:tc>
          <w:tcPr>
            <w:tcW w:w="1843" w:type="dxa"/>
            <w:shd w:val="clear" w:color="auto" w:fill="FFFFFF"/>
          </w:tcPr>
          <w:p w14:paraId="2D94C04E" w14:textId="36EB3792"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manufacturers participating in workshops</w:t>
            </w:r>
          </w:p>
          <w:p w14:paraId="3EA233D9" w14:textId="5BFE7AFA"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Introduction of new EE products (Yes/No)</w:t>
            </w:r>
          </w:p>
          <w:p w14:paraId="62680651" w14:textId="4662E534"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Financing framework for manufacturers (Yes/No)</w:t>
            </w:r>
          </w:p>
        </w:tc>
      </w:tr>
      <w:tr w:rsidR="009C6169" w:rsidRPr="00662906" w14:paraId="0D4DEB05" w14:textId="77777777" w:rsidTr="007E6C89">
        <w:trPr>
          <w:trHeight w:val="300"/>
        </w:trPr>
        <w:tc>
          <w:tcPr>
            <w:tcW w:w="167" w:type="dxa"/>
            <w:shd w:val="clear" w:color="auto" w:fill="FFFFFF"/>
            <w:tcMar>
              <w:left w:w="57" w:type="dxa"/>
              <w:right w:w="57" w:type="dxa"/>
            </w:tcMar>
          </w:tcPr>
          <w:p w14:paraId="37658CBD" w14:textId="77777777" w:rsidR="009C6169" w:rsidRPr="00662906" w:rsidRDefault="009C6169"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4DD512C4" w14:textId="11B51CFE"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Create an accreditation system for building and energy professionals</w:t>
            </w:r>
          </w:p>
        </w:tc>
        <w:tc>
          <w:tcPr>
            <w:tcW w:w="3260" w:type="dxa"/>
            <w:tcBorders>
              <w:top w:val="single" w:sz="4" w:space="0" w:color="9F2241"/>
              <w:left w:val="nil"/>
              <w:bottom w:val="single" w:sz="4" w:space="0" w:color="9F2241"/>
              <w:right w:val="nil"/>
            </w:tcBorders>
            <w:tcMar>
              <w:left w:w="57" w:type="dxa"/>
              <w:right w:w="57" w:type="dxa"/>
            </w:tcMar>
          </w:tcPr>
          <w:p w14:paraId="19D83825" w14:textId="06A65D02" w:rsidR="009C6169" w:rsidRPr="00662906" w:rsidRDefault="009C6169" w:rsidP="007E6C89">
            <w:pPr>
              <w:pStyle w:val="ListParagraph"/>
              <w:numPr>
                <w:ilvl w:val="0"/>
                <w:numId w:val="99"/>
              </w:numPr>
              <w:spacing w:before="40" w:after="40"/>
              <w:ind w:left="367"/>
              <w:jc w:val="center"/>
              <w:rPr>
                <w:rFonts w:eastAsia="Arial" w:cs="Arial"/>
                <w:color w:val="394A58"/>
                <w:sz w:val="16"/>
                <w:szCs w:val="16"/>
              </w:rPr>
            </w:pPr>
            <w:r w:rsidRPr="00662906">
              <w:rPr>
                <w:rFonts w:eastAsia="Arial" w:cs="Arial"/>
                <w:color w:val="394A58"/>
                <w:sz w:val="16"/>
                <w:szCs w:val="16"/>
              </w:rPr>
              <w:t>Define core competencies and standards for accreditation (engineers, architects, auditors)</w:t>
            </w:r>
          </w:p>
          <w:p w14:paraId="16EEA32C" w14:textId="45932F34" w:rsidR="009C6169" w:rsidRPr="00662906" w:rsidRDefault="009C6169" w:rsidP="007E6C89">
            <w:pPr>
              <w:pStyle w:val="ListParagraph"/>
              <w:numPr>
                <w:ilvl w:val="0"/>
                <w:numId w:val="99"/>
              </w:numPr>
              <w:spacing w:before="40" w:after="40"/>
              <w:ind w:left="367"/>
              <w:jc w:val="center"/>
              <w:rPr>
                <w:rFonts w:eastAsia="Arial" w:cs="Arial"/>
                <w:color w:val="394A58"/>
                <w:sz w:val="16"/>
                <w:szCs w:val="16"/>
              </w:rPr>
            </w:pPr>
            <w:r w:rsidRPr="00662906">
              <w:rPr>
                <w:rFonts w:eastAsia="Arial" w:cs="Arial"/>
                <w:color w:val="394A58"/>
                <w:sz w:val="16"/>
                <w:szCs w:val="16"/>
              </w:rPr>
              <w:t>Develop training modules and exams to assess applicants</w:t>
            </w:r>
            <w:r w:rsidR="00A703A9" w:rsidRPr="00662906">
              <w:rPr>
                <w:rFonts w:eastAsia="Arial" w:cs="Arial"/>
                <w:color w:val="394A58"/>
                <w:sz w:val="16"/>
                <w:szCs w:val="16"/>
              </w:rPr>
              <w:t>’</w:t>
            </w:r>
            <w:r w:rsidRPr="00662906">
              <w:rPr>
                <w:rFonts w:eastAsia="Arial" w:cs="Arial"/>
                <w:color w:val="394A58"/>
                <w:sz w:val="16"/>
                <w:szCs w:val="16"/>
              </w:rPr>
              <w:t xml:space="preserve"> expertise</w:t>
            </w:r>
          </w:p>
          <w:p w14:paraId="5BF681E6" w14:textId="3A86BA94" w:rsidR="009C6169" w:rsidRPr="00662906" w:rsidRDefault="009C6169" w:rsidP="007E6C89">
            <w:pPr>
              <w:pStyle w:val="ListParagraph"/>
              <w:numPr>
                <w:ilvl w:val="0"/>
                <w:numId w:val="99"/>
              </w:numPr>
              <w:spacing w:before="40" w:after="40"/>
              <w:ind w:left="367"/>
              <w:jc w:val="center"/>
              <w:rPr>
                <w:rFonts w:eastAsia="Arial" w:cs="Arial"/>
                <w:color w:val="394A58"/>
                <w:sz w:val="16"/>
                <w:szCs w:val="16"/>
              </w:rPr>
            </w:pPr>
            <w:r w:rsidRPr="00662906">
              <w:rPr>
                <w:rFonts w:eastAsia="Arial" w:cs="Arial"/>
                <w:color w:val="394A58"/>
                <w:sz w:val="16"/>
                <w:szCs w:val="16"/>
              </w:rPr>
              <w:t>Partner with professional associations to run accreditation programs</w:t>
            </w:r>
          </w:p>
          <w:p w14:paraId="3DBF17C1" w14:textId="163510B7" w:rsidR="009C6169" w:rsidRPr="00662906" w:rsidRDefault="009C6169" w:rsidP="007E6C89">
            <w:pPr>
              <w:pStyle w:val="ListParagraph"/>
              <w:numPr>
                <w:ilvl w:val="0"/>
                <w:numId w:val="99"/>
              </w:numPr>
              <w:spacing w:before="40" w:after="40"/>
              <w:ind w:left="367"/>
              <w:jc w:val="center"/>
              <w:rPr>
                <w:rFonts w:eastAsia="Arial" w:cs="Arial"/>
                <w:color w:val="394A58"/>
                <w:sz w:val="16"/>
                <w:szCs w:val="16"/>
              </w:rPr>
            </w:pPr>
            <w:r w:rsidRPr="00662906">
              <w:rPr>
                <w:rFonts w:eastAsia="Arial" w:cs="Arial"/>
                <w:color w:val="394A58"/>
                <w:sz w:val="16"/>
                <w:szCs w:val="16"/>
              </w:rPr>
              <w:t>Set up a registry of accredited professionals across regions</w:t>
            </w:r>
          </w:p>
        </w:tc>
        <w:tc>
          <w:tcPr>
            <w:tcW w:w="1276" w:type="dxa"/>
            <w:shd w:val="clear" w:color="auto" w:fill="FFFFFF"/>
            <w:tcMar>
              <w:left w:w="57" w:type="dxa"/>
              <w:right w:w="57" w:type="dxa"/>
            </w:tcMar>
          </w:tcPr>
          <w:p w14:paraId="66FF19FB" w14:textId="71E2F162"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6394AE57" w14:textId="2A53390F"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Directorates in charge of Energy</w:t>
            </w:r>
          </w:p>
        </w:tc>
        <w:tc>
          <w:tcPr>
            <w:tcW w:w="1198" w:type="dxa"/>
            <w:shd w:val="clear" w:color="auto" w:fill="FFFFFF"/>
            <w:tcMar>
              <w:left w:w="57" w:type="dxa"/>
              <w:right w:w="57" w:type="dxa"/>
            </w:tcMar>
          </w:tcPr>
          <w:p w14:paraId="59F1189E" w14:textId="55C0C30C"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AFREC</w:t>
            </w:r>
          </w:p>
        </w:tc>
        <w:tc>
          <w:tcPr>
            <w:tcW w:w="851" w:type="dxa"/>
            <w:shd w:val="clear" w:color="auto" w:fill="FFFFFF"/>
            <w:tcMar>
              <w:left w:w="57" w:type="dxa"/>
              <w:right w:w="57" w:type="dxa"/>
            </w:tcMar>
          </w:tcPr>
          <w:p w14:paraId="114A5D83" w14:textId="5F0791F4"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192B894" w14:textId="47062938"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Accreditation scheme guidelines</w:t>
            </w:r>
          </w:p>
          <w:p w14:paraId="64BFCEAB" w14:textId="20975B09"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and examination materials</w:t>
            </w:r>
          </w:p>
          <w:p w14:paraId="5DBDB1C8" w14:textId="27D6928E"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Regional registry of accredited experts</w:t>
            </w:r>
          </w:p>
        </w:tc>
        <w:tc>
          <w:tcPr>
            <w:tcW w:w="1701" w:type="dxa"/>
            <w:shd w:val="clear" w:color="auto" w:fill="FFFFFF"/>
          </w:tcPr>
          <w:p w14:paraId="515A3B71" w14:textId="5E8CBEAF"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 recognized pool of qualified professionals able to implement and maintain energy-efficient building practices, fostering trust and consistency in project outcomes</w:t>
            </w:r>
          </w:p>
        </w:tc>
        <w:tc>
          <w:tcPr>
            <w:tcW w:w="1843" w:type="dxa"/>
            <w:shd w:val="clear" w:color="auto" w:fill="FFFFFF"/>
          </w:tcPr>
          <w:p w14:paraId="73744252" w14:textId="78BFBCB2"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Accreditation scheme launched (Yes/No)</w:t>
            </w:r>
          </w:p>
          <w:p w14:paraId="4E213288" w14:textId="651B2ACD"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professionals accredited</w:t>
            </w:r>
          </w:p>
          <w:p w14:paraId="0D68ECB7" w14:textId="491D2014"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Registry established (Yes/No)</w:t>
            </w:r>
          </w:p>
        </w:tc>
      </w:tr>
      <w:tr w:rsidR="009C6169" w:rsidRPr="00662906" w14:paraId="205F5CAC" w14:textId="77777777" w:rsidTr="007E6C89">
        <w:trPr>
          <w:trHeight w:val="300"/>
        </w:trPr>
        <w:tc>
          <w:tcPr>
            <w:tcW w:w="167" w:type="dxa"/>
            <w:shd w:val="clear" w:color="auto" w:fill="FFFFFF"/>
            <w:tcMar>
              <w:left w:w="57" w:type="dxa"/>
              <w:right w:w="57" w:type="dxa"/>
            </w:tcMar>
          </w:tcPr>
          <w:p w14:paraId="013DDDAF" w14:textId="77777777" w:rsidR="009C6169" w:rsidRPr="00662906" w:rsidRDefault="009C6169"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3D6E4543" w14:textId="6C25E901"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Create regional training programs and knowledge-sharing platforms</w:t>
            </w:r>
          </w:p>
        </w:tc>
        <w:tc>
          <w:tcPr>
            <w:tcW w:w="3260" w:type="dxa"/>
            <w:tcBorders>
              <w:top w:val="single" w:sz="4" w:space="0" w:color="9F2241"/>
              <w:left w:val="nil"/>
              <w:bottom w:val="single" w:sz="4" w:space="0" w:color="9F2241"/>
              <w:right w:val="nil"/>
            </w:tcBorders>
            <w:tcMar>
              <w:left w:w="57" w:type="dxa"/>
              <w:right w:w="57" w:type="dxa"/>
            </w:tcMar>
          </w:tcPr>
          <w:p w14:paraId="62F4C8E9" w14:textId="5DB08DB1" w:rsidR="009C6169" w:rsidRPr="00662906" w:rsidRDefault="009C6169" w:rsidP="007E6C89">
            <w:pPr>
              <w:pStyle w:val="ListParagraph"/>
              <w:numPr>
                <w:ilvl w:val="0"/>
                <w:numId w:val="100"/>
              </w:numPr>
              <w:spacing w:before="40" w:after="40"/>
              <w:ind w:left="367"/>
              <w:jc w:val="center"/>
              <w:rPr>
                <w:rFonts w:eastAsia="Arial" w:cs="Arial"/>
                <w:color w:val="394A58"/>
                <w:sz w:val="16"/>
                <w:szCs w:val="16"/>
              </w:rPr>
            </w:pPr>
            <w:r w:rsidRPr="00662906">
              <w:rPr>
                <w:rFonts w:eastAsia="Arial" w:cs="Arial"/>
                <w:color w:val="394A58"/>
                <w:sz w:val="16"/>
                <w:szCs w:val="16"/>
              </w:rPr>
              <w:t>Develop open-source curricula and training modules covering EE building techniques, materials, auditing, and policy</w:t>
            </w:r>
          </w:p>
          <w:p w14:paraId="63CC880E" w14:textId="5938958B" w:rsidR="009C6169" w:rsidRPr="00662906" w:rsidRDefault="009C6169" w:rsidP="007E6C89">
            <w:pPr>
              <w:pStyle w:val="ListParagraph"/>
              <w:numPr>
                <w:ilvl w:val="0"/>
                <w:numId w:val="100"/>
              </w:numPr>
              <w:spacing w:before="40" w:after="40"/>
              <w:ind w:left="367"/>
              <w:jc w:val="center"/>
              <w:rPr>
                <w:rFonts w:eastAsia="Arial" w:cs="Arial"/>
                <w:color w:val="394A58"/>
                <w:sz w:val="16"/>
                <w:szCs w:val="16"/>
              </w:rPr>
            </w:pPr>
            <w:r w:rsidRPr="00662906">
              <w:rPr>
                <w:rFonts w:eastAsia="Arial" w:cs="Arial"/>
                <w:color w:val="394A58"/>
                <w:sz w:val="16"/>
                <w:szCs w:val="16"/>
              </w:rPr>
              <w:t>Schedule periodic, multilingual webinars/workshops for practitioners</w:t>
            </w:r>
          </w:p>
          <w:p w14:paraId="388C7321" w14:textId="6ACDD1F5" w:rsidR="009C6169" w:rsidRPr="00662906" w:rsidRDefault="009C6169" w:rsidP="007E6C89">
            <w:pPr>
              <w:pStyle w:val="ListParagraph"/>
              <w:numPr>
                <w:ilvl w:val="0"/>
                <w:numId w:val="100"/>
              </w:numPr>
              <w:spacing w:before="40" w:after="40"/>
              <w:ind w:left="367"/>
              <w:jc w:val="center"/>
              <w:rPr>
                <w:rFonts w:eastAsia="Arial" w:cs="Arial"/>
                <w:color w:val="394A58"/>
                <w:sz w:val="16"/>
                <w:szCs w:val="16"/>
              </w:rPr>
            </w:pPr>
            <w:r w:rsidRPr="00662906">
              <w:rPr>
                <w:rFonts w:eastAsia="Arial" w:cs="Arial"/>
                <w:color w:val="394A58"/>
                <w:sz w:val="16"/>
                <w:szCs w:val="16"/>
              </w:rPr>
              <w:t>Launch an online portal for resource-sharing and peer learning</w:t>
            </w:r>
          </w:p>
          <w:p w14:paraId="48CDBB7D" w14:textId="3F9C9128" w:rsidR="009C6169" w:rsidRPr="00662906" w:rsidRDefault="00A703A9" w:rsidP="007E6C89">
            <w:pPr>
              <w:pStyle w:val="ListParagraph"/>
              <w:numPr>
                <w:ilvl w:val="0"/>
                <w:numId w:val="100"/>
              </w:numPr>
              <w:spacing w:before="40" w:after="40"/>
              <w:ind w:left="367"/>
              <w:jc w:val="center"/>
              <w:rPr>
                <w:rFonts w:eastAsia="Arial" w:cs="Arial"/>
                <w:color w:val="394A58"/>
                <w:sz w:val="16"/>
                <w:szCs w:val="16"/>
              </w:rPr>
            </w:pPr>
            <w:r w:rsidRPr="00662906">
              <w:rPr>
                <w:rFonts w:eastAsia="Arial" w:cs="Arial"/>
                <w:color w:val="394A58"/>
                <w:sz w:val="16"/>
                <w:szCs w:val="16"/>
              </w:rPr>
              <w:t>C</w:t>
            </w:r>
            <w:r w:rsidR="009C6169" w:rsidRPr="00662906">
              <w:rPr>
                <w:rFonts w:eastAsia="Arial" w:cs="Arial"/>
                <w:color w:val="394A58"/>
                <w:sz w:val="16"/>
                <w:szCs w:val="16"/>
              </w:rPr>
              <w:t>onduct annual conferences to foster continuous professional development</w:t>
            </w:r>
          </w:p>
        </w:tc>
        <w:tc>
          <w:tcPr>
            <w:tcW w:w="1276" w:type="dxa"/>
            <w:shd w:val="clear" w:color="auto" w:fill="FFFFFF"/>
            <w:tcMar>
              <w:left w:w="57" w:type="dxa"/>
              <w:right w:w="57" w:type="dxa"/>
            </w:tcMar>
          </w:tcPr>
          <w:p w14:paraId="179E8826" w14:textId="40771B60"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37D9D633" w14:textId="346214A2"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Directorates in charge of Energy</w:t>
            </w:r>
          </w:p>
        </w:tc>
        <w:tc>
          <w:tcPr>
            <w:tcW w:w="1198" w:type="dxa"/>
            <w:shd w:val="clear" w:color="auto" w:fill="FFFFFF"/>
            <w:tcMar>
              <w:left w:w="57" w:type="dxa"/>
              <w:right w:w="57" w:type="dxa"/>
            </w:tcMar>
          </w:tcPr>
          <w:p w14:paraId="3AFB2570" w14:textId="01D47C42"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AFREC, Ministries in charge of Energy &amp; Buildings, Regional Energy Centres</w:t>
            </w:r>
            <w:r w:rsidR="00B7465C" w:rsidRPr="00662906">
              <w:rPr>
                <w:rFonts w:cs="Arial"/>
                <w:sz w:val="16"/>
                <w:szCs w:val="16"/>
              </w:rPr>
              <w:t>/</w:t>
            </w:r>
            <w:r w:rsidR="003E3A2C" w:rsidRPr="00662906">
              <w:rPr>
                <w:rFonts w:cs="Arial"/>
                <w:sz w:val="16"/>
                <w:szCs w:val="16"/>
              </w:rPr>
              <w:t>R</w:t>
            </w:r>
            <w:r w:rsidR="00B7465C" w:rsidRPr="00662906">
              <w:rPr>
                <w:rFonts w:cs="Arial"/>
                <w:sz w:val="16"/>
                <w:szCs w:val="16"/>
              </w:rPr>
              <w:t>CREEEs</w:t>
            </w:r>
          </w:p>
        </w:tc>
        <w:tc>
          <w:tcPr>
            <w:tcW w:w="851" w:type="dxa"/>
            <w:shd w:val="clear" w:color="auto" w:fill="FFFFFF"/>
            <w:tcMar>
              <w:left w:w="57" w:type="dxa"/>
              <w:right w:w="57" w:type="dxa"/>
            </w:tcMar>
          </w:tcPr>
          <w:p w14:paraId="4FD81B65" w14:textId="6CBA138B"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4042AED7" w14:textId="74FC8362"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Comprehensive training materials</w:t>
            </w:r>
          </w:p>
          <w:p w14:paraId="593A5308" w14:textId="1DCE7CB4"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Online knowledge-sharing platform</w:t>
            </w:r>
          </w:p>
          <w:p w14:paraId="7B38FA86" w14:textId="4FAFB2BD"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Annual conference </w:t>
            </w:r>
            <w:r w:rsidR="00B7465C" w:rsidRPr="00662906">
              <w:rPr>
                <w:rFonts w:eastAsia="Arial" w:cs="Arial"/>
                <w:color w:val="53575A"/>
                <w:sz w:val="16"/>
                <w:szCs w:val="16"/>
              </w:rPr>
              <w:t>and web</w:t>
            </w:r>
            <w:r w:rsidR="003E3A2C" w:rsidRPr="00662906">
              <w:rPr>
                <w:rFonts w:eastAsia="Arial" w:cs="Arial"/>
                <w:color w:val="53575A"/>
                <w:sz w:val="16"/>
                <w:szCs w:val="16"/>
              </w:rPr>
              <w:t>i</w:t>
            </w:r>
            <w:r w:rsidR="00B7465C" w:rsidRPr="00662906">
              <w:rPr>
                <w:rFonts w:eastAsia="Arial" w:cs="Arial"/>
                <w:color w:val="53575A"/>
                <w:sz w:val="16"/>
                <w:szCs w:val="16"/>
              </w:rPr>
              <w:t xml:space="preserve">nar materials and </w:t>
            </w:r>
            <w:r w:rsidRPr="00662906">
              <w:rPr>
                <w:rFonts w:eastAsia="Arial" w:cs="Arial"/>
                <w:color w:val="53575A"/>
                <w:sz w:val="16"/>
                <w:szCs w:val="16"/>
              </w:rPr>
              <w:t>proceedings</w:t>
            </w:r>
          </w:p>
        </w:tc>
        <w:tc>
          <w:tcPr>
            <w:tcW w:w="1701" w:type="dxa"/>
            <w:shd w:val="clear" w:color="auto" w:fill="FFFFFF"/>
          </w:tcPr>
          <w:p w14:paraId="53EFE6BB" w14:textId="587C2686"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Uplifted technical capacity across different regions, facilitating the widespread adoption of energy-efficient construction methods and collaborative learning</w:t>
            </w:r>
          </w:p>
        </w:tc>
        <w:tc>
          <w:tcPr>
            <w:tcW w:w="1843" w:type="dxa"/>
            <w:shd w:val="clear" w:color="auto" w:fill="FFFFFF"/>
          </w:tcPr>
          <w:p w14:paraId="32311780" w14:textId="3CD1F95F"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E-learning platform active (Yes/No)</w:t>
            </w:r>
          </w:p>
        </w:tc>
      </w:tr>
      <w:tr w:rsidR="009C6169" w:rsidRPr="00662906" w14:paraId="0C8EE9E2" w14:textId="77777777" w:rsidTr="007E6C89">
        <w:trPr>
          <w:trHeight w:val="300"/>
        </w:trPr>
        <w:tc>
          <w:tcPr>
            <w:tcW w:w="167" w:type="dxa"/>
            <w:shd w:val="clear" w:color="auto" w:fill="FFFFFF"/>
            <w:tcMar>
              <w:left w:w="57" w:type="dxa"/>
              <w:right w:w="57" w:type="dxa"/>
            </w:tcMar>
          </w:tcPr>
          <w:p w14:paraId="0572FDCB" w14:textId="77777777" w:rsidR="009C6169" w:rsidRPr="00662906" w:rsidRDefault="009C6169"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277EF6EA" w14:textId="0568B611"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Develop local and regional awards for buildings that excel in energy efficiency</w:t>
            </w:r>
          </w:p>
        </w:tc>
        <w:tc>
          <w:tcPr>
            <w:tcW w:w="3260" w:type="dxa"/>
            <w:tcBorders>
              <w:top w:val="single" w:sz="4" w:space="0" w:color="9F2241"/>
              <w:left w:val="nil"/>
              <w:bottom w:val="single" w:sz="4" w:space="0" w:color="9F2241"/>
              <w:right w:val="nil"/>
            </w:tcBorders>
            <w:tcMar>
              <w:left w:w="57" w:type="dxa"/>
              <w:right w:w="57" w:type="dxa"/>
            </w:tcMar>
          </w:tcPr>
          <w:p w14:paraId="57D5062B" w14:textId="16494FA6" w:rsidR="009C6169" w:rsidRPr="00662906" w:rsidRDefault="009C6169" w:rsidP="007E6C89">
            <w:pPr>
              <w:pStyle w:val="ListParagraph"/>
              <w:numPr>
                <w:ilvl w:val="0"/>
                <w:numId w:val="101"/>
              </w:numPr>
              <w:spacing w:before="40" w:after="40"/>
              <w:ind w:left="367"/>
              <w:jc w:val="center"/>
              <w:rPr>
                <w:rFonts w:eastAsia="Arial" w:cs="Arial"/>
                <w:color w:val="394A58"/>
                <w:sz w:val="16"/>
                <w:szCs w:val="16"/>
              </w:rPr>
            </w:pPr>
            <w:r w:rsidRPr="00662906">
              <w:rPr>
                <w:rFonts w:eastAsia="Arial" w:cs="Arial"/>
                <w:color w:val="394A58"/>
                <w:sz w:val="16"/>
                <w:szCs w:val="16"/>
              </w:rPr>
              <w:t>Define award categories (e.g., best retrofit, innovative design, net-zero pilot)</w:t>
            </w:r>
          </w:p>
          <w:p w14:paraId="225A9170" w14:textId="15814F53" w:rsidR="009C6169" w:rsidRPr="00662906" w:rsidRDefault="009C6169" w:rsidP="007E6C89">
            <w:pPr>
              <w:pStyle w:val="ListParagraph"/>
              <w:numPr>
                <w:ilvl w:val="0"/>
                <w:numId w:val="101"/>
              </w:numPr>
              <w:spacing w:before="40" w:after="40"/>
              <w:ind w:left="367"/>
              <w:jc w:val="center"/>
              <w:rPr>
                <w:rFonts w:eastAsia="Arial" w:cs="Arial"/>
                <w:color w:val="394A58"/>
                <w:sz w:val="16"/>
                <w:szCs w:val="16"/>
              </w:rPr>
            </w:pPr>
            <w:r w:rsidRPr="00662906">
              <w:rPr>
                <w:rFonts w:eastAsia="Arial" w:cs="Arial"/>
                <w:color w:val="394A58"/>
                <w:sz w:val="16"/>
                <w:szCs w:val="16"/>
              </w:rPr>
              <w:t>Establish selection criteria and an independent judging panel</w:t>
            </w:r>
          </w:p>
          <w:p w14:paraId="078A4C29" w14:textId="1CCCE996" w:rsidR="009C6169" w:rsidRPr="00662906" w:rsidRDefault="009C6169" w:rsidP="007E6C89">
            <w:pPr>
              <w:pStyle w:val="ListParagraph"/>
              <w:numPr>
                <w:ilvl w:val="0"/>
                <w:numId w:val="101"/>
              </w:numPr>
              <w:spacing w:before="40" w:after="40"/>
              <w:ind w:left="367"/>
              <w:jc w:val="center"/>
              <w:rPr>
                <w:rFonts w:eastAsia="Arial" w:cs="Arial"/>
                <w:color w:val="394A58"/>
                <w:sz w:val="16"/>
                <w:szCs w:val="16"/>
              </w:rPr>
            </w:pPr>
            <w:r w:rsidRPr="00662906">
              <w:rPr>
                <w:rFonts w:eastAsia="Arial" w:cs="Arial"/>
                <w:color w:val="394A58"/>
                <w:sz w:val="16"/>
                <w:szCs w:val="16"/>
              </w:rPr>
              <w:t>Publicize the awards through media campaigns and industry events</w:t>
            </w:r>
          </w:p>
          <w:p w14:paraId="7BD69DFE" w14:textId="072066A6" w:rsidR="009C6169" w:rsidRPr="00662906" w:rsidRDefault="009C6169" w:rsidP="007E6C89">
            <w:pPr>
              <w:pStyle w:val="ListParagraph"/>
              <w:numPr>
                <w:ilvl w:val="0"/>
                <w:numId w:val="101"/>
              </w:numPr>
              <w:spacing w:before="40" w:after="40"/>
              <w:ind w:left="367"/>
              <w:jc w:val="center"/>
              <w:rPr>
                <w:rFonts w:eastAsia="Arial" w:cs="Arial"/>
                <w:color w:val="394A58"/>
                <w:sz w:val="16"/>
                <w:szCs w:val="16"/>
              </w:rPr>
            </w:pPr>
            <w:r w:rsidRPr="00662906">
              <w:rPr>
                <w:rFonts w:eastAsia="Arial" w:cs="Arial"/>
                <w:color w:val="394A58"/>
                <w:sz w:val="16"/>
                <w:szCs w:val="16"/>
              </w:rPr>
              <w:t>Host annual award ceremonies to showcase exemplary projects</w:t>
            </w:r>
          </w:p>
        </w:tc>
        <w:tc>
          <w:tcPr>
            <w:tcW w:w="1276" w:type="dxa"/>
            <w:shd w:val="clear" w:color="auto" w:fill="FFFFFF"/>
            <w:tcMar>
              <w:left w:w="57" w:type="dxa"/>
              <w:right w:w="57" w:type="dxa"/>
            </w:tcMar>
          </w:tcPr>
          <w:p w14:paraId="73780E62" w14:textId="398CB64E"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5FCCC235" w14:textId="663A9D15"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4D4347CA" w14:textId="6899081C"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AFREC, Ministries in charge of Buildings and Public Works, Regional Energy Centres</w:t>
            </w:r>
            <w:r w:rsidR="00B7465C" w:rsidRPr="00662906">
              <w:rPr>
                <w:rFonts w:cs="Arial"/>
                <w:sz w:val="16"/>
                <w:szCs w:val="16"/>
              </w:rPr>
              <w:t>/</w:t>
            </w:r>
            <w:r w:rsidR="003E3A2C" w:rsidRPr="00662906">
              <w:rPr>
                <w:rFonts w:cs="Arial"/>
                <w:sz w:val="16"/>
                <w:szCs w:val="16"/>
              </w:rPr>
              <w:t>R</w:t>
            </w:r>
            <w:r w:rsidR="00B7465C" w:rsidRPr="00662906">
              <w:rPr>
                <w:rFonts w:cs="Arial"/>
                <w:sz w:val="16"/>
                <w:szCs w:val="16"/>
              </w:rPr>
              <w:t>CREEES</w:t>
            </w:r>
          </w:p>
        </w:tc>
        <w:tc>
          <w:tcPr>
            <w:tcW w:w="851" w:type="dxa"/>
            <w:shd w:val="clear" w:color="auto" w:fill="FFFFFF"/>
            <w:tcMar>
              <w:left w:w="57" w:type="dxa"/>
              <w:right w:w="57" w:type="dxa"/>
            </w:tcMar>
          </w:tcPr>
          <w:p w14:paraId="2925F6BD" w14:textId="01E99964"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0B527BA" w14:textId="6C9D3852"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Award guidelines and selection criteria</w:t>
            </w:r>
          </w:p>
          <w:p w14:paraId="30C1D87F" w14:textId="3D5E7281"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Promotional materials and media coverage</w:t>
            </w:r>
          </w:p>
          <w:p w14:paraId="22AAA894" w14:textId="793F5529"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Annual award event proceeding</w:t>
            </w:r>
            <w:r w:rsidR="000A2C4C" w:rsidRPr="00662906">
              <w:rPr>
                <w:rFonts w:eastAsia="Arial" w:cs="Arial"/>
                <w:color w:val="53575A"/>
                <w:sz w:val="16"/>
                <w:szCs w:val="16"/>
              </w:rPr>
              <w:t>s</w:t>
            </w:r>
          </w:p>
        </w:tc>
        <w:tc>
          <w:tcPr>
            <w:tcW w:w="1701" w:type="dxa"/>
            <w:shd w:val="clear" w:color="auto" w:fill="FFFFFF"/>
          </w:tcPr>
          <w:p w14:paraId="0811F4EF" w14:textId="2DDED28D"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Stronger market incentives for energy-efficient design and construction, motivating both private and public sector actors to innovate and invest in sustainability</w:t>
            </w:r>
          </w:p>
        </w:tc>
        <w:tc>
          <w:tcPr>
            <w:tcW w:w="1843" w:type="dxa"/>
            <w:shd w:val="clear" w:color="auto" w:fill="FFFFFF"/>
          </w:tcPr>
          <w:p w14:paraId="41B5FE37" w14:textId="692C6E86" w:rsidR="009C6169" w:rsidRPr="00662906" w:rsidRDefault="00B7465C"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Operating </w:t>
            </w:r>
            <w:r w:rsidR="003E3A2C" w:rsidRPr="00662906">
              <w:rPr>
                <w:rFonts w:eastAsia="Arial" w:cs="Arial"/>
                <w:color w:val="53575A"/>
                <w:sz w:val="16"/>
                <w:szCs w:val="16"/>
              </w:rPr>
              <w:t>Award-winning</w:t>
            </w:r>
            <w:r w:rsidRPr="00662906">
              <w:rPr>
                <w:rFonts w:eastAsia="Arial" w:cs="Arial"/>
                <w:color w:val="53575A"/>
                <w:sz w:val="16"/>
                <w:szCs w:val="16"/>
              </w:rPr>
              <w:t xml:space="preserve"> scheme</w:t>
            </w:r>
            <w:r w:rsidR="009C6169" w:rsidRPr="00662906">
              <w:rPr>
                <w:rFonts w:eastAsia="Arial" w:cs="Arial"/>
                <w:color w:val="53575A"/>
                <w:sz w:val="16"/>
                <w:szCs w:val="16"/>
              </w:rPr>
              <w:t xml:space="preserve"> launched </w:t>
            </w:r>
            <w:r w:rsidRPr="00662906">
              <w:rPr>
                <w:rFonts w:eastAsia="Arial" w:cs="Arial"/>
                <w:color w:val="53575A"/>
                <w:sz w:val="16"/>
                <w:szCs w:val="16"/>
              </w:rPr>
              <w:t>and M&amp;E of awards</w:t>
            </w:r>
            <w:r w:rsidR="00E568A5" w:rsidRPr="00662906">
              <w:rPr>
                <w:rFonts w:eastAsia="Arial" w:cs="Arial"/>
                <w:color w:val="53575A"/>
                <w:sz w:val="16"/>
                <w:szCs w:val="16"/>
              </w:rPr>
              <w:t xml:space="preserve"> </w:t>
            </w:r>
            <w:r w:rsidR="009C6169" w:rsidRPr="00662906">
              <w:rPr>
                <w:rFonts w:eastAsia="Arial" w:cs="Arial"/>
                <w:color w:val="53575A"/>
                <w:sz w:val="16"/>
                <w:szCs w:val="16"/>
              </w:rPr>
              <w:t>(Yes/No)</w:t>
            </w:r>
          </w:p>
          <w:p w14:paraId="255A1972" w14:textId="2C356188" w:rsidR="009C6169" w:rsidRPr="00662906" w:rsidRDefault="00AE7D1F"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Media</w:t>
            </w:r>
            <w:r w:rsidR="009C6169" w:rsidRPr="00662906">
              <w:rPr>
                <w:rFonts w:eastAsia="Arial" w:cs="Arial"/>
                <w:color w:val="53575A"/>
                <w:sz w:val="16"/>
                <w:szCs w:val="16"/>
              </w:rPr>
              <w:t xml:space="preserve"> coverage of winning projects (Yes/No)</w:t>
            </w:r>
          </w:p>
        </w:tc>
      </w:tr>
      <w:tr w:rsidR="009C6169" w:rsidRPr="00662906" w14:paraId="5F41796E" w14:textId="77777777" w:rsidTr="007E6C89">
        <w:trPr>
          <w:trHeight w:val="300"/>
        </w:trPr>
        <w:tc>
          <w:tcPr>
            <w:tcW w:w="167" w:type="dxa"/>
            <w:shd w:val="clear" w:color="auto" w:fill="FFFFFF"/>
            <w:tcMar>
              <w:left w:w="57" w:type="dxa"/>
              <w:right w:w="57" w:type="dxa"/>
            </w:tcMar>
          </w:tcPr>
          <w:p w14:paraId="61AF30CE" w14:textId="77777777" w:rsidR="009C6169" w:rsidRPr="00662906" w:rsidRDefault="009C6169"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18F04766" w14:textId="1D1D5077"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Support research and development of energy-efficient technologies and building materials</w:t>
            </w:r>
          </w:p>
        </w:tc>
        <w:tc>
          <w:tcPr>
            <w:tcW w:w="3260" w:type="dxa"/>
            <w:tcBorders>
              <w:top w:val="single" w:sz="4" w:space="0" w:color="9F2241"/>
              <w:left w:val="nil"/>
              <w:bottom w:val="single" w:sz="4" w:space="0" w:color="9F2241"/>
              <w:right w:val="nil"/>
            </w:tcBorders>
            <w:tcMar>
              <w:left w:w="57" w:type="dxa"/>
              <w:right w:w="57" w:type="dxa"/>
            </w:tcMar>
          </w:tcPr>
          <w:p w14:paraId="107C4456" w14:textId="7C29EF70" w:rsidR="009C6169" w:rsidRPr="00662906" w:rsidRDefault="009C6169" w:rsidP="007E6C89">
            <w:pPr>
              <w:pStyle w:val="ListParagraph"/>
              <w:numPr>
                <w:ilvl w:val="0"/>
                <w:numId w:val="102"/>
              </w:numPr>
              <w:spacing w:before="40" w:after="40"/>
              <w:ind w:left="367"/>
              <w:jc w:val="center"/>
              <w:rPr>
                <w:rFonts w:eastAsia="Arial" w:cs="Arial"/>
                <w:color w:val="394A58"/>
                <w:sz w:val="16"/>
                <w:szCs w:val="16"/>
              </w:rPr>
            </w:pPr>
            <w:r w:rsidRPr="00662906">
              <w:rPr>
                <w:rFonts w:eastAsia="Arial" w:cs="Arial"/>
                <w:color w:val="394A58"/>
                <w:sz w:val="16"/>
                <w:szCs w:val="16"/>
              </w:rPr>
              <w:t>Use existing building audit data to identify priority R&amp;D areas</w:t>
            </w:r>
          </w:p>
          <w:p w14:paraId="0A5645ED" w14:textId="6FD3949F" w:rsidR="009C6169" w:rsidRPr="00662906" w:rsidRDefault="009C6169" w:rsidP="007E6C89">
            <w:pPr>
              <w:pStyle w:val="ListParagraph"/>
              <w:numPr>
                <w:ilvl w:val="0"/>
                <w:numId w:val="102"/>
              </w:numPr>
              <w:spacing w:before="40" w:after="40"/>
              <w:ind w:left="367"/>
              <w:jc w:val="center"/>
              <w:rPr>
                <w:rFonts w:eastAsia="Arial" w:cs="Arial"/>
                <w:color w:val="394A58"/>
                <w:sz w:val="16"/>
                <w:szCs w:val="16"/>
              </w:rPr>
            </w:pPr>
            <w:r w:rsidRPr="00662906">
              <w:rPr>
                <w:rFonts w:eastAsia="Arial" w:cs="Arial"/>
                <w:color w:val="394A58"/>
                <w:sz w:val="16"/>
                <w:szCs w:val="16"/>
              </w:rPr>
              <w:t>Establish collaborative research projects with universities and private companies</w:t>
            </w:r>
          </w:p>
          <w:p w14:paraId="2AC54ECB" w14:textId="4A845B4B" w:rsidR="009C6169" w:rsidRPr="00662906" w:rsidRDefault="009C6169" w:rsidP="007E6C89">
            <w:pPr>
              <w:pStyle w:val="ListParagraph"/>
              <w:numPr>
                <w:ilvl w:val="0"/>
                <w:numId w:val="102"/>
              </w:numPr>
              <w:spacing w:before="40" w:after="40"/>
              <w:ind w:left="367"/>
              <w:jc w:val="center"/>
              <w:rPr>
                <w:rFonts w:eastAsia="Arial" w:cs="Arial"/>
                <w:color w:val="394A58"/>
                <w:sz w:val="16"/>
                <w:szCs w:val="16"/>
              </w:rPr>
            </w:pPr>
            <w:r w:rsidRPr="00662906">
              <w:rPr>
                <w:rFonts w:eastAsia="Arial" w:cs="Arial"/>
                <w:color w:val="394A58"/>
                <w:sz w:val="16"/>
                <w:szCs w:val="16"/>
              </w:rPr>
              <w:t>Provide seed funding or grants for pilot innovations (insulation, solar-integrated materials, etc.)</w:t>
            </w:r>
          </w:p>
          <w:p w14:paraId="5E7C0C39" w14:textId="58F42001" w:rsidR="009C6169" w:rsidRPr="00662906" w:rsidRDefault="009C6169" w:rsidP="007E6C89">
            <w:pPr>
              <w:pStyle w:val="ListParagraph"/>
              <w:numPr>
                <w:ilvl w:val="0"/>
                <w:numId w:val="102"/>
              </w:numPr>
              <w:spacing w:before="40" w:after="40"/>
              <w:ind w:left="367"/>
              <w:jc w:val="center"/>
              <w:rPr>
                <w:rFonts w:eastAsia="Arial" w:cs="Arial"/>
                <w:color w:val="394A58"/>
                <w:sz w:val="16"/>
                <w:szCs w:val="16"/>
              </w:rPr>
            </w:pPr>
            <w:r w:rsidRPr="00662906">
              <w:rPr>
                <w:rFonts w:eastAsia="Arial" w:cs="Arial"/>
                <w:color w:val="394A58"/>
                <w:sz w:val="16"/>
                <w:szCs w:val="16"/>
              </w:rPr>
              <w:t>Document and disseminate successful R&amp;D outcomes</w:t>
            </w:r>
          </w:p>
        </w:tc>
        <w:tc>
          <w:tcPr>
            <w:tcW w:w="1276" w:type="dxa"/>
            <w:shd w:val="clear" w:color="auto" w:fill="FFFFFF"/>
            <w:tcMar>
              <w:left w:w="57" w:type="dxa"/>
              <w:right w:w="57" w:type="dxa"/>
            </w:tcMar>
          </w:tcPr>
          <w:p w14:paraId="57EDD0CE" w14:textId="79AE4E8B"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59705077" w14:textId="2F0813B3"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44CBD912" w14:textId="51D8F68F"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AFREC, Ministries in charge of Buildings and Public Works, Regional Energy Centres</w:t>
            </w:r>
            <w:r w:rsidR="00B7465C" w:rsidRPr="00662906">
              <w:rPr>
                <w:rFonts w:cs="Arial"/>
                <w:sz w:val="16"/>
                <w:szCs w:val="16"/>
              </w:rPr>
              <w:t>/</w:t>
            </w:r>
            <w:r w:rsidR="003E3A2C" w:rsidRPr="00662906">
              <w:rPr>
                <w:rFonts w:cs="Arial"/>
                <w:sz w:val="16"/>
                <w:szCs w:val="16"/>
              </w:rPr>
              <w:t>R</w:t>
            </w:r>
            <w:r w:rsidR="00B7465C" w:rsidRPr="00662906">
              <w:rPr>
                <w:rFonts w:cs="Arial"/>
                <w:sz w:val="16"/>
                <w:szCs w:val="16"/>
              </w:rPr>
              <w:t>CREEES</w:t>
            </w:r>
          </w:p>
        </w:tc>
        <w:tc>
          <w:tcPr>
            <w:tcW w:w="851" w:type="dxa"/>
            <w:shd w:val="clear" w:color="auto" w:fill="FFFFFF"/>
            <w:tcMar>
              <w:left w:w="57" w:type="dxa"/>
              <w:right w:w="57" w:type="dxa"/>
            </w:tcMar>
          </w:tcPr>
          <w:p w14:paraId="5B535A55" w14:textId="6A559626"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684E9B58" w14:textId="524480DE"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R&amp;D project proposals and pilot studies</w:t>
            </w:r>
          </w:p>
          <w:p w14:paraId="2AAA7F06" w14:textId="330E6950"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briefs on new materials/technologies</w:t>
            </w:r>
          </w:p>
          <w:p w14:paraId="5BCF776F" w14:textId="0191C3A4"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Database of research outputs</w:t>
            </w:r>
          </w:p>
        </w:tc>
        <w:tc>
          <w:tcPr>
            <w:tcW w:w="1701" w:type="dxa"/>
            <w:shd w:val="clear" w:color="auto" w:fill="FFFFFF"/>
          </w:tcPr>
          <w:p w14:paraId="4125C134" w14:textId="584025F7"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Increased innovation pipeline for localized EE solutions, empowering African construction ecosystems to adopt and scale sustainable materials and technologies</w:t>
            </w:r>
          </w:p>
        </w:tc>
        <w:tc>
          <w:tcPr>
            <w:tcW w:w="1843" w:type="dxa"/>
            <w:shd w:val="clear" w:color="auto" w:fill="FFFFFF"/>
          </w:tcPr>
          <w:p w14:paraId="7F8D685F" w14:textId="0D6C88F7"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R&amp;D projects funded</w:t>
            </w:r>
          </w:p>
          <w:p w14:paraId="6EE9F294" w14:textId="6E4671DD" w:rsidR="009C6169" w:rsidRPr="00662906" w:rsidRDefault="00FE331E"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w:t>
            </w:r>
            <w:r w:rsidR="009C6169" w:rsidRPr="00662906">
              <w:rPr>
                <w:rFonts w:eastAsia="Arial" w:cs="Arial"/>
                <w:color w:val="53575A"/>
                <w:sz w:val="16"/>
                <w:szCs w:val="16"/>
              </w:rPr>
              <w:t>ublication of pilot study results (Yes/No)</w:t>
            </w:r>
          </w:p>
          <w:p w14:paraId="3C929A97" w14:textId="1A3FA314"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Adoption of new technologies</w:t>
            </w:r>
            <w:r w:rsidR="00D06795" w:rsidRPr="00662906">
              <w:rPr>
                <w:rFonts w:eastAsia="Arial" w:cs="Arial"/>
                <w:color w:val="53575A"/>
                <w:sz w:val="16"/>
                <w:szCs w:val="16"/>
              </w:rPr>
              <w:t>/products</w:t>
            </w:r>
            <w:r w:rsidRPr="00662906">
              <w:rPr>
                <w:rFonts w:eastAsia="Arial" w:cs="Arial"/>
                <w:color w:val="53575A"/>
                <w:sz w:val="16"/>
                <w:szCs w:val="16"/>
              </w:rPr>
              <w:t xml:space="preserve"> in the marketplace (Yes/No)</w:t>
            </w:r>
          </w:p>
        </w:tc>
      </w:tr>
      <w:tr w:rsidR="009C6169" w:rsidRPr="00662906" w14:paraId="10E11CAB" w14:textId="77777777" w:rsidTr="007E6C89">
        <w:trPr>
          <w:trHeight w:val="300"/>
        </w:trPr>
        <w:tc>
          <w:tcPr>
            <w:tcW w:w="167" w:type="dxa"/>
            <w:shd w:val="clear" w:color="auto" w:fill="FFFFFF"/>
            <w:tcMar>
              <w:left w:w="57" w:type="dxa"/>
              <w:right w:w="57" w:type="dxa"/>
            </w:tcMar>
          </w:tcPr>
          <w:p w14:paraId="6DDC6459" w14:textId="77777777" w:rsidR="009C6169" w:rsidRPr="00662906" w:rsidRDefault="009C6169"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3B02A00C" w14:textId="4FB585A2"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Launch regional and continental fund for ESCOs</w:t>
            </w:r>
          </w:p>
        </w:tc>
        <w:tc>
          <w:tcPr>
            <w:tcW w:w="3260" w:type="dxa"/>
            <w:tcBorders>
              <w:top w:val="single" w:sz="4" w:space="0" w:color="9F2241"/>
              <w:left w:val="nil"/>
              <w:bottom w:val="single" w:sz="4" w:space="0" w:color="9F2241"/>
              <w:right w:val="nil"/>
            </w:tcBorders>
            <w:tcMar>
              <w:left w:w="57" w:type="dxa"/>
              <w:right w:w="57" w:type="dxa"/>
            </w:tcMar>
          </w:tcPr>
          <w:p w14:paraId="14C0DAD4" w14:textId="1D85455C" w:rsidR="009C6169" w:rsidRPr="00662906" w:rsidRDefault="009C6169" w:rsidP="007E6C89">
            <w:pPr>
              <w:pStyle w:val="ListParagraph"/>
              <w:numPr>
                <w:ilvl w:val="0"/>
                <w:numId w:val="103"/>
              </w:numPr>
              <w:spacing w:before="40" w:after="40"/>
              <w:ind w:left="367"/>
              <w:jc w:val="center"/>
              <w:rPr>
                <w:rFonts w:eastAsia="Arial" w:cs="Arial"/>
                <w:color w:val="394A58"/>
                <w:sz w:val="16"/>
                <w:szCs w:val="16"/>
              </w:rPr>
            </w:pPr>
            <w:r w:rsidRPr="00662906">
              <w:rPr>
                <w:rFonts w:eastAsia="Arial" w:cs="Arial"/>
                <w:color w:val="394A58"/>
                <w:sz w:val="16"/>
                <w:szCs w:val="16"/>
              </w:rPr>
              <w:t>Assess financing gaps for ESCOs and design suitable fund parameters</w:t>
            </w:r>
          </w:p>
          <w:p w14:paraId="4597A998" w14:textId="5845C8B5" w:rsidR="009C6169" w:rsidRPr="00662906" w:rsidRDefault="009C6169" w:rsidP="007E6C89">
            <w:pPr>
              <w:pStyle w:val="ListParagraph"/>
              <w:numPr>
                <w:ilvl w:val="0"/>
                <w:numId w:val="103"/>
              </w:numPr>
              <w:spacing w:before="40" w:after="40"/>
              <w:ind w:left="367"/>
              <w:jc w:val="center"/>
              <w:rPr>
                <w:rFonts w:eastAsia="Arial" w:cs="Arial"/>
                <w:color w:val="394A58"/>
                <w:sz w:val="16"/>
                <w:szCs w:val="16"/>
              </w:rPr>
            </w:pPr>
            <w:r w:rsidRPr="00662906">
              <w:rPr>
                <w:rFonts w:eastAsia="Arial" w:cs="Arial"/>
                <w:color w:val="394A58"/>
                <w:sz w:val="16"/>
                <w:szCs w:val="16"/>
              </w:rPr>
              <w:t>Engage development banks (AfDB, IFC, World Bank) to structure the fund</w:t>
            </w:r>
          </w:p>
          <w:p w14:paraId="6651F6FF" w14:textId="21033D7F" w:rsidR="009C6169" w:rsidRPr="00662906" w:rsidRDefault="009C6169" w:rsidP="007E6C89">
            <w:pPr>
              <w:pStyle w:val="ListParagraph"/>
              <w:numPr>
                <w:ilvl w:val="0"/>
                <w:numId w:val="103"/>
              </w:numPr>
              <w:spacing w:before="40" w:after="40"/>
              <w:ind w:left="367"/>
              <w:jc w:val="center"/>
              <w:rPr>
                <w:rFonts w:eastAsia="Arial" w:cs="Arial"/>
                <w:color w:val="394A58"/>
                <w:sz w:val="16"/>
                <w:szCs w:val="16"/>
              </w:rPr>
            </w:pPr>
            <w:r w:rsidRPr="00662906">
              <w:rPr>
                <w:rFonts w:eastAsia="Arial" w:cs="Arial"/>
                <w:color w:val="394A58"/>
                <w:sz w:val="16"/>
                <w:szCs w:val="16"/>
              </w:rPr>
              <w:t>Train national banking institutions in ESCO-specific financial products</w:t>
            </w:r>
          </w:p>
          <w:p w14:paraId="311AEFD5" w14:textId="31394443" w:rsidR="009C6169" w:rsidRPr="00662906" w:rsidRDefault="009C6169" w:rsidP="007E6C89">
            <w:pPr>
              <w:pStyle w:val="ListParagraph"/>
              <w:numPr>
                <w:ilvl w:val="0"/>
                <w:numId w:val="103"/>
              </w:numPr>
              <w:spacing w:before="40" w:after="40"/>
              <w:ind w:left="367"/>
              <w:jc w:val="center"/>
              <w:rPr>
                <w:rFonts w:eastAsia="Arial" w:cs="Arial"/>
                <w:color w:val="394A58"/>
                <w:sz w:val="16"/>
                <w:szCs w:val="16"/>
              </w:rPr>
            </w:pPr>
            <w:r w:rsidRPr="00662906">
              <w:rPr>
                <w:rFonts w:eastAsia="Arial" w:cs="Arial"/>
                <w:color w:val="394A58"/>
                <w:sz w:val="16"/>
                <w:szCs w:val="16"/>
              </w:rPr>
              <w:t>Roll out pilot programs in selected countries to refine the fund</w:t>
            </w:r>
            <w:r w:rsidR="00A703A9" w:rsidRPr="00662906">
              <w:rPr>
                <w:rFonts w:eastAsia="Arial" w:cs="Arial"/>
                <w:color w:val="394A58"/>
                <w:sz w:val="16"/>
                <w:szCs w:val="16"/>
              </w:rPr>
              <w:t>’</w:t>
            </w:r>
            <w:r w:rsidRPr="00662906">
              <w:rPr>
                <w:rFonts w:eastAsia="Arial" w:cs="Arial"/>
                <w:color w:val="394A58"/>
                <w:sz w:val="16"/>
                <w:szCs w:val="16"/>
              </w:rPr>
              <w:t>s operational model</w:t>
            </w:r>
          </w:p>
        </w:tc>
        <w:tc>
          <w:tcPr>
            <w:tcW w:w="1276" w:type="dxa"/>
            <w:shd w:val="clear" w:color="auto" w:fill="FFFFFF"/>
            <w:tcMar>
              <w:left w:w="57" w:type="dxa"/>
              <w:right w:w="57" w:type="dxa"/>
            </w:tcMar>
          </w:tcPr>
          <w:p w14:paraId="716F8615" w14:textId="183D27F2"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Regional</w:t>
            </w:r>
            <w:r w:rsidR="00D06795" w:rsidRPr="00662906">
              <w:rPr>
                <w:rFonts w:cs="Arial"/>
                <w:sz w:val="16"/>
                <w:szCs w:val="16"/>
              </w:rPr>
              <w:t xml:space="preserve"> to continental</w:t>
            </w:r>
          </w:p>
        </w:tc>
        <w:tc>
          <w:tcPr>
            <w:tcW w:w="1070" w:type="dxa"/>
            <w:shd w:val="clear" w:color="auto" w:fill="FFFFFF"/>
            <w:tcMar>
              <w:left w:w="57" w:type="dxa"/>
              <w:right w:w="57" w:type="dxa"/>
            </w:tcMar>
          </w:tcPr>
          <w:p w14:paraId="5E77CD50" w14:textId="4BFB6801"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Regional Development Banks</w:t>
            </w:r>
          </w:p>
        </w:tc>
        <w:tc>
          <w:tcPr>
            <w:tcW w:w="1198" w:type="dxa"/>
            <w:shd w:val="clear" w:color="auto" w:fill="FFFFFF"/>
            <w:tcMar>
              <w:left w:w="57" w:type="dxa"/>
              <w:right w:w="57" w:type="dxa"/>
            </w:tcMar>
          </w:tcPr>
          <w:p w14:paraId="350C4F4E" w14:textId="06D1D219"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AfDB, IFCs, World Bank, National Development Banks</w:t>
            </w:r>
          </w:p>
        </w:tc>
        <w:tc>
          <w:tcPr>
            <w:tcW w:w="851" w:type="dxa"/>
            <w:shd w:val="clear" w:color="auto" w:fill="FFFFFF"/>
            <w:tcMar>
              <w:left w:w="57" w:type="dxa"/>
              <w:right w:w="57" w:type="dxa"/>
            </w:tcMar>
          </w:tcPr>
          <w:p w14:paraId="344B23A0" w14:textId="3A75B37E"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2D0913D2" w14:textId="40885A41"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ESCO fund proposal and governance structure</w:t>
            </w:r>
          </w:p>
          <w:p w14:paraId="504A330F" w14:textId="2DC016D8"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financial institutions on ESCO lending</w:t>
            </w:r>
          </w:p>
          <w:p w14:paraId="46E0C056" w14:textId="23B41538" w:rsidR="009C6169" w:rsidRPr="00662906" w:rsidRDefault="009C616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programs to test fund operations</w:t>
            </w:r>
          </w:p>
        </w:tc>
        <w:tc>
          <w:tcPr>
            <w:tcW w:w="1701" w:type="dxa"/>
            <w:shd w:val="clear" w:color="auto" w:fill="FFFFFF"/>
          </w:tcPr>
          <w:p w14:paraId="373F7A9C" w14:textId="2FFD5E28" w:rsidR="009C6169" w:rsidRPr="00662906" w:rsidRDefault="009C6169" w:rsidP="007E6C89">
            <w:pPr>
              <w:spacing w:before="40" w:after="40"/>
              <w:jc w:val="center"/>
              <w:rPr>
                <w:rFonts w:eastAsia="Arial" w:cs="Arial"/>
                <w:color w:val="53575A"/>
                <w:sz w:val="16"/>
                <w:szCs w:val="16"/>
              </w:rPr>
            </w:pPr>
            <w:r w:rsidRPr="00662906">
              <w:rPr>
                <w:rFonts w:cs="Arial"/>
                <w:sz w:val="16"/>
                <w:szCs w:val="16"/>
              </w:rPr>
              <w:t>A well-financed ESCO market, accelerating quality energy-efficiency services for buildings through performance-based mechanisms and scalable investment solutions</w:t>
            </w:r>
          </w:p>
        </w:tc>
        <w:tc>
          <w:tcPr>
            <w:tcW w:w="1843" w:type="dxa"/>
            <w:shd w:val="clear" w:color="auto" w:fill="FFFFFF"/>
          </w:tcPr>
          <w:p w14:paraId="1B81E60C" w14:textId="4130F682" w:rsidR="009C6169" w:rsidRPr="00662906" w:rsidRDefault="00D0679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ESCO fund and related institutional framework proposed and established </w:t>
            </w:r>
            <w:r w:rsidR="009C6169" w:rsidRPr="00662906">
              <w:rPr>
                <w:rFonts w:eastAsia="Arial" w:cs="Arial"/>
                <w:color w:val="53575A"/>
                <w:sz w:val="16"/>
                <w:szCs w:val="16"/>
              </w:rPr>
              <w:t>(Yes/No)</w:t>
            </w:r>
          </w:p>
          <w:p w14:paraId="61631387" w14:textId="1588FF02"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trained financial institutions</w:t>
            </w:r>
          </w:p>
          <w:p w14:paraId="2B9BBE52" w14:textId="73DF9B0F" w:rsidR="009C6169" w:rsidRPr="00662906" w:rsidRDefault="009C616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ESCO funding programs launched (Yes/No)</w:t>
            </w:r>
          </w:p>
        </w:tc>
      </w:tr>
    </w:tbl>
    <w:p w14:paraId="23CA2D47" w14:textId="77777777" w:rsidR="009C409D" w:rsidRPr="00662906" w:rsidRDefault="009C409D" w:rsidP="009C409D">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77130A08" w14:textId="77777777" w:rsidR="00D41C50" w:rsidRPr="00662906" w:rsidRDefault="00D41C50" w:rsidP="000E7759">
      <w:pPr>
        <w:pStyle w:val="Heading2"/>
        <w:sectPr w:rsidR="00D41C50" w:rsidRPr="00662906" w:rsidSect="005852FE">
          <w:pgSz w:w="16838" w:h="11906" w:orient="landscape"/>
          <w:pgMar w:top="1440" w:right="1440" w:bottom="1440" w:left="1440" w:header="720" w:footer="720" w:gutter="0"/>
          <w:cols w:space="720"/>
          <w:titlePg/>
          <w:docGrid w:linePitch="360"/>
        </w:sectPr>
      </w:pPr>
      <w:bookmarkStart w:id="635" w:name="_Toc171955546"/>
      <w:bookmarkStart w:id="636" w:name="_Toc176190956"/>
      <w:bookmarkStart w:id="637" w:name="_Toc176191122"/>
      <w:bookmarkStart w:id="638" w:name="_Toc176341842"/>
      <w:bookmarkStart w:id="639" w:name="_Toc176430236"/>
      <w:bookmarkStart w:id="640" w:name="_Toc176430293"/>
      <w:bookmarkStart w:id="641" w:name="_Toc176441426"/>
      <w:bookmarkStart w:id="642" w:name="_Toc176442081"/>
      <w:bookmarkStart w:id="643" w:name="_Toc178937494"/>
    </w:p>
    <w:p w14:paraId="0C72F01C" w14:textId="4EFE3DFE" w:rsidR="007734A4" w:rsidRPr="00662906" w:rsidRDefault="1AA19EDC" w:rsidP="000E7759">
      <w:pPr>
        <w:pStyle w:val="Heading2"/>
      </w:pPr>
      <w:bookmarkStart w:id="644" w:name="_Toc197433859"/>
      <w:r w:rsidRPr="00662906">
        <w:lastRenderedPageBreak/>
        <w:t>Industr</w:t>
      </w:r>
      <w:bookmarkEnd w:id="635"/>
      <w:bookmarkEnd w:id="636"/>
      <w:bookmarkEnd w:id="637"/>
      <w:bookmarkEnd w:id="638"/>
      <w:bookmarkEnd w:id="639"/>
      <w:bookmarkEnd w:id="640"/>
      <w:bookmarkEnd w:id="641"/>
      <w:bookmarkEnd w:id="642"/>
      <w:bookmarkEnd w:id="643"/>
      <w:r w:rsidR="000E7759" w:rsidRPr="00662906">
        <w:t>y</w:t>
      </w:r>
      <w:bookmarkEnd w:id="644"/>
    </w:p>
    <w:p w14:paraId="1981DFF3" w14:textId="7B222EB2" w:rsidR="000C71EA" w:rsidRPr="00662906" w:rsidRDefault="70AB9A08" w:rsidP="000C71EA">
      <w:pPr>
        <w:rPr>
          <w:rFonts w:eastAsia="Arial" w:cs="Arial"/>
        </w:rPr>
      </w:pPr>
      <w:r w:rsidRPr="00662906">
        <w:rPr>
          <w:rFonts w:eastAsia="Arial" w:cs="Arial"/>
        </w:rPr>
        <w:t>With regard to Energy transition, analysis of NDCs indicates that MS are placing interest to implement industrial efficiency improvements implementing energy efficiency technologies and cleaner industrial technologies.</w:t>
      </w:r>
      <w:r w:rsidR="2DE73E8D" w:rsidRPr="00662906">
        <w:rPr>
          <w:rFonts w:eastAsia="Arial" w:cs="Arial"/>
        </w:rPr>
        <w:t xml:space="preserve"> </w:t>
      </w:r>
      <w:r w:rsidRPr="00662906">
        <w:rPr>
          <w:rFonts w:eastAsia="Arial" w:cs="Arial"/>
        </w:rPr>
        <w:t xml:space="preserve">There is also </w:t>
      </w:r>
      <w:r w:rsidR="006D6AE3" w:rsidRPr="00662906">
        <w:rPr>
          <w:rFonts w:eastAsia="Arial" w:cs="Arial"/>
        </w:rPr>
        <w:t>a desire</w:t>
      </w:r>
      <w:r w:rsidRPr="00662906">
        <w:rPr>
          <w:rFonts w:eastAsia="Arial" w:cs="Arial"/>
        </w:rPr>
        <w:t xml:space="preserve"> to introduce industrial emission standards and process improvements. The bulk of the EE and cleaner technologies required are largely imported from outside Africa, hence manufacturing them in the continent will enhance opportunity for adoption.</w:t>
      </w:r>
    </w:p>
    <w:p w14:paraId="26792075" w14:textId="3ACDD6C4" w:rsidR="000C71EA" w:rsidRPr="00662906" w:rsidRDefault="70AB9A08" w:rsidP="000C71EA">
      <w:pPr>
        <w:rPr>
          <w:rFonts w:eastAsia="Arial" w:cs="Arial"/>
        </w:rPr>
      </w:pPr>
      <w:r w:rsidRPr="00662906">
        <w:rPr>
          <w:rFonts w:eastAsia="Arial" w:cs="Arial"/>
        </w:rPr>
        <w:t>The beneficiation of the strategic decarbonization minerals found in Africa also calls for attention. Maximizing utilization of strategic minerals for manufacture of decarbonization energy products such as electric batteries in addition to manufacturing of RE and EE equipment</w:t>
      </w:r>
      <w:r w:rsidR="0C64631C" w:rsidRPr="00662906">
        <w:rPr>
          <w:rFonts w:eastAsia="Arial" w:cs="Arial"/>
        </w:rPr>
        <w:t xml:space="preserve"> are important energy transition options for the subsector</w:t>
      </w:r>
      <w:r w:rsidRPr="00662906">
        <w:rPr>
          <w:rFonts w:eastAsia="Arial" w:cs="Arial"/>
        </w:rPr>
        <w:t>.</w:t>
      </w:r>
    </w:p>
    <w:p w14:paraId="0FDEDE4E" w14:textId="145E7853" w:rsidR="000C71EA" w:rsidRPr="00662906" w:rsidRDefault="000C71EA" w:rsidP="000C71EA">
      <w:pPr>
        <w:rPr>
          <w:rFonts w:eastAsia="Arial" w:cs="Arial"/>
        </w:rPr>
      </w:pPr>
      <w:r w:rsidRPr="00662906">
        <w:rPr>
          <w:rFonts w:eastAsia="Arial" w:cs="Arial"/>
        </w:rPr>
        <w:t>Particularly widespread ESS innovation</w:t>
      </w:r>
      <w:r w:rsidR="00563AD8" w:rsidRPr="00662906">
        <w:rPr>
          <w:rFonts w:eastAsia="Arial" w:cs="Arial"/>
        </w:rPr>
        <w:t xml:space="preserve"> (e.g., battery systems, pumped-</w:t>
      </w:r>
      <w:r w:rsidR="00E20795" w:rsidRPr="00662906">
        <w:rPr>
          <w:rFonts w:eastAsia="Arial" w:cs="Arial"/>
        </w:rPr>
        <w:t xml:space="preserve">storage </w:t>
      </w:r>
      <w:r w:rsidR="00563AD8" w:rsidRPr="00662906">
        <w:rPr>
          <w:rFonts w:eastAsia="Arial" w:cs="Arial"/>
        </w:rPr>
        <w:t>hydro, etc.)</w:t>
      </w:r>
      <w:r w:rsidRPr="00662906">
        <w:rPr>
          <w:rFonts w:eastAsia="Arial" w:cs="Arial"/>
        </w:rPr>
        <w:t xml:space="preserve"> and green hydrogen innovation and production will be transformative to African industries if the AU-MS capture manufacturing capability</w:t>
      </w:r>
    </w:p>
    <w:p w14:paraId="740319D8" w14:textId="5C35FDA8" w:rsidR="000C71EA" w:rsidRPr="00662906" w:rsidRDefault="70AB9A08" w:rsidP="000C71EA">
      <w:pPr>
        <w:rPr>
          <w:rFonts w:eastAsia="Arial" w:cs="Arial"/>
        </w:rPr>
      </w:pPr>
      <w:r w:rsidRPr="00662906">
        <w:rPr>
          <w:rFonts w:eastAsia="Arial" w:cs="Arial"/>
        </w:rPr>
        <w:t>The main gap is lack of policy and regulatory framework that will direct what decarbonization energy sources and practices to adopt to maximize profits through sustainable deployment of clean energy.  The gaps are the lack of policy to promote localization of industries especially those of strategic nature. Adopting these new technologies will also require capacity building</w:t>
      </w:r>
      <w:r w:rsidR="647D8271" w:rsidRPr="00662906">
        <w:rPr>
          <w:rFonts w:eastAsia="Arial" w:cs="Arial"/>
        </w:rPr>
        <w:t>,</w:t>
      </w:r>
      <w:r w:rsidRPr="00662906">
        <w:rPr>
          <w:rFonts w:eastAsia="Arial" w:cs="Arial"/>
        </w:rPr>
        <w:t xml:space="preserve"> including capacity for R&amp;D and technology transfer.</w:t>
      </w:r>
    </w:p>
    <w:p w14:paraId="3603668F" w14:textId="69665DB2" w:rsidR="000C71EA" w:rsidRPr="00662906" w:rsidRDefault="70AB9A08" w:rsidP="000C71EA">
      <w:pPr>
        <w:rPr>
          <w:rFonts w:eastAsia="Arial" w:cs="Arial"/>
        </w:rPr>
      </w:pPr>
      <w:r w:rsidRPr="00662906">
        <w:rPr>
          <w:rFonts w:eastAsia="Arial" w:cs="Arial"/>
        </w:rPr>
        <w:t xml:space="preserve">The strategic objective </w:t>
      </w:r>
      <w:r w:rsidR="00E20795" w:rsidRPr="00662906">
        <w:rPr>
          <w:rFonts w:eastAsia="Arial" w:cs="Arial"/>
        </w:rPr>
        <w:t xml:space="preserve">presented </w:t>
      </w:r>
      <w:r w:rsidR="000E61A5" w:rsidRPr="00662906">
        <w:rPr>
          <w:rFonts w:eastAsia="Arial" w:cs="Arial"/>
        </w:rPr>
        <w:t xml:space="preserve">for the industry sector is </w:t>
      </w:r>
      <w:r w:rsidRPr="00662906">
        <w:rPr>
          <w:rFonts w:eastAsia="Arial" w:cs="Arial"/>
        </w:rPr>
        <w:t>to</w:t>
      </w:r>
      <w:r w:rsidRPr="00662906">
        <w:rPr>
          <w:rFonts w:eastAsia="Arial" w:cs="Arial"/>
          <w:b/>
          <w:bCs/>
        </w:rPr>
        <w:t xml:space="preserve"> Foster Sustainable and Transformative Industrial Development </w:t>
      </w:r>
      <w:r w:rsidRPr="00662906">
        <w:rPr>
          <w:rFonts w:eastAsia="Arial" w:cs="Arial"/>
        </w:rPr>
        <w:t>prioritiz</w:t>
      </w:r>
      <w:r w:rsidR="0BEC418F" w:rsidRPr="00662906">
        <w:rPr>
          <w:rFonts w:eastAsia="Arial" w:cs="Arial"/>
        </w:rPr>
        <w:t>ing</w:t>
      </w:r>
      <w:r w:rsidRPr="00662906">
        <w:rPr>
          <w:rFonts w:eastAsia="Arial" w:cs="Arial"/>
        </w:rPr>
        <w:t xml:space="preserve"> reduction of fossil fuel energy demand by deployment of EE and RE measures in </w:t>
      </w:r>
      <w:r w:rsidR="0AF1F831" w:rsidRPr="00662906">
        <w:rPr>
          <w:rFonts w:eastAsia="Arial" w:cs="Arial"/>
        </w:rPr>
        <w:t xml:space="preserve">all </w:t>
      </w:r>
      <w:r w:rsidRPr="00662906">
        <w:rPr>
          <w:rFonts w:eastAsia="Arial" w:cs="Arial"/>
        </w:rPr>
        <w:t>industries</w:t>
      </w:r>
      <w:r w:rsidR="4FD47BB9" w:rsidRPr="00662906">
        <w:rPr>
          <w:rFonts w:eastAsia="Arial" w:cs="Arial"/>
        </w:rPr>
        <w:t xml:space="preserve"> including those without smokestacks</w:t>
      </w:r>
      <w:r w:rsidRPr="00662906">
        <w:rPr>
          <w:rFonts w:eastAsia="Arial" w:cs="Arial"/>
        </w:rPr>
        <w:t>. Sustainability will be achieved through promoting the development and deployment of renewable energy sources, energy-efficient technologies, hydrogen in manufacturing processes</w:t>
      </w:r>
      <w:r w:rsidR="2B48AC3A" w:rsidRPr="00662906">
        <w:rPr>
          <w:rFonts w:eastAsia="Arial" w:cs="Arial"/>
        </w:rPr>
        <w:t>,</w:t>
      </w:r>
      <w:r w:rsidRPr="00662906">
        <w:rPr>
          <w:rFonts w:eastAsia="Arial" w:cs="Arial"/>
        </w:rPr>
        <w:t xml:space="preserve"> carbon capture and storage</w:t>
      </w:r>
      <w:r w:rsidR="4C1B1AB0" w:rsidRPr="00662906">
        <w:rPr>
          <w:rFonts w:eastAsia="Arial" w:cs="Arial"/>
        </w:rPr>
        <w:t xml:space="preserve"> and utilization</w:t>
      </w:r>
      <w:r w:rsidRPr="00662906">
        <w:rPr>
          <w:rFonts w:eastAsia="Arial" w:cs="Arial"/>
        </w:rPr>
        <w:t>. The transformative element will be through the manufacturing of green technologies offered by Africa's abundant mineral and RE resources hence meeting socio-economic goals of GDP growth through value addition and employment creation. New industries will thus be created.</w:t>
      </w:r>
      <w:r w:rsidR="25228982" w:rsidRPr="00662906">
        <w:rPr>
          <w:rFonts w:eastAsia="Arial" w:cs="Arial"/>
        </w:rPr>
        <w:t xml:space="preserve"> It has to be highlighted that the </w:t>
      </w:r>
      <w:r w:rsidR="006D6AE3" w:rsidRPr="00662906">
        <w:rPr>
          <w:rFonts w:eastAsia="Arial" w:cs="Arial"/>
        </w:rPr>
        <w:t>industry</w:t>
      </w:r>
      <w:r w:rsidR="25228982" w:rsidRPr="00662906">
        <w:rPr>
          <w:rFonts w:eastAsia="Arial" w:cs="Arial"/>
        </w:rPr>
        <w:t xml:space="preserve"> </w:t>
      </w:r>
      <w:r w:rsidR="138FB7FA" w:rsidRPr="00662906">
        <w:rPr>
          <w:rFonts w:eastAsia="Arial" w:cs="Arial"/>
        </w:rPr>
        <w:t xml:space="preserve">sector of ETSAP, also includes and applies </w:t>
      </w:r>
      <w:r w:rsidR="0CE07461" w:rsidRPr="00662906">
        <w:rPr>
          <w:rFonts w:eastAsia="Arial" w:cs="Arial"/>
        </w:rPr>
        <w:t>to</w:t>
      </w:r>
      <w:r w:rsidR="138FB7FA" w:rsidRPr="00662906">
        <w:rPr>
          <w:rFonts w:eastAsia="Arial" w:cs="Arial"/>
        </w:rPr>
        <w:t xml:space="preserve"> industries without smokestacks</w:t>
      </w:r>
      <w:r w:rsidR="00576781" w:rsidRPr="00662906">
        <w:rPr>
          <w:rFonts w:eastAsia="Arial" w:cs="Arial"/>
        </w:rPr>
        <w:t xml:space="preserve"> like tradable services, tourism, agribusiness, ICT etc.</w:t>
      </w:r>
      <w:r w:rsidR="00576781" w:rsidRPr="00662906">
        <w:rPr>
          <w:rFonts w:ascii="Segoe UI" w:hAnsi="Segoe UI" w:cs="Segoe UI"/>
          <w:color w:val="191919"/>
          <w:sz w:val="27"/>
          <w:szCs w:val="27"/>
          <w:shd w:val="clear" w:color="auto" w:fill="FFFFFF"/>
        </w:rPr>
        <w:t xml:space="preserve"> </w:t>
      </w:r>
    </w:p>
    <w:p w14:paraId="3C360A7A" w14:textId="77777777" w:rsidR="000C71EA" w:rsidRPr="00662906" w:rsidRDefault="000C71EA" w:rsidP="000C71EA">
      <w:pPr>
        <w:rPr>
          <w:rFonts w:eastAsia="Arial" w:cs="Arial"/>
        </w:rPr>
      </w:pPr>
      <w:r w:rsidRPr="00662906">
        <w:rPr>
          <w:rFonts w:eastAsia="Arial" w:cs="Arial"/>
        </w:rPr>
        <w:t>Cost reflective tariff regimes will also persuade industrialists to save costs through cost saving measures. Industry players, apart from being regulated, need to be educated on the benefits that can accrue by deployment of such decarbonization measures.</w:t>
      </w:r>
    </w:p>
    <w:p w14:paraId="34809E9D" w14:textId="0EE34878" w:rsidR="000C71EA" w:rsidRPr="00662906" w:rsidRDefault="70AB9A08" w:rsidP="000C71EA">
      <w:pPr>
        <w:rPr>
          <w:rFonts w:eastAsia="Arial" w:cs="Arial"/>
        </w:rPr>
      </w:pPr>
      <w:r w:rsidRPr="00662906">
        <w:rPr>
          <w:rFonts w:eastAsia="Arial" w:cs="Arial"/>
        </w:rPr>
        <w:t>Incentives to attract manufacturing companies that can venture into production of both decarbonization equipment and hydrogen will be required. Examples of specialized export processing zones with friendly taxation regime and required infrastructure such as roads, water and even subsidized energy tariffs may be required at the start. Such companies would however need to be assured of the markets both locally and foreign and any restriction to move their goods and profits outside the countries.</w:t>
      </w:r>
    </w:p>
    <w:p w14:paraId="0B13CF9C" w14:textId="77777777" w:rsidR="4802C79A" w:rsidRPr="00662906" w:rsidRDefault="4802C79A" w:rsidP="2D9E25B5">
      <w:pPr>
        <w:rPr>
          <w:rFonts w:eastAsia="Arial" w:cs="Arial"/>
        </w:rPr>
      </w:pPr>
      <w:r w:rsidRPr="00662906">
        <w:rPr>
          <w:rFonts w:eastAsia="Arial" w:cs="Arial"/>
        </w:rPr>
        <w:t>The derived strategic interventions for energy transition in the industry sector are:</w:t>
      </w:r>
    </w:p>
    <w:p w14:paraId="7CAE86CB" w14:textId="7AC7C802" w:rsidR="2D9E25B5" w:rsidRPr="00662906" w:rsidRDefault="4802C79A" w:rsidP="2D9E25B5">
      <w:pPr>
        <w:rPr>
          <w:rFonts w:eastAsia="Arial" w:cs="Arial"/>
        </w:rPr>
      </w:pPr>
      <w:r w:rsidRPr="00662906">
        <w:rPr>
          <w:rFonts w:eastAsia="Arial" w:cs="Arial"/>
          <w:b/>
          <w:bCs/>
          <w:i/>
          <w:iCs/>
        </w:rPr>
        <w:t>Strategic Intervention 1. Target reduction of fossil fuel demand in industry through fuel substitution, RE supply and EE Practices.</w:t>
      </w:r>
    </w:p>
    <w:p w14:paraId="1FACE076" w14:textId="662D8157" w:rsidR="2D9E25B5" w:rsidRPr="00662906" w:rsidRDefault="4802C79A" w:rsidP="2D9E25B5">
      <w:pPr>
        <w:rPr>
          <w:rFonts w:eastAsia="Arial" w:cs="Arial"/>
        </w:rPr>
      </w:pPr>
      <w:r w:rsidRPr="00662906">
        <w:rPr>
          <w:rFonts w:eastAsia="Arial" w:cs="Arial"/>
          <w:b/>
          <w:bCs/>
          <w:i/>
          <w:iCs/>
        </w:rPr>
        <w:t>Strategic Intervention 2. Transformative industrialization to leverage Africa’s comparative advantage</w:t>
      </w:r>
      <w:r w:rsidR="0005404D" w:rsidRPr="00662906">
        <w:rPr>
          <w:rFonts w:eastAsia="Arial" w:cs="Arial"/>
        </w:rPr>
        <w:t>.</w:t>
      </w:r>
    </w:p>
    <w:p w14:paraId="70988E7A" w14:textId="27619AF3" w:rsidR="00D41C50" w:rsidRPr="00662906" w:rsidRDefault="51AAA37F" w:rsidP="1760A01F">
      <w:pPr>
        <w:rPr>
          <w:rFonts w:eastAsia="Arial" w:cs="Arial"/>
        </w:rPr>
        <w:sectPr w:rsidR="00D41C50" w:rsidRPr="00662906" w:rsidSect="00D41C50">
          <w:pgSz w:w="11906" w:h="16838"/>
          <w:pgMar w:top="1440" w:right="1440" w:bottom="1440" w:left="1440" w:header="720" w:footer="720" w:gutter="0"/>
          <w:cols w:space="720"/>
          <w:titlePg/>
          <w:docGrid w:linePitch="360"/>
        </w:sectPr>
      </w:pPr>
      <w:r w:rsidRPr="00662906">
        <w:rPr>
          <w:rFonts w:eastAsia="Arial" w:cs="Arial"/>
        </w:rPr>
        <w:t xml:space="preserve">The proposed Actions for these strategic interventions are presented below in </w:t>
      </w:r>
      <w:r w:rsidR="15C6D9CB" w:rsidRPr="00662906">
        <w:rPr>
          <w:rFonts w:eastAsia="Arial" w:cs="Arial"/>
        </w:rPr>
        <w:t xml:space="preserve">Table </w:t>
      </w:r>
      <w:r w:rsidR="2DE73E8D" w:rsidRPr="00662906">
        <w:rPr>
          <w:rFonts w:eastAsia="Arial" w:cs="Arial"/>
        </w:rPr>
        <w:t>2</w:t>
      </w:r>
      <w:r w:rsidR="003C4B5B" w:rsidRPr="00662906">
        <w:rPr>
          <w:rFonts w:eastAsia="Arial" w:cs="Arial"/>
        </w:rPr>
        <w:t>4-25</w:t>
      </w:r>
      <w:r w:rsidRPr="00662906">
        <w:rPr>
          <w:rFonts w:eastAsia="Arial" w:cs="Arial"/>
        </w:rPr>
        <w:t>.</w:t>
      </w:r>
    </w:p>
    <w:p w14:paraId="53F540BD" w14:textId="60227056" w:rsidR="0041795F" w:rsidRPr="00662906" w:rsidRDefault="0041795F" w:rsidP="1760A01F">
      <w:pPr>
        <w:rPr>
          <w:rFonts w:eastAsia="Arial" w:cs="Arial"/>
        </w:rPr>
      </w:pPr>
    </w:p>
    <w:p w14:paraId="7B4CA94D" w14:textId="48618A85" w:rsidR="03A2863B" w:rsidRPr="00662906" w:rsidRDefault="568D03AD" w:rsidP="75BD6BB8">
      <w:pPr>
        <w:pStyle w:val="Caption"/>
        <w:rPr>
          <w:rFonts w:eastAsia="Arial" w:cs="Arial"/>
          <w:sz w:val="19"/>
          <w:szCs w:val="19"/>
        </w:rPr>
      </w:pPr>
      <w:bookmarkStart w:id="645" w:name="_Toc171955596"/>
      <w:bookmarkStart w:id="646" w:name="_Toc176430325"/>
      <w:bookmarkStart w:id="647" w:name="_Toc197433912"/>
      <w:r w:rsidRPr="00662906">
        <w:t xml:space="preserve">Table </w:t>
      </w:r>
      <w:fldSimple w:instr=" SEQ Table \* ARABIC ">
        <w:r w:rsidR="00610F61">
          <w:rPr>
            <w:noProof/>
          </w:rPr>
          <w:t>24</w:t>
        </w:r>
      </w:fldSimple>
      <w:r w:rsidR="483119FC" w:rsidRPr="00662906">
        <w:t>:</w:t>
      </w:r>
      <w:r w:rsidR="210A7FB8" w:rsidRPr="00662906">
        <w:t xml:space="preserve"> Action Plan for Strategic Intervention 1:</w:t>
      </w:r>
      <w:r w:rsidR="210A7FB8" w:rsidRPr="00662906">
        <w:rPr>
          <w:rFonts w:eastAsia="Arial" w:cs="Arial"/>
          <w:sz w:val="19"/>
          <w:szCs w:val="19"/>
        </w:rPr>
        <w:t xml:space="preserve"> </w:t>
      </w:r>
      <w:r w:rsidR="00484D37" w:rsidRPr="00662906">
        <w:rPr>
          <w:rFonts w:eastAsia="Arial" w:cs="Arial"/>
          <w:sz w:val="19"/>
          <w:szCs w:val="19"/>
        </w:rPr>
        <w:t>Target reduction of fossil fuel demand in industry through fuel substitution, RE supply and EE Practices</w:t>
      </w:r>
      <w:r w:rsidR="210A7FB8" w:rsidRPr="00662906">
        <w:rPr>
          <w:rFonts w:eastAsia="Arial" w:cs="Arial"/>
          <w:sz w:val="19"/>
          <w:szCs w:val="19"/>
        </w:rPr>
        <w:t>.</w:t>
      </w:r>
      <w:bookmarkEnd w:id="645"/>
      <w:bookmarkEnd w:id="646"/>
      <w:bookmarkEnd w:id="647"/>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EF6430" w:rsidRPr="00662906" w14:paraId="29078293" w14:textId="77777777" w:rsidTr="00E8722A">
        <w:trPr>
          <w:trHeight w:val="360"/>
        </w:trPr>
        <w:tc>
          <w:tcPr>
            <w:tcW w:w="14456" w:type="dxa"/>
            <w:gridSpan w:val="10"/>
            <w:shd w:val="clear" w:color="auto" w:fill="B4A269"/>
          </w:tcPr>
          <w:p w14:paraId="1A824101" w14:textId="4A5619DE" w:rsidR="00EF6430" w:rsidRPr="00662906" w:rsidRDefault="00EF6430" w:rsidP="00EF6430">
            <w:pPr>
              <w:spacing w:before="60" w:after="60"/>
              <w:ind w:left="-57" w:right="-57"/>
              <w:rPr>
                <w:rFonts w:eastAsia="Arial" w:cs="Arial"/>
                <w:bCs/>
                <w:color w:val="FFFFFF"/>
                <w:sz w:val="16"/>
                <w:szCs w:val="16"/>
              </w:rPr>
            </w:pPr>
            <w:r w:rsidRPr="00662906">
              <w:rPr>
                <w:rFonts w:eastAsia="Arial" w:cs="Arial"/>
                <w:b/>
                <w:color w:val="FFFFFF"/>
                <w:sz w:val="16"/>
                <w:szCs w:val="16"/>
              </w:rPr>
              <w:t>Pathway to Change:</w:t>
            </w:r>
            <w:r w:rsidR="00422224" w:rsidRPr="00662906">
              <w:rPr>
                <w:rFonts w:eastAsia="Arial" w:cs="Arial"/>
                <w:b/>
                <w:color w:val="FFFFFF"/>
                <w:sz w:val="16"/>
                <w:szCs w:val="16"/>
              </w:rPr>
              <w:t xml:space="preserve"> </w:t>
            </w:r>
            <w:r w:rsidRPr="00662906">
              <w:rPr>
                <w:rFonts w:eastAsia="Arial" w:cs="Arial"/>
                <w:bCs/>
                <w:color w:val="FFFFFF"/>
                <w:sz w:val="16"/>
                <w:szCs w:val="16"/>
              </w:rPr>
              <w:t>Many African Union Member States in their NDCs have ambition to increase industrial energy efficiency and emission emissions reductions. There are proven practices and technologies to enhance energy efficiency in industries (e.g. efficient motors etc) and can be replicated across the continent while supported by regulations/standards, incentives, awareness raising and capacity/skills.</w:t>
            </w:r>
          </w:p>
          <w:p w14:paraId="76836004" w14:textId="12992021" w:rsidR="00EF6430" w:rsidRPr="00662906" w:rsidRDefault="00EF6430" w:rsidP="00EF6430">
            <w:pPr>
              <w:spacing w:before="60" w:after="60"/>
              <w:ind w:left="-57" w:right="-57"/>
              <w:rPr>
                <w:rFonts w:eastAsia="Arial" w:cs="Arial"/>
                <w:b/>
                <w:color w:val="FFFFFF"/>
                <w:sz w:val="16"/>
                <w:szCs w:val="16"/>
              </w:rPr>
            </w:pPr>
            <w:r w:rsidRPr="00662906">
              <w:rPr>
                <w:rFonts w:eastAsia="Arial" w:cs="Arial"/>
                <w:bCs/>
                <w:color w:val="FFFFFF"/>
                <w:sz w:val="16"/>
                <w:szCs w:val="16"/>
              </w:rPr>
              <w:t>The opportunity exists also for deploying distributed RE systems such as roof top solar in commerce and industry hence increasing reliability and sustainability of energy supply while reducing dependence on fossil fuels</w:t>
            </w:r>
            <w:r w:rsidR="00576781" w:rsidRPr="00662906">
              <w:rPr>
                <w:rFonts w:eastAsia="Arial" w:cs="Arial"/>
                <w:bCs/>
                <w:color w:val="FFFFFF"/>
                <w:sz w:val="16"/>
                <w:szCs w:val="16"/>
              </w:rPr>
              <w:t xml:space="preserve"> that have a high share in the </w:t>
            </w:r>
            <w:r w:rsidR="00D03E36" w:rsidRPr="00662906">
              <w:rPr>
                <w:rFonts w:eastAsia="Arial" w:cs="Arial"/>
                <w:bCs/>
                <w:color w:val="FFFFFF"/>
                <w:sz w:val="16"/>
                <w:szCs w:val="16"/>
              </w:rPr>
              <w:t>sector</w:t>
            </w:r>
            <w:r w:rsidR="00576781" w:rsidRPr="00662906">
              <w:rPr>
                <w:rFonts w:eastAsia="Arial" w:cs="Arial"/>
                <w:bCs/>
                <w:color w:val="FFFFFF"/>
                <w:sz w:val="16"/>
                <w:szCs w:val="16"/>
              </w:rPr>
              <w:t xml:space="preserve"> currently</w:t>
            </w:r>
            <w:r w:rsidRPr="00662906">
              <w:rPr>
                <w:rFonts w:eastAsia="Arial" w:cs="Arial"/>
                <w:bCs/>
                <w:color w:val="FFFFFF"/>
                <w:sz w:val="16"/>
                <w:szCs w:val="16"/>
              </w:rPr>
              <w:t>. The emergence of green hydrogen in industry applications is also another opportunity that can be deployed in ‘hard to abate” industries, and Africa has not done adequate assessment regarding its market potential in industry.</w:t>
            </w:r>
          </w:p>
        </w:tc>
      </w:tr>
      <w:tr w:rsidR="00EF6430" w:rsidRPr="00662906" w14:paraId="1D84A16D" w14:textId="77777777" w:rsidTr="00E8722A">
        <w:trPr>
          <w:trHeight w:val="699"/>
        </w:trPr>
        <w:tc>
          <w:tcPr>
            <w:tcW w:w="1415" w:type="dxa"/>
            <w:gridSpan w:val="2"/>
            <w:shd w:val="clear" w:color="auto" w:fill="B4A269"/>
            <w:tcMar>
              <w:left w:w="57" w:type="dxa"/>
              <w:right w:w="57" w:type="dxa"/>
            </w:tcMar>
            <w:vAlign w:val="center"/>
          </w:tcPr>
          <w:p w14:paraId="20290477"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609D1282" w14:textId="77777777" w:rsidR="00EF6430" w:rsidRPr="00662906" w:rsidRDefault="00EF6430"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04DBF7CC"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05BDF62D"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6399BE23"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1C2041D9"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1C8AE259"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171A32DF"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631E53E0" w14:textId="77777777" w:rsidR="00EF6430" w:rsidRPr="00662906" w:rsidRDefault="00EF6430"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961EB5" w:rsidRPr="00662906" w14:paraId="069A92B8" w14:textId="77777777" w:rsidTr="007E6C89">
        <w:trPr>
          <w:trHeight w:val="1413"/>
        </w:trPr>
        <w:tc>
          <w:tcPr>
            <w:tcW w:w="167" w:type="dxa"/>
            <w:shd w:val="clear" w:color="auto" w:fill="FFFFFF"/>
            <w:tcMar>
              <w:left w:w="57" w:type="dxa"/>
              <w:right w:w="57" w:type="dxa"/>
            </w:tcMar>
          </w:tcPr>
          <w:p w14:paraId="04319F67" w14:textId="77777777" w:rsidR="00775AD5" w:rsidRPr="00662906" w:rsidRDefault="00775AD5"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7EBCECDC" w14:textId="74CA5A49"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Develop and implement a carbon benchmark for traded goods manufactured in Africa under the AfCFTA</w:t>
            </w:r>
          </w:p>
        </w:tc>
        <w:tc>
          <w:tcPr>
            <w:tcW w:w="3260" w:type="dxa"/>
            <w:tcBorders>
              <w:bottom w:val="single" w:sz="2" w:space="0" w:color="9F2241"/>
            </w:tcBorders>
            <w:shd w:val="clear" w:color="auto" w:fill="FFFFFF"/>
            <w:tcMar>
              <w:left w:w="57" w:type="dxa"/>
              <w:right w:w="57" w:type="dxa"/>
            </w:tcMar>
          </w:tcPr>
          <w:p w14:paraId="0642E4DF" w14:textId="22F97832" w:rsidR="00775AD5" w:rsidRPr="00662906" w:rsidRDefault="00775AD5" w:rsidP="007E6C89">
            <w:pPr>
              <w:pStyle w:val="ListParagraph"/>
              <w:numPr>
                <w:ilvl w:val="0"/>
                <w:numId w:val="104"/>
              </w:numPr>
              <w:spacing w:before="0" w:after="0"/>
              <w:ind w:left="368"/>
              <w:jc w:val="center"/>
              <w:rPr>
                <w:rFonts w:cs="Arial"/>
                <w:sz w:val="16"/>
                <w:szCs w:val="16"/>
              </w:rPr>
            </w:pPr>
            <w:r w:rsidRPr="00662906">
              <w:rPr>
                <w:rFonts w:cs="Arial"/>
                <w:sz w:val="16"/>
                <w:szCs w:val="16"/>
              </w:rPr>
              <w:t>Conduct analytical studies to assess the impact of setting carbon-intensity benchmarks on industrial competitiveness and emissions</w:t>
            </w:r>
          </w:p>
          <w:p w14:paraId="4F52ECB8" w14:textId="55A3A035" w:rsidR="00775AD5" w:rsidRPr="00662906" w:rsidRDefault="00775AD5" w:rsidP="007E6C89">
            <w:pPr>
              <w:pStyle w:val="ListParagraph"/>
              <w:numPr>
                <w:ilvl w:val="0"/>
                <w:numId w:val="104"/>
              </w:numPr>
              <w:spacing w:before="0" w:after="0"/>
              <w:ind w:left="368"/>
              <w:jc w:val="center"/>
              <w:rPr>
                <w:rFonts w:cs="Arial"/>
                <w:sz w:val="16"/>
                <w:szCs w:val="16"/>
              </w:rPr>
            </w:pPr>
            <w:r w:rsidRPr="00662906">
              <w:rPr>
                <w:rFonts w:cs="Arial"/>
                <w:sz w:val="16"/>
                <w:szCs w:val="16"/>
              </w:rPr>
              <w:t>Develop a draft carbon benchmark framework aligned with AfCFTA standards</w:t>
            </w:r>
          </w:p>
          <w:p w14:paraId="3B50210A" w14:textId="44D1111E" w:rsidR="00775AD5" w:rsidRPr="00662906" w:rsidRDefault="00775AD5" w:rsidP="007E6C89">
            <w:pPr>
              <w:pStyle w:val="ListParagraph"/>
              <w:numPr>
                <w:ilvl w:val="0"/>
                <w:numId w:val="104"/>
              </w:numPr>
              <w:spacing w:before="0" w:after="0"/>
              <w:ind w:left="368"/>
              <w:jc w:val="center"/>
              <w:rPr>
                <w:rFonts w:cs="Arial"/>
                <w:sz w:val="16"/>
                <w:szCs w:val="16"/>
              </w:rPr>
            </w:pPr>
            <w:r w:rsidRPr="00662906">
              <w:rPr>
                <w:rFonts w:cs="Arial"/>
                <w:sz w:val="16"/>
                <w:szCs w:val="16"/>
              </w:rPr>
              <w:t>Organize technical workshops with regional/national standards bodies, trade ministries, and industry associations</w:t>
            </w:r>
          </w:p>
          <w:p w14:paraId="22299483" w14:textId="10BF7220" w:rsidR="00775AD5" w:rsidRPr="00662906" w:rsidRDefault="00775AD5" w:rsidP="007E6C89">
            <w:pPr>
              <w:pStyle w:val="ListParagraph"/>
              <w:numPr>
                <w:ilvl w:val="0"/>
                <w:numId w:val="104"/>
              </w:numPr>
              <w:spacing w:before="0" w:after="0"/>
              <w:ind w:left="368"/>
              <w:jc w:val="center"/>
              <w:rPr>
                <w:rFonts w:cs="Arial"/>
                <w:sz w:val="16"/>
                <w:szCs w:val="16"/>
              </w:rPr>
            </w:pPr>
            <w:r w:rsidRPr="00662906">
              <w:rPr>
                <w:rFonts w:cs="Arial"/>
                <w:sz w:val="16"/>
                <w:szCs w:val="16"/>
              </w:rPr>
              <w:t>Pilot the benchmark in select industries to gather data and refine guidelines</w:t>
            </w:r>
          </w:p>
        </w:tc>
        <w:tc>
          <w:tcPr>
            <w:tcW w:w="1276" w:type="dxa"/>
            <w:shd w:val="clear" w:color="auto" w:fill="FFFFFF"/>
            <w:tcMar>
              <w:left w:w="57" w:type="dxa"/>
              <w:right w:w="57" w:type="dxa"/>
            </w:tcMar>
          </w:tcPr>
          <w:p w14:paraId="30333158" w14:textId="079035EF"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36F8C8F2" w14:textId="40D0E57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AFSEC/</w:t>
            </w:r>
            <w:r w:rsidR="00961EB5" w:rsidRPr="00662906">
              <w:rPr>
                <w:rFonts w:cs="Arial"/>
                <w:sz w:val="16"/>
                <w:szCs w:val="16"/>
              </w:rPr>
              <w:t xml:space="preserve"> </w:t>
            </w:r>
            <w:r w:rsidRPr="00662906">
              <w:rPr>
                <w:rFonts w:cs="Arial"/>
                <w:sz w:val="16"/>
                <w:szCs w:val="16"/>
              </w:rPr>
              <w:t>ARSO</w:t>
            </w:r>
          </w:p>
        </w:tc>
        <w:tc>
          <w:tcPr>
            <w:tcW w:w="1198" w:type="dxa"/>
            <w:shd w:val="clear" w:color="auto" w:fill="FFFFFF"/>
            <w:tcMar>
              <w:left w:w="57" w:type="dxa"/>
              <w:right w:w="57" w:type="dxa"/>
            </w:tcMar>
          </w:tcPr>
          <w:p w14:paraId="0141CCCD" w14:textId="2293C22C"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AFREC, Regional/National Standards Bodies, Ministries in charge of Industry, Trade, Energy</w:t>
            </w:r>
          </w:p>
        </w:tc>
        <w:tc>
          <w:tcPr>
            <w:tcW w:w="851" w:type="dxa"/>
            <w:shd w:val="clear" w:color="auto" w:fill="FFFFFF"/>
            <w:tcMar>
              <w:left w:w="57" w:type="dxa"/>
              <w:right w:w="57" w:type="dxa"/>
            </w:tcMar>
          </w:tcPr>
          <w:p w14:paraId="545A82A1" w14:textId="198CD07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04C3CDBB" w14:textId="2A56F655"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Carbon benchmark framework</w:t>
            </w:r>
          </w:p>
          <w:p w14:paraId="66B834CE" w14:textId="094CC607"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proceedings and stakeholder inputs</w:t>
            </w:r>
          </w:p>
          <w:p w14:paraId="3C499F4F" w14:textId="39A9C643"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implementation reports</w:t>
            </w:r>
          </w:p>
        </w:tc>
        <w:tc>
          <w:tcPr>
            <w:tcW w:w="1701" w:type="dxa"/>
            <w:shd w:val="clear" w:color="auto" w:fill="FFFFFF"/>
          </w:tcPr>
          <w:p w14:paraId="6F716560" w14:textId="2704F6D9"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Reduced carbon footprint of goods traded under AfCFTA, aligning industrial practices with low-emission objectives and enhancing product quality and competitiveness</w:t>
            </w:r>
          </w:p>
        </w:tc>
        <w:tc>
          <w:tcPr>
            <w:tcW w:w="1843" w:type="dxa"/>
            <w:shd w:val="clear" w:color="auto" w:fill="FFFFFF"/>
          </w:tcPr>
          <w:p w14:paraId="0C310FE7" w14:textId="151680F5" w:rsidR="00775AD5" w:rsidRPr="00662906" w:rsidRDefault="00576781"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A functioning </w:t>
            </w:r>
            <w:r w:rsidR="007359D3" w:rsidRPr="00662906">
              <w:rPr>
                <w:rFonts w:eastAsia="Arial" w:cs="Arial"/>
                <w:color w:val="53575A"/>
                <w:sz w:val="16"/>
                <w:szCs w:val="16"/>
              </w:rPr>
              <w:t>C</w:t>
            </w:r>
            <w:r w:rsidRPr="00662906">
              <w:rPr>
                <w:rFonts w:eastAsia="Arial" w:cs="Arial"/>
                <w:color w:val="53575A"/>
                <w:sz w:val="16"/>
                <w:szCs w:val="16"/>
              </w:rPr>
              <w:t xml:space="preserve">arbon </w:t>
            </w:r>
            <w:r w:rsidR="00775AD5" w:rsidRPr="00662906">
              <w:rPr>
                <w:rFonts w:eastAsia="Arial" w:cs="Arial"/>
                <w:color w:val="53575A"/>
                <w:sz w:val="16"/>
                <w:szCs w:val="16"/>
              </w:rPr>
              <w:t xml:space="preserve"> Benchmark framework finalized </w:t>
            </w:r>
            <w:r w:rsidR="007359D3" w:rsidRPr="00662906">
              <w:rPr>
                <w:rFonts w:eastAsia="Arial" w:cs="Arial"/>
                <w:color w:val="53575A"/>
                <w:sz w:val="16"/>
                <w:szCs w:val="16"/>
              </w:rPr>
              <w:t xml:space="preserve"> and adopted by </w:t>
            </w:r>
            <w:r w:rsidR="00D03E36" w:rsidRPr="00662906">
              <w:rPr>
                <w:rFonts w:eastAsia="Arial" w:cs="Arial"/>
                <w:color w:val="53575A"/>
                <w:sz w:val="16"/>
                <w:szCs w:val="16"/>
              </w:rPr>
              <w:t>selected</w:t>
            </w:r>
            <w:r w:rsidR="007359D3" w:rsidRPr="00662906">
              <w:rPr>
                <w:rFonts w:eastAsia="Arial" w:cs="Arial"/>
                <w:color w:val="53575A"/>
                <w:sz w:val="16"/>
                <w:szCs w:val="16"/>
              </w:rPr>
              <w:t xml:space="preserve"> AU-MS and AfCFTA</w:t>
            </w:r>
            <w:r w:rsidR="00B33ED0" w:rsidRPr="00662906">
              <w:rPr>
                <w:rFonts w:eastAsia="Arial" w:cs="Arial"/>
                <w:color w:val="53575A"/>
                <w:sz w:val="16"/>
                <w:szCs w:val="16"/>
              </w:rPr>
              <w:t xml:space="preserve"> </w:t>
            </w:r>
            <w:r w:rsidR="00775AD5" w:rsidRPr="00662906">
              <w:rPr>
                <w:rFonts w:eastAsia="Arial" w:cs="Arial"/>
                <w:color w:val="53575A"/>
                <w:sz w:val="16"/>
                <w:szCs w:val="16"/>
              </w:rPr>
              <w:t>(Yes/No)</w:t>
            </w:r>
          </w:p>
          <w:p w14:paraId="713A7161" w14:textId="0CDA0DE8" w:rsidR="00775AD5" w:rsidRPr="00662906" w:rsidRDefault="00775AD5" w:rsidP="007E6C89">
            <w:pPr>
              <w:spacing w:before="40" w:after="40"/>
              <w:ind w:left="-39"/>
              <w:jc w:val="center"/>
              <w:rPr>
                <w:rFonts w:eastAsia="Arial" w:cs="Arial"/>
                <w:color w:val="53575A"/>
                <w:sz w:val="16"/>
                <w:szCs w:val="16"/>
              </w:rPr>
            </w:pPr>
          </w:p>
        </w:tc>
      </w:tr>
      <w:tr w:rsidR="00775AD5" w:rsidRPr="00662906" w14:paraId="376466B3" w14:textId="77777777" w:rsidTr="007E6C89">
        <w:trPr>
          <w:trHeight w:val="300"/>
        </w:trPr>
        <w:tc>
          <w:tcPr>
            <w:tcW w:w="167" w:type="dxa"/>
            <w:shd w:val="clear" w:color="auto" w:fill="FFFFFF"/>
            <w:tcMar>
              <w:left w:w="57" w:type="dxa"/>
              <w:right w:w="57" w:type="dxa"/>
            </w:tcMar>
          </w:tcPr>
          <w:p w14:paraId="6614BB2D" w14:textId="77777777" w:rsidR="00775AD5" w:rsidRPr="00662906" w:rsidRDefault="00775AD5"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445D8D68" w14:textId="11F69B3B"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Determine RE/EE market potential in national industries to inform scope of needed manufacturing</w:t>
            </w:r>
          </w:p>
        </w:tc>
        <w:tc>
          <w:tcPr>
            <w:tcW w:w="3260" w:type="dxa"/>
            <w:tcBorders>
              <w:bottom w:val="single" w:sz="4" w:space="0" w:color="9F2241"/>
            </w:tcBorders>
            <w:shd w:val="clear" w:color="auto" w:fill="FFFFFF"/>
            <w:tcMar>
              <w:left w:w="57" w:type="dxa"/>
              <w:right w:w="57" w:type="dxa"/>
            </w:tcMar>
          </w:tcPr>
          <w:p w14:paraId="5C1D25FC" w14:textId="62C1274A" w:rsidR="00775AD5" w:rsidRPr="00662906" w:rsidRDefault="00775AD5" w:rsidP="007E6C89">
            <w:pPr>
              <w:pStyle w:val="ListParagraph"/>
              <w:numPr>
                <w:ilvl w:val="0"/>
                <w:numId w:val="105"/>
              </w:numPr>
              <w:spacing w:before="40" w:after="40"/>
              <w:ind w:left="368"/>
              <w:jc w:val="center"/>
              <w:rPr>
                <w:rFonts w:eastAsia="Arial" w:cs="Arial"/>
                <w:color w:val="394A58"/>
                <w:sz w:val="16"/>
                <w:szCs w:val="16"/>
              </w:rPr>
            </w:pPr>
            <w:r w:rsidRPr="00662906">
              <w:rPr>
                <w:rFonts w:eastAsia="Arial" w:cs="Arial"/>
                <w:color w:val="394A58"/>
                <w:sz w:val="16"/>
                <w:szCs w:val="16"/>
              </w:rPr>
              <w:t>Conduct a comprehensive study identifying key industrial subsectors for RE substitution (roof-top solar, green hydrogen, etc.) and EE improvements (efficient motors, heat recovery, etc.)</w:t>
            </w:r>
          </w:p>
          <w:p w14:paraId="65471354" w14:textId="7F4F5CCA" w:rsidR="00775AD5" w:rsidRPr="00662906" w:rsidRDefault="00775AD5" w:rsidP="007E6C89">
            <w:pPr>
              <w:pStyle w:val="ListParagraph"/>
              <w:numPr>
                <w:ilvl w:val="0"/>
                <w:numId w:val="105"/>
              </w:numPr>
              <w:spacing w:before="40" w:after="40"/>
              <w:ind w:left="368"/>
              <w:jc w:val="center"/>
              <w:rPr>
                <w:rFonts w:eastAsia="Arial" w:cs="Arial"/>
                <w:color w:val="394A58"/>
                <w:sz w:val="16"/>
                <w:szCs w:val="16"/>
              </w:rPr>
            </w:pPr>
            <w:r w:rsidRPr="00662906">
              <w:rPr>
                <w:rFonts w:eastAsia="Arial" w:cs="Arial"/>
                <w:color w:val="394A58"/>
                <w:sz w:val="16"/>
                <w:szCs w:val="16"/>
              </w:rPr>
              <w:t>Establish baseline data on current fossil-fuel dependency and potential for decarbonization</w:t>
            </w:r>
          </w:p>
          <w:p w14:paraId="3639D083" w14:textId="51D752FD" w:rsidR="00775AD5" w:rsidRPr="00662906" w:rsidRDefault="00775AD5" w:rsidP="007E6C89">
            <w:pPr>
              <w:pStyle w:val="ListParagraph"/>
              <w:numPr>
                <w:ilvl w:val="0"/>
                <w:numId w:val="105"/>
              </w:numPr>
              <w:spacing w:before="40" w:after="40"/>
              <w:ind w:left="368"/>
              <w:jc w:val="center"/>
              <w:rPr>
                <w:rFonts w:eastAsia="Arial" w:cs="Arial"/>
                <w:color w:val="394A58"/>
                <w:sz w:val="16"/>
                <w:szCs w:val="16"/>
              </w:rPr>
            </w:pPr>
            <w:r w:rsidRPr="00662906">
              <w:rPr>
                <w:rFonts w:eastAsia="Arial" w:cs="Arial"/>
                <w:color w:val="394A58"/>
                <w:sz w:val="16"/>
                <w:szCs w:val="16"/>
              </w:rPr>
              <w:t>Engage industry associations to validate findings and prioritize areas for policy intervention</w:t>
            </w:r>
          </w:p>
        </w:tc>
        <w:tc>
          <w:tcPr>
            <w:tcW w:w="1276" w:type="dxa"/>
            <w:shd w:val="clear" w:color="auto" w:fill="FFFFFF"/>
            <w:tcMar>
              <w:left w:w="57" w:type="dxa"/>
              <w:right w:w="57" w:type="dxa"/>
            </w:tcMar>
          </w:tcPr>
          <w:p w14:paraId="63010DD3" w14:textId="4A269E87"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3A7C487F" w14:textId="469C8273"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781BFD4E" w14:textId="09E7E334" w:rsidR="007359D3" w:rsidRPr="00662906" w:rsidRDefault="00775AD5" w:rsidP="007E6C89">
            <w:pPr>
              <w:spacing w:before="40" w:after="40"/>
              <w:jc w:val="center"/>
              <w:rPr>
                <w:rFonts w:cs="Arial"/>
                <w:sz w:val="16"/>
                <w:szCs w:val="16"/>
              </w:rPr>
            </w:pPr>
            <w:r w:rsidRPr="00662906">
              <w:rPr>
                <w:rFonts w:cs="Arial"/>
                <w:sz w:val="16"/>
                <w:szCs w:val="16"/>
              </w:rPr>
              <w:t>Ministries</w:t>
            </w:r>
            <w:r w:rsidR="007359D3" w:rsidRPr="00662906">
              <w:rPr>
                <w:rFonts w:cs="Arial"/>
                <w:sz w:val="16"/>
                <w:szCs w:val="16"/>
              </w:rPr>
              <w:t xml:space="preserve"> in charge of</w:t>
            </w:r>
            <w:r w:rsidRPr="00662906">
              <w:rPr>
                <w:rFonts w:cs="Arial"/>
                <w:sz w:val="16"/>
                <w:szCs w:val="16"/>
              </w:rPr>
              <w:t xml:space="preserve"> Industry </w:t>
            </w:r>
            <w:r w:rsidR="007359D3" w:rsidRPr="00662906">
              <w:rPr>
                <w:rFonts w:cs="Arial"/>
                <w:sz w:val="16"/>
                <w:szCs w:val="16"/>
              </w:rPr>
              <w:t>and Trade</w:t>
            </w:r>
          </w:p>
          <w:p w14:paraId="4CF5F8BE" w14:textId="2E08137A" w:rsidR="00775AD5" w:rsidRPr="00662906" w:rsidRDefault="007359D3" w:rsidP="007E6C89">
            <w:pPr>
              <w:spacing w:before="40" w:after="40"/>
              <w:jc w:val="center"/>
              <w:rPr>
                <w:rFonts w:eastAsia="Arial" w:cs="Arial"/>
                <w:color w:val="53575A"/>
                <w:sz w:val="16"/>
                <w:szCs w:val="16"/>
              </w:rPr>
            </w:pPr>
            <w:r w:rsidRPr="00662906">
              <w:rPr>
                <w:rFonts w:cs="Arial"/>
                <w:sz w:val="16"/>
                <w:szCs w:val="16"/>
              </w:rPr>
              <w:t xml:space="preserve">Industry </w:t>
            </w:r>
            <w:r w:rsidR="00775AD5" w:rsidRPr="00662906">
              <w:rPr>
                <w:rFonts w:cs="Arial"/>
                <w:sz w:val="16"/>
                <w:szCs w:val="16"/>
              </w:rPr>
              <w:t>Associations, RCREEEs, REC Industry Directorates</w:t>
            </w:r>
          </w:p>
        </w:tc>
        <w:tc>
          <w:tcPr>
            <w:tcW w:w="851" w:type="dxa"/>
            <w:shd w:val="clear" w:color="auto" w:fill="FFFFFF"/>
            <w:tcMar>
              <w:left w:w="57" w:type="dxa"/>
              <w:right w:w="57" w:type="dxa"/>
            </w:tcMar>
          </w:tcPr>
          <w:p w14:paraId="13546B3D" w14:textId="67CFA946"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6E1701C4" w14:textId="32D0E5EA"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Market potential assessment report</w:t>
            </w:r>
          </w:p>
          <w:p w14:paraId="03AB9D2A" w14:textId="23D5FDA7"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Baseline fossil-fuel usage data</w:t>
            </w:r>
          </w:p>
          <w:p w14:paraId="2AF48AEF" w14:textId="77911953"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Priority policy recommendations</w:t>
            </w:r>
          </w:p>
        </w:tc>
        <w:tc>
          <w:tcPr>
            <w:tcW w:w="1701" w:type="dxa"/>
            <w:shd w:val="clear" w:color="auto" w:fill="FFFFFF"/>
          </w:tcPr>
          <w:p w14:paraId="0282ACF9" w14:textId="047EA8BE"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Targeted investments and policy measures supporting RE and EE adoption in industrial processes, reducing fossil fuel reliance and operational costs</w:t>
            </w:r>
          </w:p>
        </w:tc>
        <w:tc>
          <w:tcPr>
            <w:tcW w:w="1843" w:type="dxa"/>
            <w:shd w:val="clear" w:color="auto" w:fill="FFFFFF"/>
          </w:tcPr>
          <w:p w14:paraId="0FDBB45D" w14:textId="27EA4912" w:rsidR="00775AD5" w:rsidRPr="00662906" w:rsidRDefault="00775A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Completion of market study (Yes/No)</w:t>
            </w:r>
          </w:p>
          <w:p w14:paraId="7AA30BE7" w14:textId="603C0386" w:rsidR="00775AD5" w:rsidRPr="00662906" w:rsidRDefault="00775A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industry associations engaged</w:t>
            </w:r>
          </w:p>
          <w:p w14:paraId="47A59C27" w14:textId="79601028" w:rsidR="00775AD5" w:rsidRPr="00662906" w:rsidRDefault="00775A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Policy recommendations integrated (Yes/No)</w:t>
            </w:r>
          </w:p>
        </w:tc>
      </w:tr>
      <w:tr w:rsidR="00775AD5" w:rsidRPr="00662906" w14:paraId="3AFD2F13" w14:textId="77777777" w:rsidTr="007E6C89">
        <w:trPr>
          <w:trHeight w:val="300"/>
        </w:trPr>
        <w:tc>
          <w:tcPr>
            <w:tcW w:w="167" w:type="dxa"/>
            <w:shd w:val="clear" w:color="auto" w:fill="FFFFFF"/>
            <w:tcMar>
              <w:left w:w="57" w:type="dxa"/>
              <w:right w:w="57" w:type="dxa"/>
            </w:tcMar>
          </w:tcPr>
          <w:p w14:paraId="21C4B566" w14:textId="77777777" w:rsidR="00775AD5" w:rsidRPr="00662906" w:rsidRDefault="00775AD5"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126FD1C4" w14:textId="6202029E"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 xml:space="preserve">Introduce and </w:t>
            </w:r>
            <w:r w:rsidR="007359D3" w:rsidRPr="00662906">
              <w:rPr>
                <w:rFonts w:cs="Arial"/>
                <w:sz w:val="16"/>
                <w:szCs w:val="16"/>
              </w:rPr>
              <w:t>enforce</w:t>
            </w:r>
            <w:r w:rsidRPr="00662906">
              <w:rPr>
                <w:rFonts w:cs="Arial"/>
                <w:sz w:val="16"/>
                <w:szCs w:val="16"/>
              </w:rPr>
              <w:t xml:space="preserve"> an EE regulatory framework for industrial </w:t>
            </w:r>
            <w:r w:rsidRPr="00662906">
              <w:rPr>
                <w:rFonts w:cs="Arial"/>
                <w:sz w:val="16"/>
                <w:szCs w:val="16"/>
              </w:rPr>
              <w:lastRenderedPageBreak/>
              <w:t>decarbonization performance</w:t>
            </w:r>
          </w:p>
        </w:tc>
        <w:tc>
          <w:tcPr>
            <w:tcW w:w="3260" w:type="dxa"/>
            <w:tcBorders>
              <w:top w:val="single" w:sz="4" w:space="0" w:color="9F2241"/>
              <w:left w:val="nil"/>
              <w:bottom w:val="single" w:sz="4" w:space="0" w:color="9F2241"/>
              <w:right w:val="nil"/>
            </w:tcBorders>
            <w:tcMar>
              <w:left w:w="57" w:type="dxa"/>
              <w:right w:w="57" w:type="dxa"/>
            </w:tcMar>
          </w:tcPr>
          <w:p w14:paraId="7B23EDD2" w14:textId="61537C29" w:rsidR="00775AD5" w:rsidRPr="00662906" w:rsidRDefault="00775AD5" w:rsidP="007E6C89">
            <w:pPr>
              <w:pStyle w:val="ListParagraph"/>
              <w:numPr>
                <w:ilvl w:val="0"/>
                <w:numId w:val="106"/>
              </w:numPr>
              <w:spacing w:before="40" w:after="40"/>
              <w:ind w:left="368"/>
              <w:jc w:val="center"/>
              <w:rPr>
                <w:rFonts w:eastAsia="Arial" w:cs="Arial"/>
                <w:color w:val="394A58"/>
                <w:sz w:val="16"/>
                <w:szCs w:val="16"/>
              </w:rPr>
            </w:pPr>
            <w:r w:rsidRPr="00662906">
              <w:rPr>
                <w:rFonts w:eastAsia="Arial" w:cs="Arial"/>
                <w:color w:val="394A58"/>
                <w:sz w:val="16"/>
                <w:szCs w:val="16"/>
              </w:rPr>
              <w:lastRenderedPageBreak/>
              <w:t>Develop energy management system guidelines for high-impact industries</w:t>
            </w:r>
          </w:p>
          <w:p w14:paraId="2C67873A" w14:textId="2E216A7D" w:rsidR="00775AD5" w:rsidRPr="00662906" w:rsidRDefault="00775AD5" w:rsidP="007E6C89">
            <w:pPr>
              <w:pStyle w:val="ListParagraph"/>
              <w:numPr>
                <w:ilvl w:val="0"/>
                <w:numId w:val="106"/>
              </w:numPr>
              <w:spacing w:before="40" w:after="40"/>
              <w:ind w:left="368"/>
              <w:jc w:val="center"/>
              <w:rPr>
                <w:rFonts w:eastAsia="Arial" w:cs="Arial"/>
                <w:color w:val="394A58"/>
                <w:sz w:val="16"/>
                <w:szCs w:val="16"/>
              </w:rPr>
            </w:pPr>
            <w:r w:rsidRPr="00662906">
              <w:rPr>
                <w:rFonts w:eastAsia="Arial" w:cs="Arial"/>
                <w:color w:val="394A58"/>
                <w:sz w:val="16"/>
                <w:szCs w:val="16"/>
              </w:rPr>
              <w:t>Enforce mandatory energy audits and reporting for eligible industrial facilities</w:t>
            </w:r>
          </w:p>
          <w:p w14:paraId="1ABB9251" w14:textId="6F253317" w:rsidR="00775AD5" w:rsidRPr="00662906" w:rsidRDefault="00775AD5" w:rsidP="007E6C89">
            <w:pPr>
              <w:pStyle w:val="ListParagraph"/>
              <w:numPr>
                <w:ilvl w:val="0"/>
                <w:numId w:val="106"/>
              </w:numPr>
              <w:spacing w:before="40" w:after="40"/>
              <w:ind w:left="368"/>
              <w:jc w:val="center"/>
              <w:rPr>
                <w:rFonts w:eastAsia="Arial" w:cs="Arial"/>
                <w:color w:val="394A58"/>
                <w:sz w:val="16"/>
                <w:szCs w:val="16"/>
              </w:rPr>
            </w:pPr>
            <w:r w:rsidRPr="00662906">
              <w:rPr>
                <w:rFonts w:eastAsia="Arial" w:cs="Arial"/>
                <w:color w:val="394A58"/>
                <w:sz w:val="16"/>
                <w:szCs w:val="16"/>
              </w:rPr>
              <w:t>Collaborate with industry associations to draft sector-specific EE targets</w:t>
            </w:r>
          </w:p>
          <w:p w14:paraId="5572E85B" w14:textId="09F5A8C3" w:rsidR="00775AD5" w:rsidRPr="00662906" w:rsidRDefault="00775AD5" w:rsidP="007E6C89">
            <w:pPr>
              <w:pStyle w:val="ListParagraph"/>
              <w:numPr>
                <w:ilvl w:val="0"/>
                <w:numId w:val="106"/>
              </w:numPr>
              <w:spacing w:before="40" w:after="40"/>
              <w:ind w:left="368"/>
              <w:jc w:val="center"/>
              <w:rPr>
                <w:rFonts w:eastAsia="Arial" w:cs="Arial"/>
                <w:color w:val="394A58"/>
                <w:sz w:val="16"/>
                <w:szCs w:val="16"/>
              </w:rPr>
            </w:pPr>
            <w:r w:rsidRPr="00662906">
              <w:rPr>
                <w:rFonts w:eastAsia="Arial" w:cs="Arial"/>
                <w:color w:val="394A58"/>
                <w:sz w:val="16"/>
                <w:szCs w:val="16"/>
              </w:rPr>
              <w:lastRenderedPageBreak/>
              <w:t>Monitor compliance through periodic assessments</w:t>
            </w:r>
          </w:p>
        </w:tc>
        <w:tc>
          <w:tcPr>
            <w:tcW w:w="1276" w:type="dxa"/>
            <w:shd w:val="clear" w:color="auto" w:fill="FFFFFF"/>
            <w:tcMar>
              <w:left w:w="57" w:type="dxa"/>
              <w:right w:w="57" w:type="dxa"/>
            </w:tcMar>
          </w:tcPr>
          <w:p w14:paraId="3448DCA7" w14:textId="249DD6A5" w:rsidR="00775AD5" w:rsidRPr="00662906" w:rsidRDefault="00775AD5"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6A45B43A" w14:textId="56404737"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National Energy Regulators</w:t>
            </w:r>
          </w:p>
        </w:tc>
        <w:tc>
          <w:tcPr>
            <w:tcW w:w="1198" w:type="dxa"/>
            <w:shd w:val="clear" w:color="auto" w:fill="FFFFFF"/>
            <w:tcMar>
              <w:left w:w="57" w:type="dxa"/>
              <w:right w:w="57" w:type="dxa"/>
            </w:tcMar>
          </w:tcPr>
          <w:p w14:paraId="0F2012CE" w14:textId="7AF8E98F"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 xml:space="preserve">Ministries in charge of Energy, Ministries in charge of Industry, Industry </w:t>
            </w:r>
            <w:r w:rsidRPr="00662906">
              <w:rPr>
                <w:rFonts w:cs="Arial"/>
                <w:sz w:val="16"/>
                <w:szCs w:val="16"/>
              </w:rPr>
              <w:lastRenderedPageBreak/>
              <w:t>Associations/Players, Regional/National Regulatory Bodies, AFUR</w:t>
            </w:r>
          </w:p>
        </w:tc>
        <w:tc>
          <w:tcPr>
            <w:tcW w:w="851" w:type="dxa"/>
            <w:shd w:val="clear" w:color="auto" w:fill="FFFFFF"/>
            <w:tcMar>
              <w:left w:w="57" w:type="dxa"/>
              <w:right w:w="57" w:type="dxa"/>
            </w:tcMar>
          </w:tcPr>
          <w:p w14:paraId="5C7E145E" w14:textId="3A251852" w:rsidR="00775AD5" w:rsidRPr="00662906" w:rsidRDefault="00775AD5" w:rsidP="007E6C89">
            <w:pPr>
              <w:spacing w:before="40" w:after="40"/>
              <w:jc w:val="center"/>
              <w:rPr>
                <w:rFonts w:eastAsia="Arial" w:cs="Arial"/>
                <w:color w:val="53575A"/>
                <w:sz w:val="16"/>
                <w:szCs w:val="16"/>
              </w:rPr>
            </w:pPr>
            <w:r w:rsidRPr="00662906">
              <w:rPr>
                <w:rFonts w:cs="Arial"/>
                <w:sz w:val="16"/>
                <w:szCs w:val="16"/>
              </w:rPr>
              <w:lastRenderedPageBreak/>
              <w:t>Short-Long Term</w:t>
            </w:r>
          </w:p>
        </w:tc>
        <w:tc>
          <w:tcPr>
            <w:tcW w:w="1842" w:type="dxa"/>
            <w:shd w:val="clear" w:color="auto" w:fill="FFFFFF"/>
          </w:tcPr>
          <w:p w14:paraId="57FA20A9" w14:textId="03A789E5"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EE regulatory framework and guidelines</w:t>
            </w:r>
          </w:p>
          <w:p w14:paraId="31C3CE35" w14:textId="27E022D9"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Compliance audit reports</w:t>
            </w:r>
          </w:p>
          <w:p w14:paraId="631913BE" w14:textId="7845DB9B"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Sector-specific EE targets</w:t>
            </w:r>
          </w:p>
        </w:tc>
        <w:tc>
          <w:tcPr>
            <w:tcW w:w="1701" w:type="dxa"/>
            <w:shd w:val="clear" w:color="auto" w:fill="FFFFFF"/>
          </w:tcPr>
          <w:p w14:paraId="54174EC4" w14:textId="0A1C468F" w:rsidR="00775AD5" w:rsidRPr="00662906" w:rsidRDefault="00775AD5" w:rsidP="007E6C89">
            <w:pPr>
              <w:spacing w:before="40" w:after="40"/>
              <w:jc w:val="center"/>
              <w:rPr>
                <w:rFonts w:eastAsia="Arial" w:cs="Arial"/>
                <w:color w:val="53575A"/>
                <w:sz w:val="16"/>
                <w:szCs w:val="16"/>
              </w:rPr>
            </w:pPr>
            <w:r w:rsidRPr="00662906">
              <w:rPr>
                <w:rFonts w:cs="Arial"/>
                <w:sz w:val="16"/>
                <w:szCs w:val="16"/>
              </w:rPr>
              <w:lastRenderedPageBreak/>
              <w:t xml:space="preserve">More efficient and low-carbon industrial operations driven by regulated energy management practices and transparent </w:t>
            </w:r>
            <w:r w:rsidRPr="00662906">
              <w:rPr>
                <w:rFonts w:cs="Arial"/>
                <w:sz w:val="16"/>
                <w:szCs w:val="16"/>
              </w:rPr>
              <w:lastRenderedPageBreak/>
              <w:t>performance tracking</w:t>
            </w:r>
          </w:p>
        </w:tc>
        <w:tc>
          <w:tcPr>
            <w:tcW w:w="1843" w:type="dxa"/>
            <w:shd w:val="clear" w:color="auto" w:fill="FFFFFF"/>
          </w:tcPr>
          <w:p w14:paraId="691906C1" w14:textId="509F5B40" w:rsidR="00775AD5" w:rsidRPr="00662906" w:rsidRDefault="007359D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Operating </w:t>
            </w:r>
            <w:r w:rsidR="00775AD5" w:rsidRPr="00662906">
              <w:rPr>
                <w:rFonts w:eastAsia="Arial" w:cs="Arial"/>
                <w:color w:val="53575A"/>
                <w:sz w:val="16"/>
                <w:szCs w:val="16"/>
              </w:rPr>
              <w:t xml:space="preserve">EE </w:t>
            </w:r>
            <w:r w:rsidRPr="00662906">
              <w:rPr>
                <w:rFonts w:eastAsia="Arial" w:cs="Arial"/>
                <w:color w:val="53575A"/>
                <w:sz w:val="16"/>
                <w:szCs w:val="16"/>
              </w:rPr>
              <w:t xml:space="preserve">regulatory </w:t>
            </w:r>
            <w:r w:rsidR="00775AD5" w:rsidRPr="00662906">
              <w:rPr>
                <w:rFonts w:eastAsia="Arial" w:cs="Arial"/>
                <w:color w:val="53575A"/>
                <w:sz w:val="16"/>
                <w:szCs w:val="16"/>
              </w:rPr>
              <w:t xml:space="preserve">framework published </w:t>
            </w:r>
            <w:r w:rsidRPr="00662906">
              <w:rPr>
                <w:rFonts w:eastAsia="Arial" w:cs="Arial"/>
                <w:color w:val="53575A"/>
                <w:sz w:val="16"/>
                <w:szCs w:val="16"/>
              </w:rPr>
              <w:t xml:space="preserve">, enforcement and compliance </w:t>
            </w:r>
            <w:r w:rsidRPr="00662906">
              <w:rPr>
                <w:rFonts w:eastAsia="Arial" w:cs="Arial"/>
                <w:color w:val="53575A"/>
                <w:sz w:val="16"/>
                <w:szCs w:val="16"/>
              </w:rPr>
              <w:lastRenderedPageBreak/>
              <w:t>established</w:t>
            </w:r>
            <w:r w:rsidRPr="00662906">
              <w:rPr>
                <w:rFonts w:eastAsia="Arial" w:cs="Arial"/>
                <w:color w:val="53575A"/>
                <w:sz w:val="16"/>
                <w:szCs w:val="16"/>
              </w:rPr>
              <w:br/>
            </w:r>
            <w:r w:rsidR="00775AD5" w:rsidRPr="00662906">
              <w:rPr>
                <w:rFonts w:eastAsia="Arial" w:cs="Arial"/>
                <w:color w:val="53575A"/>
                <w:sz w:val="16"/>
                <w:szCs w:val="16"/>
              </w:rPr>
              <w:t>(Yes/No)</w:t>
            </w:r>
          </w:p>
          <w:p w14:paraId="45286D7D" w14:textId="5906BC1A" w:rsidR="00775AD5" w:rsidRPr="00662906" w:rsidRDefault="00775AD5" w:rsidP="007E6C89">
            <w:pPr>
              <w:spacing w:before="40" w:after="40"/>
              <w:jc w:val="center"/>
              <w:rPr>
                <w:rFonts w:eastAsia="Arial" w:cs="Arial"/>
                <w:color w:val="53575A"/>
                <w:sz w:val="16"/>
                <w:szCs w:val="16"/>
              </w:rPr>
            </w:pPr>
          </w:p>
        </w:tc>
      </w:tr>
      <w:tr w:rsidR="00775AD5" w:rsidRPr="00662906" w14:paraId="5ED92384" w14:textId="77777777" w:rsidTr="007E6C89">
        <w:trPr>
          <w:trHeight w:val="300"/>
        </w:trPr>
        <w:tc>
          <w:tcPr>
            <w:tcW w:w="167" w:type="dxa"/>
            <w:shd w:val="clear" w:color="auto" w:fill="FFFFFF"/>
            <w:tcMar>
              <w:left w:w="57" w:type="dxa"/>
              <w:right w:w="57" w:type="dxa"/>
            </w:tcMar>
          </w:tcPr>
          <w:p w14:paraId="1E03BD80" w14:textId="77777777" w:rsidR="00775AD5" w:rsidRPr="00662906" w:rsidRDefault="00775AD5"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1089A9ED" w14:textId="782567EE"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Create an incentive and financing scheme for adoption of RE and EE technologies/practices</w:t>
            </w:r>
          </w:p>
        </w:tc>
        <w:tc>
          <w:tcPr>
            <w:tcW w:w="3260" w:type="dxa"/>
            <w:tcBorders>
              <w:top w:val="single" w:sz="4" w:space="0" w:color="9F2241"/>
              <w:left w:val="nil"/>
              <w:bottom w:val="single" w:sz="4" w:space="0" w:color="9F2241"/>
              <w:right w:val="nil"/>
            </w:tcBorders>
            <w:tcMar>
              <w:left w:w="57" w:type="dxa"/>
              <w:right w:w="57" w:type="dxa"/>
            </w:tcMar>
          </w:tcPr>
          <w:p w14:paraId="03AE8D2C" w14:textId="244FD117" w:rsidR="00775AD5" w:rsidRPr="00662906" w:rsidRDefault="00775AD5" w:rsidP="007E6C89">
            <w:pPr>
              <w:pStyle w:val="ListParagraph"/>
              <w:numPr>
                <w:ilvl w:val="0"/>
                <w:numId w:val="107"/>
              </w:numPr>
              <w:spacing w:before="40" w:after="40"/>
              <w:ind w:left="368"/>
              <w:jc w:val="center"/>
              <w:rPr>
                <w:rFonts w:eastAsia="Arial" w:cs="Arial"/>
                <w:color w:val="394A58"/>
                <w:sz w:val="16"/>
                <w:szCs w:val="16"/>
              </w:rPr>
            </w:pPr>
            <w:r w:rsidRPr="00662906">
              <w:rPr>
                <w:rFonts w:eastAsia="Arial" w:cs="Arial"/>
                <w:color w:val="394A58"/>
                <w:sz w:val="16"/>
                <w:szCs w:val="16"/>
              </w:rPr>
              <w:t>Design concessional loan or grant programs tailored to SMEs</w:t>
            </w:r>
          </w:p>
          <w:p w14:paraId="5A6A84FC" w14:textId="525326BC" w:rsidR="00775AD5" w:rsidRPr="00662906" w:rsidRDefault="00775AD5" w:rsidP="007E6C89">
            <w:pPr>
              <w:pStyle w:val="ListParagraph"/>
              <w:numPr>
                <w:ilvl w:val="0"/>
                <w:numId w:val="107"/>
              </w:numPr>
              <w:spacing w:before="40" w:after="40"/>
              <w:ind w:left="368"/>
              <w:jc w:val="center"/>
              <w:rPr>
                <w:rFonts w:eastAsia="Arial" w:cs="Arial"/>
                <w:color w:val="394A58"/>
                <w:sz w:val="16"/>
                <w:szCs w:val="16"/>
              </w:rPr>
            </w:pPr>
            <w:r w:rsidRPr="00662906">
              <w:rPr>
                <w:rFonts w:eastAsia="Arial" w:cs="Arial"/>
                <w:color w:val="394A58"/>
                <w:sz w:val="16"/>
                <w:szCs w:val="16"/>
              </w:rPr>
              <w:t>Partner with international financing institutions to provide technical assistance</w:t>
            </w:r>
          </w:p>
          <w:p w14:paraId="437CAAA1" w14:textId="33BFA689" w:rsidR="00775AD5" w:rsidRPr="00662906" w:rsidRDefault="00775AD5" w:rsidP="007E6C89">
            <w:pPr>
              <w:pStyle w:val="ListParagraph"/>
              <w:numPr>
                <w:ilvl w:val="0"/>
                <w:numId w:val="107"/>
              </w:numPr>
              <w:spacing w:before="40" w:after="40"/>
              <w:ind w:left="368"/>
              <w:jc w:val="center"/>
              <w:rPr>
                <w:rFonts w:eastAsia="Arial" w:cs="Arial"/>
                <w:color w:val="394A58"/>
                <w:sz w:val="16"/>
                <w:szCs w:val="16"/>
              </w:rPr>
            </w:pPr>
            <w:r w:rsidRPr="00662906">
              <w:rPr>
                <w:rFonts w:eastAsia="Arial" w:cs="Arial"/>
                <w:color w:val="394A58"/>
                <w:sz w:val="16"/>
                <w:szCs w:val="16"/>
              </w:rPr>
              <w:t>Develop and disseminate application guidelines for industrial players</w:t>
            </w:r>
          </w:p>
          <w:p w14:paraId="7544CE31" w14:textId="2ED2FAF9" w:rsidR="00775AD5" w:rsidRPr="00662906" w:rsidRDefault="00775AD5" w:rsidP="007E6C89">
            <w:pPr>
              <w:pStyle w:val="ListParagraph"/>
              <w:numPr>
                <w:ilvl w:val="0"/>
                <w:numId w:val="107"/>
              </w:numPr>
              <w:spacing w:before="40" w:after="40"/>
              <w:ind w:left="368"/>
              <w:jc w:val="center"/>
              <w:rPr>
                <w:rFonts w:eastAsia="Arial" w:cs="Arial"/>
                <w:color w:val="394A58"/>
                <w:sz w:val="16"/>
                <w:szCs w:val="16"/>
              </w:rPr>
            </w:pPr>
            <w:r w:rsidRPr="00662906">
              <w:rPr>
                <w:rFonts w:eastAsia="Arial" w:cs="Arial"/>
                <w:color w:val="394A58"/>
                <w:sz w:val="16"/>
                <w:szCs w:val="16"/>
              </w:rPr>
              <w:t>Monitor and evaluate funded projects to assess impact and scalability</w:t>
            </w:r>
          </w:p>
        </w:tc>
        <w:tc>
          <w:tcPr>
            <w:tcW w:w="1276" w:type="dxa"/>
            <w:shd w:val="clear" w:color="auto" w:fill="FFFFFF"/>
            <w:tcMar>
              <w:left w:w="57" w:type="dxa"/>
              <w:right w:w="57" w:type="dxa"/>
            </w:tcMar>
          </w:tcPr>
          <w:p w14:paraId="6BA726CF" w14:textId="3C22E7EB"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0688BA87" w14:textId="2227EBF4"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AfDB</w:t>
            </w:r>
          </w:p>
        </w:tc>
        <w:tc>
          <w:tcPr>
            <w:tcW w:w="1198" w:type="dxa"/>
            <w:shd w:val="clear" w:color="auto" w:fill="FFFFFF"/>
            <w:tcMar>
              <w:left w:w="57" w:type="dxa"/>
              <w:right w:w="57" w:type="dxa"/>
            </w:tcMar>
          </w:tcPr>
          <w:p w14:paraId="4668931A" w14:textId="7093B15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IFIs (World Bank, IFC), Regional/National Development Banks</w:t>
            </w:r>
          </w:p>
        </w:tc>
        <w:tc>
          <w:tcPr>
            <w:tcW w:w="851" w:type="dxa"/>
            <w:shd w:val="clear" w:color="auto" w:fill="FFFFFF"/>
            <w:tcMar>
              <w:left w:w="57" w:type="dxa"/>
              <w:right w:w="57" w:type="dxa"/>
            </w:tcMar>
          </w:tcPr>
          <w:p w14:paraId="34E01FEB" w14:textId="6D07AEFF"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7255CC94" w14:textId="4F8F61DC"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Established incentive/financing mechanism</w:t>
            </w:r>
          </w:p>
          <w:p w14:paraId="60962B52" w14:textId="21E59A7D"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Application guidelines and toolkits</w:t>
            </w:r>
          </w:p>
          <w:p w14:paraId="5E4B61CA" w14:textId="7CBC7A8F"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Monitoring/</w:t>
            </w:r>
            <w:r w:rsidR="00961EB5" w:rsidRPr="00662906">
              <w:rPr>
                <w:rFonts w:eastAsia="Arial" w:cs="Arial"/>
                <w:color w:val="53575A"/>
                <w:sz w:val="16"/>
                <w:szCs w:val="16"/>
              </w:rPr>
              <w:t xml:space="preserve"> </w:t>
            </w:r>
            <w:r w:rsidRPr="00662906">
              <w:rPr>
                <w:rFonts w:eastAsia="Arial" w:cs="Arial"/>
                <w:color w:val="53575A"/>
                <w:sz w:val="16"/>
                <w:szCs w:val="16"/>
              </w:rPr>
              <w:t>evaluation reports on funded projects</w:t>
            </w:r>
          </w:p>
        </w:tc>
        <w:tc>
          <w:tcPr>
            <w:tcW w:w="1701" w:type="dxa"/>
            <w:shd w:val="clear" w:color="auto" w:fill="FFFFFF"/>
          </w:tcPr>
          <w:p w14:paraId="0CF36CEF" w14:textId="79CBA500"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Higher adoption of RE and EE solutions in industrial facilities, lowering production costs and enhancing competitive advantage while cutting emissions</w:t>
            </w:r>
          </w:p>
        </w:tc>
        <w:tc>
          <w:tcPr>
            <w:tcW w:w="1843" w:type="dxa"/>
            <w:shd w:val="clear" w:color="auto" w:fill="FFFFFF"/>
          </w:tcPr>
          <w:p w14:paraId="456F6DEE" w14:textId="01FFD2FB" w:rsidR="00775AD5" w:rsidRPr="00662906" w:rsidRDefault="00EE66E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Functioning and widely accessible </w:t>
            </w:r>
            <w:r w:rsidR="00775AD5" w:rsidRPr="00662906">
              <w:rPr>
                <w:rFonts w:eastAsia="Arial" w:cs="Arial"/>
                <w:color w:val="53575A"/>
                <w:sz w:val="16"/>
                <w:szCs w:val="16"/>
              </w:rPr>
              <w:t>Financing mechanism</w:t>
            </w:r>
            <w:r w:rsidRPr="00662906">
              <w:rPr>
                <w:rFonts w:eastAsia="Arial" w:cs="Arial"/>
                <w:color w:val="53575A"/>
                <w:sz w:val="16"/>
                <w:szCs w:val="16"/>
              </w:rPr>
              <w:t xml:space="preserve"> for large and SMEs for deployment of RE/EE established </w:t>
            </w:r>
            <w:r w:rsidR="00775AD5" w:rsidRPr="00662906">
              <w:rPr>
                <w:rFonts w:eastAsia="Arial" w:cs="Arial"/>
                <w:color w:val="53575A"/>
                <w:sz w:val="16"/>
                <w:szCs w:val="16"/>
              </w:rPr>
              <w:t xml:space="preserve"> (Yes/No)</w:t>
            </w:r>
          </w:p>
        </w:tc>
      </w:tr>
      <w:tr w:rsidR="00775AD5" w:rsidRPr="00662906" w14:paraId="6C40654A" w14:textId="77777777" w:rsidTr="007E6C89">
        <w:trPr>
          <w:trHeight w:val="300"/>
        </w:trPr>
        <w:tc>
          <w:tcPr>
            <w:tcW w:w="167" w:type="dxa"/>
            <w:shd w:val="clear" w:color="auto" w:fill="FFFFFF"/>
            <w:tcMar>
              <w:left w:w="57" w:type="dxa"/>
              <w:right w:w="57" w:type="dxa"/>
            </w:tcMar>
          </w:tcPr>
          <w:p w14:paraId="4B3479E9" w14:textId="77777777" w:rsidR="00775AD5" w:rsidRPr="00662906" w:rsidRDefault="00775AD5"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3735BC42" w14:textId="00F70206"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Create awareness campaign for IEE and renewable energy substitution</w:t>
            </w:r>
          </w:p>
        </w:tc>
        <w:tc>
          <w:tcPr>
            <w:tcW w:w="3260" w:type="dxa"/>
            <w:tcBorders>
              <w:top w:val="single" w:sz="4" w:space="0" w:color="9F2241"/>
              <w:left w:val="nil"/>
              <w:bottom w:val="single" w:sz="4" w:space="0" w:color="9F2241"/>
              <w:right w:val="nil"/>
            </w:tcBorders>
            <w:tcMar>
              <w:left w:w="57" w:type="dxa"/>
              <w:right w:w="57" w:type="dxa"/>
            </w:tcMar>
          </w:tcPr>
          <w:p w14:paraId="4526E4C0" w14:textId="60079E13" w:rsidR="00775AD5" w:rsidRPr="00662906" w:rsidRDefault="00775AD5" w:rsidP="007E6C89">
            <w:pPr>
              <w:pStyle w:val="ListParagraph"/>
              <w:numPr>
                <w:ilvl w:val="0"/>
                <w:numId w:val="108"/>
              </w:numPr>
              <w:spacing w:before="40" w:after="40"/>
              <w:ind w:left="368"/>
              <w:jc w:val="center"/>
              <w:rPr>
                <w:rFonts w:eastAsia="Arial" w:cs="Arial"/>
                <w:color w:val="394A58"/>
                <w:sz w:val="16"/>
                <w:szCs w:val="16"/>
              </w:rPr>
            </w:pPr>
            <w:r w:rsidRPr="00662906">
              <w:rPr>
                <w:rFonts w:eastAsia="Arial" w:cs="Arial"/>
                <w:color w:val="394A58"/>
                <w:sz w:val="16"/>
                <w:szCs w:val="16"/>
              </w:rPr>
              <w:t>Conduct detailed case studies showcasing cost and carbon savings from</w:t>
            </w:r>
            <w:r w:rsidR="00EE66E8" w:rsidRPr="00662906">
              <w:rPr>
                <w:rFonts w:eastAsia="Arial" w:cs="Arial"/>
                <w:color w:val="394A58"/>
                <w:sz w:val="16"/>
                <w:szCs w:val="16"/>
              </w:rPr>
              <w:t xml:space="preserve"> use of </w:t>
            </w:r>
            <w:r w:rsidRPr="00662906">
              <w:rPr>
                <w:rFonts w:eastAsia="Arial" w:cs="Arial"/>
                <w:color w:val="394A58"/>
                <w:sz w:val="16"/>
                <w:szCs w:val="16"/>
              </w:rPr>
              <w:t xml:space="preserve"> RE/EE in various industrial sectors</w:t>
            </w:r>
          </w:p>
          <w:p w14:paraId="00227A09" w14:textId="2AF7AA6E" w:rsidR="00775AD5" w:rsidRPr="00662906" w:rsidRDefault="00775AD5" w:rsidP="007E6C89">
            <w:pPr>
              <w:pStyle w:val="ListParagraph"/>
              <w:numPr>
                <w:ilvl w:val="0"/>
                <w:numId w:val="108"/>
              </w:numPr>
              <w:spacing w:before="40" w:after="40"/>
              <w:ind w:left="368"/>
              <w:jc w:val="center"/>
              <w:rPr>
                <w:rFonts w:eastAsia="Arial" w:cs="Arial"/>
                <w:color w:val="394A58"/>
                <w:sz w:val="16"/>
                <w:szCs w:val="16"/>
              </w:rPr>
            </w:pPr>
            <w:r w:rsidRPr="00662906">
              <w:rPr>
                <w:rFonts w:eastAsia="Arial" w:cs="Arial"/>
                <w:color w:val="394A58"/>
                <w:sz w:val="16"/>
                <w:szCs w:val="16"/>
              </w:rPr>
              <w:t>Organize conferences, seminars, and webinars for industrial decision-makers</w:t>
            </w:r>
          </w:p>
          <w:p w14:paraId="45B06E68" w14:textId="0A833E49" w:rsidR="00775AD5" w:rsidRPr="00662906" w:rsidRDefault="00775AD5" w:rsidP="007E6C89">
            <w:pPr>
              <w:pStyle w:val="ListParagraph"/>
              <w:numPr>
                <w:ilvl w:val="0"/>
                <w:numId w:val="108"/>
              </w:numPr>
              <w:spacing w:before="40" w:after="40"/>
              <w:ind w:left="368"/>
              <w:jc w:val="center"/>
              <w:rPr>
                <w:rFonts w:eastAsia="Arial" w:cs="Arial"/>
                <w:color w:val="394A58"/>
                <w:sz w:val="16"/>
                <w:szCs w:val="16"/>
              </w:rPr>
            </w:pPr>
            <w:r w:rsidRPr="00662906">
              <w:rPr>
                <w:rFonts w:eastAsia="Arial" w:cs="Arial"/>
                <w:color w:val="394A58"/>
                <w:sz w:val="16"/>
                <w:szCs w:val="16"/>
              </w:rPr>
              <w:t>Develop policy briefs highlighting best practices and regulatory frameworks</w:t>
            </w:r>
          </w:p>
          <w:p w14:paraId="5390C196" w14:textId="3B77D1FF" w:rsidR="00775AD5" w:rsidRPr="00662906" w:rsidRDefault="00775AD5" w:rsidP="007E6C89">
            <w:pPr>
              <w:pStyle w:val="ListParagraph"/>
              <w:numPr>
                <w:ilvl w:val="0"/>
                <w:numId w:val="108"/>
              </w:numPr>
              <w:spacing w:before="40" w:after="40"/>
              <w:ind w:left="368"/>
              <w:jc w:val="center"/>
              <w:rPr>
                <w:rFonts w:eastAsia="Arial" w:cs="Arial"/>
                <w:color w:val="394A58"/>
                <w:sz w:val="16"/>
                <w:szCs w:val="16"/>
              </w:rPr>
            </w:pPr>
            <w:r w:rsidRPr="00662906">
              <w:rPr>
                <w:rFonts w:eastAsia="Arial" w:cs="Arial"/>
                <w:color w:val="394A58"/>
                <w:sz w:val="16"/>
                <w:szCs w:val="16"/>
              </w:rPr>
              <w:t>Engage trade publications and media to reach a wider audience</w:t>
            </w:r>
          </w:p>
        </w:tc>
        <w:tc>
          <w:tcPr>
            <w:tcW w:w="1276" w:type="dxa"/>
            <w:shd w:val="clear" w:color="auto" w:fill="FFFFFF"/>
            <w:tcMar>
              <w:left w:w="57" w:type="dxa"/>
              <w:right w:w="57" w:type="dxa"/>
            </w:tcMar>
          </w:tcPr>
          <w:p w14:paraId="735F6856" w14:textId="5AD15CA7"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2E32AB12" w14:textId="2CDC61C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390300D4" w14:textId="77777777" w:rsidR="00775AD5" w:rsidRPr="00662906" w:rsidRDefault="00775AD5" w:rsidP="007E6C89">
            <w:pPr>
              <w:spacing w:before="40" w:after="40"/>
              <w:jc w:val="center"/>
              <w:rPr>
                <w:rFonts w:cs="Arial"/>
                <w:sz w:val="16"/>
                <w:szCs w:val="16"/>
              </w:rPr>
            </w:pPr>
            <w:r w:rsidRPr="00662906">
              <w:rPr>
                <w:rFonts w:cs="Arial"/>
                <w:sz w:val="16"/>
                <w:szCs w:val="16"/>
              </w:rPr>
              <w:t>AUC-DIE, RECs (Energy/Industry Directorates), National Ministries (Energy/Industry)</w:t>
            </w:r>
          </w:p>
          <w:p w14:paraId="68D9A6E1" w14:textId="7717A8E1" w:rsidR="00EE66E8" w:rsidRPr="00662906" w:rsidRDefault="00EE66E8" w:rsidP="007E6C89">
            <w:pPr>
              <w:spacing w:before="40" w:after="40"/>
              <w:jc w:val="center"/>
              <w:rPr>
                <w:rFonts w:eastAsia="Arial" w:cs="Arial"/>
                <w:color w:val="53575A"/>
                <w:sz w:val="16"/>
                <w:szCs w:val="16"/>
              </w:rPr>
            </w:pPr>
            <w:r w:rsidRPr="00662906">
              <w:rPr>
                <w:rFonts w:cs="Arial"/>
                <w:sz w:val="16"/>
                <w:szCs w:val="16"/>
              </w:rPr>
              <w:t>Industry associations</w:t>
            </w:r>
          </w:p>
        </w:tc>
        <w:tc>
          <w:tcPr>
            <w:tcW w:w="851" w:type="dxa"/>
            <w:shd w:val="clear" w:color="auto" w:fill="FFFFFF"/>
            <w:tcMar>
              <w:left w:w="57" w:type="dxa"/>
              <w:right w:w="57" w:type="dxa"/>
            </w:tcMar>
          </w:tcPr>
          <w:p w14:paraId="00E401AD" w14:textId="286411E5"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Short Term (Ongoing)</w:t>
            </w:r>
          </w:p>
        </w:tc>
        <w:tc>
          <w:tcPr>
            <w:tcW w:w="1842" w:type="dxa"/>
            <w:shd w:val="clear" w:color="auto" w:fill="FFFFFF"/>
          </w:tcPr>
          <w:p w14:paraId="4BCBA855" w14:textId="5CCF893C"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Documented case studies and policy briefs</w:t>
            </w:r>
          </w:p>
          <w:p w14:paraId="5F0599FF" w14:textId="5B8D16E0"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Conferences/</w:t>
            </w:r>
            <w:r w:rsidR="00961EB5" w:rsidRPr="00662906">
              <w:rPr>
                <w:rFonts w:eastAsia="Arial" w:cs="Arial"/>
                <w:color w:val="53575A"/>
                <w:sz w:val="16"/>
                <w:szCs w:val="16"/>
              </w:rPr>
              <w:t xml:space="preserve"> </w:t>
            </w:r>
            <w:r w:rsidRPr="00662906">
              <w:rPr>
                <w:rFonts w:eastAsia="Arial" w:cs="Arial"/>
                <w:color w:val="53575A"/>
                <w:sz w:val="16"/>
                <w:szCs w:val="16"/>
              </w:rPr>
              <w:t>seminars/</w:t>
            </w:r>
            <w:r w:rsidR="00961EB5" w:rsidRPr="00662906">
              <w:rPr>
                <w:rFonts w:eastAsia="Arial" w:cs="Arial"/>
                <w:color w:val="53575A"/>
                <w:sz w:val="16"/>
                <w:szCs w:val="16"/>
              </w:rPr>
              <w:t xml:space="preserve"> </w:t>
            </w:r>
            <w:r w:rsidRPr="00662906">
              <w:rPr>
                <w:rFonts w:eastAsia="Arial" w:cs="Arial"/>
                <w:color w:val="53575A"/>
                <w:sz w:val="16"/>
                <w:szCs w:val="16"/>
              </w:rPr>
              <w:t>workshops</w:t>
            </w:r>
          </w:p>
          <w:p w14:paraId="74EAD136" w14:textId="36C58764" w:rsidR="00775AD5" w:rsidRPr="00662906" w:rsidRDefault="00AE7D1F"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Media</w:t>
            </w:r>
            <w:r w:rsidR="00775AD5" w:rsidRPr="00662906">
              <w:rPr>
                <w:rFonts w:eastAsia="Arial" w:cs="Arial"/>
                <w:color w:val="53575A"/>
                <w:sz w:val="16"/>
                <w:szCs w:val="16"/>
              </w:rPr>
              <w:t xml:space="preserve"> outreach materials</w:t>
            </w:r>
          </w:p>
        </w:tc>
        <w:tc>
          <w:tcPr>
            <w:tcW w:w="1701" w:type="dxa"/>
            <w:shd w:val="clear" w:color="auto" w:fill="FFFFFF"/>
          </w:tcPr>
          <w:p w14:paraId="6F68F7A1" w14:textId="1485F507"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Increased awareness and willingness among industry stakeholders to adopt clean energy solutions, accelerating the transition towards low-carbon industrial systems</w:t>
            </w:r>
          </w:p>
        </w:tc>
        <w:tc>
          <w:tcPr>
            <w:tcW w:w="1843" w:type="dxa"/>
            <w:shd w:val="clear" w:color="auto" w:fill="FFFFFF"/>
          </w:tcPr>
          <w:p w14:paraId="674CB5AB" w14:textId="33A579E5" w:rsidR="00775AD5" w:rsidRPr="00662906" w:rsidRDefault="00EE66E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Increased uptake of RE/EE measures </w:t>
            </w:r>
            <w:r w:rsidR="00B33ED0" w:rsidRPr="00662906">
              <w:rPr>
                <w:rFonts w:eastAsia="Arial" w:cs="Arial"/>
                <w:color w:val="53575A"/>
                <w:sz w:val="16"/>
                <w:szCs w:val="16"/>
              </w:rPr>
              <w:t>realized</w:t>
            </w:r>
            <w:r w:rsidR="00775AD5" w:rsidRPr="00662906">
              <w:rPr>
                <w:rFonts w:eastAsia="Arial" w:cs="Arial"/>
                <w:color w:val="53575A"/>
                <w:sz w:val="16"/>
                <w:szCs w:val="16"/>
              </w:rPr>
              <w:t xml:space="preserve"> (Yes/No)</w:t>
            </w:r>
          </w:p>
          <w:p w14:paraId="09E689C8" w14:textId="3C830BBF" w:rsidR="00775AD5" w:rsidRPr="00662906" w:rsidRDefault="00775AD5" w:rsidP="007E6C89">
            <w:pPr>
              <w:spacing w:before="40" w:after="40"/>
              <w:jc w:val="center"/>
              <w:rPr>
                <w:rFonts w:eastAsia="Arial" w:cs="Arial"/>
                <w:color w:val="53575A"/>
                <w:sz w:val="16"/>
                <w:szCs w:val="16"/>
              </w:rPr>
            </w:pPr>
          </w:p>
        </w:tc>
      </w:tr>
      <w:tr w:rsidR="00775AD5" w:rsidRPr="00662906" w14:paraId="6DEA62A8" w14:textId="77777777" w:rsidTr="007E6C89">
        <w:trPr>
          <w:trHeight w:val="300"/>
        </w:trPr>
        <w:tc>
          <w:tcPr>
            <w:tcW w:w="167" w:type="dxa"/>
            <w:shd w:val="clear" w:color="auto" w:fill="FFFFFF"/>
            <w:tcMar>
              <w:left w:w="57" w:type="dxa"/>
              <w:right w:w="57" w:type="dxa"/>
            </w:tcMar>
          </w:tcPr>
          <w:p w14:paraId="7D7ACB74" w14:textId="77777777" w:rsidR="00775AD5" w:rsidRPr="00662906" w:rsidRDefault="00775AD5"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0F7453B6" w14:textId="77777777" w:rsidR="00775AD5" w:rsidRPr="00662906" w:rsidRDefault="00775AD5" w:rsidP="007E6C89">
            <w:pPr>
              <w:spacing w:before="40" w:after="40"/>
              <w:jc w:val="center"/>
              <w:rPr>
                <w:rFonts w:cs="Arial"/>
                <w:sz w:val="16"/>
                <w:szCs w:val="16"/>
              </w:rPr>
            </w:pPr>
            <w:r w:rsidRPr="00662906">
              <w:rPr>
                <w:rFonts w:cs="Arial"/>
                <w:sz w:val="16"/>
                <w:szCs w:val="16"/>
              </w:rPr>
              <w:t>Develop skills and accreditation schemes for EE and RE service providers</w:t>
            </w:r>
            <w:r w:rsidR="00EE66E8" w:rsidRPr="00662906">
              <w:rPr>
                <w:rFonts w:cs="Arial"/>
                <w:sz w:val="16"/>
                <w:szCs w:val="16"/>
              </w:rPr>
              <w:t xml:space="preserve"> for the industry sector</w:t>
            </w:r>
          </w:p>
          <w:p w14:paraId="6ADC1FD8" w14:textId="2A9AEC38" w:rsidR="00EE66E8" w:rsidRPr="00662906" w:rsidRDefault="00EE66E8" w:rsidP="007E6C89">
            <w:pPr>
              <w:spacing w:before="40" w:after="40"/>
              <w:jc w:val="center"/>
              <w:rPr>
                <w:rFonts w:eastAsia="Arial" w:cs="Arial"/>
                <w:color w:val="53575A"/>
                <w:sz w:val="16"/>
                <w:szCs w:val="16"/>
              </w:rPr>
            </w:pPr>
          </w:p>
        </w:tc>
        <w:tc>
          <w:tcPr>
            <w:tcW w:w="3260" w:type="dxa"/>
            <w:tcBorders>
              <w:top w:val="single" w:sz="4" w:space="0" w:color="9F2241"/>
              <w:left w:val="nil"/>
              <w:bottom w:val="single" w:sz="4" w:space="0" w:color="9F2241"/>
              <w:right w:val="nil"/>
            </w:tcBorders>
            <w:tcMar>
              <w:left w:w="57" w:type="dxa"/>
              <w:right w:w="57" w:type="dxa"/>
            </w:tcMar>
          </w:tcPr>
          <w:p w14:paraId="26A7D581" w14:textId="56689649" w:rsidR="00775AD5" w:rsidRPr="00662906" w:rsidRDefault="00775AD5" w:rsidP="007E6C89">
            <w:pPr>
              <w:pStyle w:val="ListParagraph"/>
              <w:numPr>
                <w:ilvl w:val="0"/>
                <w:numId w:val="109"/>
              </w:numPr>
              <w:spacing w:before="40" w:after="40"/>
              <w:ind w:left="368"/>
              <w:jc w:val="center"/>
              <w:rPr>
                <w:rFonts w:eastAsia="Arial" w:cs="Arial"/>
                <w:color w:val="394A58"/>
                <w:sz w:val="16"/>
                <w:szCs w:val="16"/>
              </w:rPr>
            </w:pPr>
            <w:r w:rsidRPr="00662906">
              <w:rPr>
                <w:rFonts w:eastAsia="Arial" w:cs="Arial"/>
                <w:color w:val="394A58"/>
                <w:sz w:val="16"/>
                <w:szCs w:val="16"/>
              </w:rPr>
              <w:t>Map required skill sets (design, installation, maintenance) for industrial EE/RE</w:t>
            </w:r>
          </w:p>
          <w:p w14:paraId="0FB6842B" w14:textId="363783E1" w:rsidR="00775AD5" w:rsidRPr="00662906" w:rsidRDefault="00775AD5" w:rsidP="007E6C89">
            <w:pPr>
              <w:pStyle w:val="ListParagraph"/>
              <w:numPr>
                <w:ilvl w:val="0"/>
                <w:numId w:val="109"/>
              </w:numPr>
              <w:spacing w:before="40" w:after="40"/>
              <w:ind w:left="368"/>
              <w:jc w:val="center"/>
              <w:rPr>
                <w:rFonts w:eastAsia="Arial" w:cs="Arial"/>
                <w:color w:val="394A58"/>
                <w:sz w:val="16"/>
                <w:szCs w:val="16"/>
              </w:rPr>
            </w:pPr>
            <w:r w:rsidRPr="00662906">
              <w:rPr>
                <w:rFonts w:eastAsia="Arial" w:cs="Arial"/>
                <w:color w:val="394A58"/>
                <w:sz w:val="16"/>
                <w:szCs w:val="16"/>
              </w:rPr>
              <w:t>Develop standardized training curricula in partnership with technical/vocational institutions</w:t>
            </w:r>
          </w:p>
          <w:p w14:paraId="67F911FA" w14:textId="3C08D92E" w:rsidR="00775AD5" w:rsidRPr="00662906" w:rsidRDefault="00775AD5" w:rsidP="007E6C89">
            <w:pPr>
              <w:pStyle w:val="ListParagraph"/>
              <w:numPr>
                <w:ilvl w:val="0"/>
                <w:numId w:val="109"/>
              </w:numPr>
              <w:spacing w:before="40" w:after="40"/>
              <w:ind w:left="368"/>
              <w:jc w:val="center"/>
              <w:rPr>
                <w:rFonts w:eastAsia="Arial" w:cs="Arial"/>
                <w:color w:val="394A58"/>
                <w:sz w:val="16"/>
                <w:szCs w:val="16"/>
              </w:rPr>
            </w:pPr>
            <w:r w:rsidRPr="00662906">
              <w:rPr>
                <w:rFonts w:eastAsia="Arial" w:cs="Arial"/>
                <w:color w:val="394A58"/>
                <w:sz w:val="16"/>
                <w:szCs w:val="16"/>
              </w:rPr>
              <w:t>Establish accreditation and certification systems for service providers</w:t>
            </w:r>
          </w:p>
          <w:p w14:paraId="7377D641" w14:textId="20AE0EB9" w:rsidR="00775AD5" w:rsidRPr="00662906" w:rsidRDefault="00775AD5" w:rsidP="007E6C89">
            <w:pPr>
              <w:pStyle w:val="ListParagraph"/>
              <w:numPr>
                <w:ilvl w:val="0"/>
                <w:numId w:val="109"/>
              </w:numPr>
              <w:spacing w:before="40" w:after="40"/>
              <w:ind w:left="368"/>
              <w:jc w:val="center"/>
              <w:rPr>
                <w:rFonts w:eastAsia="Arial" w:cs="Arial"/>
                <w:color w:val="394A58"/>
                <w:sz w:val="16"/>
                <w:szCs w:val="16"/>
              </w:rPr>
            </w:pPr>
            <w:r w:rsidRPr="00662906">
              <w:rPr>
                <w:rFonts w:eastAsia="Arial" w:cs="Arial"/>
                <w:color w:val="394A58"/>
                <w:sz w:val="16"/>
                <w:szCs w:val="16"/>
              </w:rPr>
              <w:t xml:space="preserve">Provide ongoing professional development through regional </w:t>
            </w:r>
            <w:r w:rsidR="00AE7D1F" w:rsidRPr="00662906">
              <w:rPr>
                <w:rFonts w:eastAsia="Arial" w:cs="Arial"/>
                <w:color w:val="394A58"/>
                <w:sz w:val="16"/>
                <w:szCs w:val="16"/>
              </w:rPr>
              <w:t>centres</w:t>
            </w:r>
            <w:r w:rsidRPr="00662906">
              <w:rPr>
                <w:rFonts w:eastAsia="Arial" w:cs="Arial"/>
                <w:color w:val="394A58"/>
                <w:sz w:val="16"/>
                <w:szCs w:val="16"/>
              </w:rPr>
              <w:t xml:space="preserve"> of excellence</w:t>
            </w:r>
          </w:p>
        </w:tc>
        <w:tc>
          <w:tcPr>
            <w:tcW w:w="1276" w:type="dxa"/>
            <w:shd w:val="clear" w:color="auto" w:fill="FFFFFF"/>
            <w:tcMar>
              <w:left w:w="57" w:type="dxa"/>
              <w:right w:w="57" w:type="dxa"/>
            </w:tcMar>
          </w:tcPr>
          <w:p w14:paraId="576360EA" w14:textId="220F43B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1A89E107" w14:textId="3EA5FFA0"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368A9239" w14:textId="014C7ACA"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AUC-DIE, RCREEEs, Ministries in Charge of Energy/Industry/Science and Technology, Centres of Excellence, Industry Associations</w:t>
            </w:r>
          </w:p>
        </w:tc>
        <w:tc>
          <w:tcPr>
            <w:tcW w:w="851" w:type="dxa"/>
            <w:shd w:val="clear" w:color="auto" w:fill="FFFFFF"/>
            <w:tcMar>
              <w:left w:w="57" w:type="dxa"/>
              <w:right w:w="57" w:type="dxa"/>
            </w:tcMar>
          </w:tcPr>
          <w:p w14:paraId="7D1875E3" w14:textId="6E0F4CCE"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282163A8" w14:textId="2A3D7D05"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curricula and accreditation guidelines</w:t>
            </w:r>
          </w:p>
          <w:p w14:paraId="23F8F136" w14:textId="3C89CA77"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Database of certified EE/RE service providers</w:t>
            </w:r>
          </w:p>
          <w:p w14:paraId="4E9F7834" w14:textId="1B9F581F" w:rsidR="00775AD5" w:rsidRPr="00662906" w:rsidRDefault="00775A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Continuous professional development programs</w:t>
            </w:r>
          </w:p>
        </w:tc>
        <w:tc>
          <w:tcPr>
            <w:tcW w:w="1701" w:type="dxa"/>
            <w:shd w:val="clear" w:color="auto" w:fill="FFFFFF"/>
          </w:tcPr>
          <w:p w14:paraId="56D35528" w14:textId="7215C31D" w:rsidR="00775AD5" w:rsidRPr="00662906" w:rsidRDefault="00775AD5" w:rsidP="007E6C89">
            <w:pPr>
              <w:spacing w:before="40" w:after="40"/>
              <w:jc w:val="center"/>
              <w:rPr>
                <w:rFonts w:eastAsia="Arial" w:cs="Arial"/>
                <w:color w:val="53575A"/>
                <w:sz w:val="16"/>
                <w:szCs w:val="16"/>
              </w:rPr>
            </w:pPr>
            <w:r w:rsidRPr="00662906">
              <w:rPr>
                <w:rFonts w:cs="Arial"/>
                <w:sz w:val="16"/>
                <w:szCs w:val="16"/>
              </w:rPr>
              <w:t>High-quality services available for industrial decarbonization, fostering reliable project execution and trust in new technologies across African industries</w:t>
            </w:r>
          </w:p>
        </w:tc>
        <w:tc>
          <w:tcPr>
            <w:tcW w:w="1843" w:type="dxa"/>
            <w:shd w:val="clear" w:color="auto" w:fill="FFFFFF"/>
          </w:tcPr>
          <w:p w14:paraId="6F0603F9" w14:textId="0A666772" w:rsidR="00775AD5" w:rsidRPr="00662906" w:rsidRDefault="00EE66E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Roster of </w:t>
            </w:r>
            <w:r w:rsidR="00775AD5" w:rsidRPr="00662906">
              <w:rPr>
                <w:rFonts w:eastAsia="Arial" w:cs="Arial"/>
                <w:color w:val="53575A"/>
                <w:sz w:val="16"/>
                <w:szCs w:val="16"/>
              </w:rPr>
              <w:t>Accredit</w:t>
            </w:r>
            <w:r w:rsidRPr="00662906">
              <w:rPr>
                <w:rFonts w:eastAsia="Arial" w:cs="Arial"/>
                <w:color w:val="53575A"/>
                <w:sz w:val="16"/>
                <w:szCs w:val="16"/>
              </w:rPr>
              <w:t>ed and certified experts and service providers specializing in industry.</w:t>
            </w:r>
            <w:r w:rsidR="00775AD5" w:rsidRPr="00662906">
              <w:rPr>
                <w:rFonts w:eastAsia="Arial" w:cs="Arial"/>
                <w:color w:val="53575A"/>
                <w:sz w:val="16"/>
                <w:szCs w:val="16"/>
              </w:rPr>
              <w:t xml:space="preserve"> (Yes/No)</w:t>
            </w:r>
          </w:p>
          <w:p w14:paraId="150EA55B" w14:textId="56754FA8" w:rsidR="00775AD5" w:rsidRPr="00662906" w:rsidRDefault="00775AD5" w:rsidP="007E6C89">
            <w:pPr>
              <w:spacing w:before="40" w:after="40"/>
              <w:jc w:val="center"/>
              <w:rPr>
                <w:rFonts w:eastAsia="Arial" w:cs="Arial"/>
                <w:color w:val="53575A"/>
                <w:sz w:val="16"/>
                <w:szCs w:val="16"/>
              </w:rPr>
            </w:pPr>
          </w:p>
        </w:tc>
      </w:tr>
    </w:tbl>
    <w:p w14:paraId="1ED1113D" w14:textId="53116847" w:rsidR="0055224F" w:rsidRPr="00662906" w:rsidRDefault="00CE107B" w:rsidP="0204753B">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72490FDA" w14:textId="77777777" w:rsidR="00EA52FB" w:rsidRPr="00662906" w:rsidRDefault="00EA52FB" w:rsidP="0005404D">
      <w:pPr>
        <w:pStyle w:val="Caption"/>
      </w:pPr>
      <w:bookmarkStart w:id="648" w:name="_Toc171955597"/>
      <w:bookmarkStart w:id="649" w:name="_Toc176430326"/>
    </w:p>
    <w:p w14:paraId="1C9C56CA" w14:textId="77777777" w:rsidR="00EA52FB" w:rsidRPr="00662906" w:rsidRDefault="00EA52FB" w:rsidP="0005404D">
      <w:pPr>
        <w:pStyle w:val="Caption"/>
      </w:pPr>
    </w:p>
    <w:p w14:paraId="70DE08E8" w14:textId="77777777" w:rsidR="00EA52FB" w:rsidRPr="00662906" w:rsidRDefault="00EA52FB" w:rsidP="0005404D">
      <w:pPr>
        <w:pStyle w:val="Caption"/>
      </w:pPr>
    </w:p>
    <w:p w14:paraId="1A7ACE1D" w14:textId="3FDE403E" w:rsidR="2D9E25B5" w:rsidRPr="00662906" w:rsidRDefault="49A21C8F" w:rsidP="0005404D">
      <w:pPr>
        <w:pStyle w:val="Caption"/>
      </w:pPr>
      <w:bookmarkStart w:id="650" w:name="_Toc197433913"/>
      <w:r w:rsidRPr="00662906">
        <w:lastRenderedPageBreak/>
        <w:t xml:space="preserve">Table </w:t>
      </w:r>
      <w:fldSimple w:instr=" SEQ Table \* ARABIC ">
        <w:r w:rsidR="00610F61">
          <w:rPr>
            <w:noProof/>
          </w:rPr>
          <w:t>25</w:t>
        </w:r>
      </w:fldSimple>
      <w:r w:rsidR="01582480" w:rsidRPr="00662906">
        <w:t>:</w:t>
      </w:r>
      <w:r w:rsidR="6CC405C5" w:rsidRPr="00662906">
        <w:t xml:space="preserve"> Action Plan for Strategic Intervention 2.</w:t>
      </w:r>
      <w:r w:rsidR="2887D29E" w:rsidRPr="00662906">
        <w:rPr>
          <w:rFonts w:eastAsia="Arial" w:cs="Arial"/>
          <w:b/>
          <w:bCs/>
          <w:color w:val="222222"/>
        </w:rPr>
        <w:t xml:space="preserve"> </w:t>
      </w:r>
      <w:bookmarkEnd w:id="648"/>
      <w:bookmarkEnd w:id="649"/>
      <w:r w:rsidR="41A00B18" w:rsidRPr="00662906">
        <w:t>Transformative industrialization to leverage Africa’s comparative advantage.</w:t>
      </w:r>
      <w:bookmarkEnd w:id="650"/>
    </w:p>
    <w:tbl>
      <w:tblPr>
        <w:tblStyle w:val="TableGrid"/>
        <w:tblpPr w:leftFromText="180" w:rightFromText="180" w:vertAnchor="text" w:tblpY="1"/>
        <w:tblOverlap w:val="never"/>
        <w:tblW w:w="14587"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281"/>
        <w:gridCol w:w="1248"/>
        <w:gridCol w:w="17"/>
        <w:gridCol w:w="3243"/>
        <w:gridCol w:w="17"/>
        <w:gridCol w:w="1259"/>
        <w:gridCol w:w="17"/>
        <w:gridCol w:w="1053"/>
        <w:gridCol w:w="17"/>
        <w:gridCol w:w="1181"/>
        <w:gridCol w:w="17"/>
        <w:gridCol w:w="834"/>
        <w:gridCol w:w="17"/>
        <w:gridCol w:w="1825"/>
        <w:gridCol w:w="17"/>
        <w:gridCol w:w="1464"/>
        <w:gridCol w:w="2063"/>
        <w:gridCol w:w="17"/>
      </w:tblGrid>
      <w:tr w:rsidR="0094010A" w:rsidRPr="00662906" w14:paraId="151C0B3C" w14:textId="77777777" w:rsidTr="0098698D">
        <w:trPr>
          <w:trHeight w:val="360"/>
        </w:trPr>
        <w:tc>
          <w:tcPr>
            <w:tcW w:w="14587" w:type="dxa"/>
            <w:gridSpan w:val="18"/>
            <w:shd w:val="clear" w:color="auto" w:fill="B4A269"/>
          </w:tcPr>
          <w:p w14:paraId="539BA529" w14:textId="642B2D6B" w:rsidR="0094010A" w:rsidRPr="00662906" w:rsidRDefault="0094010A" w:rsidP="00E8722A">
            <w:pPr>
              <w:spacing w:before="60" w:after="60"/>
              <w:ind w:left="-57" w:right="-57"/>
              <w:rPr>
                <w:rFonts w:eastAsia="Arial" w:cs="Arial"/>
                <w:b/>
                <w:color w:val="FFFFFF"/>
                <w:sz w:val="16"/>
                <w:szCs w:val="16"/>
              </w:rPr>
            </w:pPr>
            <w:r w:rsidRPr="00662906">
              <w:rPr>
                <w:rFonts w:eastAsia="Arial" w:cs="Arial"/>
                <w:b/>
                <w:color w:val="FFFFFF"/>
                <w:sz w:val="16"/>
                <w:szCs w:val="16"/>
              </w:rPr>
              <w:t xml:space="preserve">Pathway to Change: </w:t>
            </w:r>
            <w:r w:rsidR="00A64941" w:rsidRPr="00662906">
              <w:rPr>
                <w:rFonts w:eastAsia="Arial" w:cs="Arial"/>
                <w:bCs/>
                <w:color w:val="FFFFFF"/>
                <w:sz w:val="16"/>
                <w:szCs w:val="16"/>
              </w:rPr>
              <w:t xml:space="preserve">Africa possesses extensive </w:t>
            </w:r>
            <w:r w:rsidR="00254D76" w:rsidRPr="00662906">
              <w:rPr>
                <w:rFonts w:eastAsia="Arial" w:cs="Arial"/>
                <w:bCs/>
                <w:color w:val="FFFFFF"/>
                <w:sz w:val="16"/>
                <w:szCs w:val="16"/>
              </w:rPr>
              <w:t xml:space="preserve">strategic </w:t>
            </w:r>
            <w:r w:rsidR="00A64941" w:rsidRPr="00662906">
              <w:rPr>
                <w:rFonts w:eastAsia="Arial" w:cs="Arial"/>
                <w:bCs/>
                <w:color w:val="FFFFFF"/>
                <w:sz w:val="16"/>
                <w:szCs w:val="16"/>
              </w:rPr>
              <w:t>mineral resources for battery manufacturing—ranging from cobalt to lithium—and ample renewable energy potential for green hydrogen production. Currently, local industrial uptake lags as</w:t>
            </w:r>
            <w:r w:rsidR="00254D76" w:rsidRPr="00662906">
              <w:rPr>
                <w:rFonts w:eastAsia="Arial" w:cs="Arial"/>
                <w:bCs/>
                <w:color w:val="FFFFFF"/>
                <w:sz w:val="16"/>
                <w:szCs w:val="16"/>
              </w:rPr>
              <w:t xml:space="preserve"> the strategic minerals</w:t>
            </w:r>
            <w:r w:rsidR="009304DC" w:rsidRPr="00662906">
              <w:rPr>
                <w:rFonts w:eastAsia="Arial" w:cs="Arial"/>
                <w:bCs/>
                <w:color w:val="FFFFFF"/>
                <w:sz w:val="16"/>
                <w:szCs w:val="16"/>
              </w:rPr>
              <w:t xml:space="preserve"> are </w:t>
            </w:r>
            <w:r w:rsidR="00D03E36" w:rsidRPr="00662906">
              <w:rPr>
                <w:rFonts w:eastAsia="Arial" w:cs="Arial"/>
                <w:bCs/>
                <w:color w:val="FFFFFF"/>
                <w:sz w:val="16"/>
                <w:szCs w:val="16"/>
              </w:rPr>
              <w:t>l</w:t>
            </w:r>
            <w:r w:rsidR="009304DC" w:rsidRPr="00662906">
              <w:rPr>
                <w:rFonts w:eastAsia="Arial" w:cs="Arial"/>
                <w:bCs/>
                <w:color w:val="FFFFFF"/>
                <w:sz w:val="16"/>
                <w:szCs w:val="16"/>
              </w:rPr>
              <w:t>argely exported without beneficiation</w:t>
            </w:r>
            <w:r w:rsidR="00A64941" w:rsidRPr="00662906">
              <w:rPr>
                <w:rFonts w:eastAsia="Arial" w:cs="Arial"/>
                <w:bCs/>
                <w:color w:val="FFFFFF"/>
                <w:sz w:val="16"/>
                <w:szCs w:val="16"/>
              </w:rPr>
              <w:t xml:space="preserve"> and technology transfer mechanisms remain limited</w:t>
            </w:r>
            <w:r w:rsidR="009304DC" w:rsidRPr="00662906">
              <w:rPr>
                <w:rFonts w:eastAsia="Arial" w:cs="Arial"/>
                <w:bCs/>
                <w:color w:val="FFFFFF"/>
                <w:sz w:val="16"/>
                <w:szCs w:val="16"/>
              </w:rPr>
              <w:t xml:space="preserve"> for local manufacture</w:t>
            </w:r>
            <w:r w:rsidR="00A64941" w:rsidRPr="00662906">
              <w:rPr>
                <w:rFonts w:eastAsia="Arial" w:cs="Arial"/>
                <w:bCs/>
                <w:color w:val="FFFFFF"/>
                <w:sz w:val="16"/>
                <w:szCs w:val="16"/>
              </w:rPr>
              <w:t xml:space="preserve">. This intervention, therefore, seeks to spur transformative industrialization by capitalizing on the continent’s resource advantages, fostering local manufacturing and research, and enabling diverse “industries </w:t>
            </w:r>
            <w:r w:rsidR="009304DC" w:rsidRPr="00662906">
              <w:rPr>
                <w:rFonts w:eastAsia="Arial" w:cs="Arial"/>
                <w:bCs/>
                <w:color w:val="FFFFFF"/>
                <w:sz w:val="16"/>
                <w:szCs w:val="16"/>
              </w:rPr>
              <w:t xml:space="preserve">including those </w:t>
            </w:r>
            <w:r w:rsidR="00A64941" w:rsidRPr="00662906">
              <w:rPr>
                <w:rFonts w:eastAsia="Arial" w:cs="Arial"/>
                <w:bCs/>
                <w:color w:val="FFFFFF"/>
                <w:sz w:val="16"/>
                <w:szCs w:val="16"/>
              </w:rPr>
              <w:t>without smokestacks” (e.g., ICT services and climate-smart agro-processing). Through strategic partnerships, incentives, and targeted R&amp;D, Africa can position itself to meet both domestic and global demand for sustainable energy storage systems, hydrogen solutions, and value-added goods, thereby strengthening its economic growth and climate resilience.</w:t>
            </w:r>
          </w:p>
        </w:tc>
      </w:tr>
      <w:tr w:rsidR="00746C11" w:rsidRPr="00662906" w14:paraId="01E637DC" w14:textId="77777777" w:rsidTr="00F7188C">
        <w:trPr>
          <w:trHeight w:val="699"/>
        </w:trPr>
        <w:tc>
          <w:tcPr>
            <w:tcW w:w="1546" w:type="dxa"/>
            <w:gridSpan w:val="3"/>
            <w:shd w:val="clear" w:color="auto" w:fill="B4A269"/>
            <w:tcMar>
              <w:left w:w="57" w:type="dxa"/>
              <w:right w:w="57" w:type="dxa"/>
            </w:tcMar>
            <w:vAlign w:val="center"/>
          </w:tcPr>
          <w:p w14:paraId="6FE7C181"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gridSpan w:val="2"/>
            <w:shd w:val="clear" w:color="auto" w:fill="B4A269"/>
            <w:tcMar>
              <w:left w:w="57" w:type="dxa"/>
              <w:right w:w="57" w:type="dxa"/>
            </w:tcMar>
            <w:vAlign w:val="center"/>
          </w:tcPr>
          <w:p w14:paraId="28F7615C" w14:textId="77777777" w:rsidR="0094010A" w:rsidRPr="00662906" w:rsidRDefault="0094010A" w:rsidP="00E8722A">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gridSpan w:val="2"/>
            <w:shd w:val="clear" w:color="auto" w:fill="B4A269"/>
            <w:tcMar>
              <w:left w:w="57" w:type="dxa"/>
              <w:right w:w="57" w:type="dxa"/>
            </w:tcMar>
            <w:vAlign w:val="center"/>
          </w:tcPr>
          <w:p w14:paraId="355EC4B0"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gridSpan w:val="2"/>
            <w:shd w:val="clear" w:color="auto" w:fill="B4A269"/>
            <w:tcMar>
              <w:left w:w="57" w:type="dxa"/>
              <w:right w:w="57" w:type="dxa"/>
            </w:tcMar>
            <w:vAlign w:val="center"/>
          </w:tcPr>
          <w:p w14:paraId="0FAC6B9B"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gridSpan w:val="2"/>
            <w:shd w:val="clear" w:color="auto" w:fill="B4A269"/>
            <w:tcMar>
              <w:left w:w="57" w:type="dxa"/>
              <w:right w:w="57" w:type="dxa"/>
            </w:tcMar>
            <w:vAlign w:val="center"/>
          </w:tcPr>
          <w:p w14:paraId="64A8E0B7"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gridSpan w:val="2"/>
            <w:shd w:val="clear" w:color="auto" w:fill="B4A269"/>
            <w:tcMar>
              <w:left w:w="57" w:type="dxa"/>
              <w:right w:w="57" w:type="dxa"/>
            </w:tcMar>
            <w:vAlign w:val="center"/>
          </w:tcPr>
          <w:p w14:paraId="3DC1AA4B"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gridSpan w:val="2"/>
            <w:shd w:val="clear" w:color="auto" w:fill="B4A269"/>
            <w:vAlign w:val="center"/>
          </w:tcPr>
          <w:p w14:paraId="49AEC29B"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464" w:type="dxa"/>
            <w:shd w:val="clear" w:color="auto" w:fill="B4A269"/>
            <w:vAlign w:val="center"/>
          </w:tcPr>
          <w:p w14:paraId="506C9976"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2080" w:type="dxa"/>
            <w:gridSpan w:val="2"/>
            <w:shd w:val="clear" w:color="auto" w:fill="B4A269"/>
            <w:vAlign w:val="center"/>
          </w:tcPr>
          <w:p w14:paraId="714825F2" w14:textId="77777777" w:rsidR="0094010A" w:rsidRPr="00662906" w:rsidRDefault="0094010A" w:rsidP="00E8722A">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3D7974" w:rsidRPr="00662906" w14:paraId="39BA7C2C" w14:textId="77777777" w:rsidTr="007E6C89">
        <w:trPr>
          <w:gridAfter w:val="1"/>
          <w:wAfter w:w="17" w:type="dxa"/>
          <w:trHeight w:val="1413"/>
        </w:trPr>
        <w:tc>
          <w:tcPr>
            <w:tcW w:w="281" w:type="dxa"/>
            <w:shd w:val="clear" w:color="auto" w:fill="FFFFFF"/>
            <w:tcMar>
              <w:left w:w="57" w:type="dxa"/>
              <w:right w:w="57" w:type="dxa"/>
            </w:tcMar>
          </w:tcPr>
          <w:p w14:paraId="1AAF00F6" w14:textId="77777777" w:rsidR="003D7974" w:rsidRPr="00662906" w:rsidRDefault="003D7974"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46C4AE84" w14:textId="498368FA"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 xml:space="preserve">Establish regional production potential for </w:t>
            </w:r>
            <w:r w:rsidR="00107120" w:rsidRPr="00662906">
              <w:rPr>
                <w:rFonts w:cs="Arial"/>
                <w:sz w:val="16"/>
                <w:szCs w:val="16"/>
              </w:rPr>
              <w:t>advanced battery</w:t>
            </w:r>
            <w:r w:rsidR="00746C11" w:rsidRPr="00662906">
              <w:rPr>
                <w:rFonts w:cs="Arial"/>
                <w:sz w:val="16"/>
                <w:szCs w:val="16"/>
              </w:rPr>
              <w:t xml:space="preserve"> </w:t>
            </w:r>
            <w:r w:rsidRPr="00662906">
              <w:rPr>
                <w:rFonts w:cs="Arial"/>
                <w:sz w:val="16"/>
                <w:szCs w:val="16"/>
              </w:rPr>
              <w:t>energy storage solutions</w:t>
            </w:r>
          </w:p>
        </w:tc>
        <w:tc>
          <w:tcPr>
            <w:tcW w:w="3260" w:type="dxa"/>
            <w:gridSpan w:val="2"/>
            <w:tcBorders>
              <w:bottom w:val="single" w:sz="2" w:space="0" w:color="9F2241"/>
            </w:tcBorders>
            <w:shd w:val="clear" w:color="auto" w:fill="FFFFFF"/>
            <w:tcMar>
              <w:left w:w="57" w:type="dxa"/>
              <w:right w:w="57" w:type="dxa"/>
            </w:tcMar>
          </w:tcPr>
          <w:p w14:paraId="71D9E28E" w14:textId="6BB077FA" w:rsidR="003D7974" w:rsidRPr="00662906" w:rsidRDefault="003D7974" w:rsidP="007E6C89">
            <w:pPr>
              <w:pStyle w:val="ListParagraph"/>
              <w:numPr>
                <w:ilvl w:val="0"/>
                <w:numId w:val="110"/>
              </w:numPr>
              <w:spacing w:before="0" w:after="0"/>
              <w:ind w:left="367"/>
              <w:jc w:val="center"/>
              <w:rPr>
                <w:rFonts w:cs="Arial"/>
                <w:sz w:val="16"/>
                <w:szCs w:val="16"/>
              </w:rPr>
            </w:pPr>
            <w:r w:rsidRPr="00662906">
              <w:rPr>
                <w:rFonts w:cs="Arial"/>
                <w:sz w:val="16"/>
                <w:szCs w:val="16"/>
              </w:rPr>
              <w:t>Conduct a comprehensive review of ongoing storage initiatives in AU RECs</w:t>
            </w:r>
            <w:r w:rsidR="00746C11" w:rsidRPr="00662906">
              <w:rPr>
                <w:rFonts w:cs="Arial"/>
                <w:sz w:val="16"/>
                <w:szCs w:val="16"/>
              </w:rPr>
              <w:t>.</w:t>
            </w:r>
          </w:p>
          <w:p w14:paraId="4ED5544D" w14:textId="28BE08CE" w:rsidR="003D7974" w:rsidRPr="00662906" w:rsidRDefault="003D7974" w:rsidP="007E6C89">
            <w:pPr>
              <w:pStyle w:val="ListParagraph"/>
              <w:numPr>
                <w:ilvl w:val="0"/>
                <w:numId w:val="110"/>
              </w:numPr>
              <w:spacing w:before="0" w:after="0"/>
              <w:ind w:left="367"/>
              <w:jc w:val="center"/>
              <w:rPr>
                <w:rFonts w:cs="Arial"/>
                <w:sz w:val="16"/>
                <w:szCs w:val="16"/>
              </w:rPr>
            </w:pPr>
            <w:r w:rsidRPr="00662906">
              <w:rPr>
                <w:rFonts w:cs="Arial"/>
                <w:sz w:val="16"/>
                <w:szCs w:val="16"/>
              </w:rPr>
              <w:t>Map strategic mineral reserves for battery production and assess feasibility of alternative storage solutions</w:t>
            </w:r>
          </w:p>
          <w:p w14:paraId="690FEB68" w14:textId="5784E74F" w:rsidR="003D7974" w:rsidRPr="00662906" w:rsidRDefault="003D7974" w:rsidP="007E6C89">
            <w:pPr>
              <w:pStyle w:val="ListParagraph"/>
              <w:numPr>
                <w:ilvl w:val="0"/>
                <w:numId w:val="110"/>
              </w:numPr>
              <w:spacing w:before="0" w:after="0"/>
              <w:ind w:left="367"/>
              <w:jc w:val="center"/>
              <w:rPr>
                <w:rFonts w:cs="Arial"/>
                <w:sz w:val="16"/>
                <w:szCs w:val="16"/>
              </w:rPr>
            </w:pPr>
            <w:r w:rsidRPr="00662906">
              <w:rPr>
                <w:rFonts w:cs="Arial"/>
                <w:sz w:val="16"/>
                <w:szCs w:val="16"/>
              </w:rPr>
              <w:t>Engage investors and local manufacturers to identify potential value chain opportunities</w:t>
            </w:r>
          </w:p>
          <w:p w14:paraId="04E2B42C" w14:textId="4A37E217" w:rsidR="003D7974" w:rsidRPr="00662906" w:rsidRDefault="003D7974" w:rsidP="007E6C89">
            <w:pPr>
              <w:pStyle w:val="ListParagraph"/>
              <w:numPr>
                <w:ilvl w:val="0"/>
                <w:numId w:val="110"/>
              </w:numPr>
              <w:spacing w:before="0" w:after="0"/>
              <w:ind w:left="367"/>
              <w:jc w:val="center"/>
              <w:rPr>
                <w:rFonts w:cs="Arial"/>
                <w:sz w:val="16"/>
                <w:szCs w:val="16"/>
              </w:rPr>
            </w:pPr>
            <w:r w:rsidRPr="00662906">
              <w:rPr>
                <w:rFonts w:cs="Arial"/>
                <w:sz w:val="16"/>
                <w:szCs w:val="16"/>
              </w:rPr>
              <w:t>Develop regional strategies for each storage technology, including policy incentives</w:t>
            </w:r>
          </w:p>
        </w:tc>
        <w:tc>
          <w:tcPr>
            <w:tcW w:w="1276" w:type="dxa"/>
            <w:gridSpan w:val="2"/>
            <w:shd w:val="clear" w:color="auto" w:fill="FFFFFF"/>
            <w:tcMar>
              <w:left w:w="57" w:type="dxa"/>
              <w:right w:w="57" w:type="dxa"/>
            </w:tcMar>
          </w:tcPr>
          <w:p w14:paraId="0826A439" w14:textId="4000160C"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Regional</w:t>
            </w:r>
          </w:p>
        </w:tc>
        <w:tc>
          <w:tcPr>
            <w:tcW w:w="1070" w:type="dxa"/>
            <w:gridSpan w:val="2"/>
            <w:shd w:val="clear" w:color="auto" w:fill="FFFFFF"/>
            <w:tcMar>
              <w:left w:w="57" w:type="dxa"/>
              <w:right w:w="57" w:type="dxa"/>
            </w:tcMar>
          </w:tcPr>
          <w:p w14:paraId="4D76E6F0" w14:textId="5E5A9F2D"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Regional Energy and Industry Divisions in RECs</w:t>
            </w:r>
          </w:p>
        </w:tc>
        <w:tc>
          <w:tcPr>
            <w:tcW w:w="1198" w:type="dxa"/>
            <w:gridSpan w:val="2"/>
            <w:shd w:val="clear" w:color="auto" w:fill="FFFFFF"/>
            <w:tcMar>
              <w:left w:w="57" w:type="dxa"/>
              <w:right w:w="57" w:type="dxa"/>
            </w:tcMar>
          </w:tcPr>
          <w:p w14:paraId="658662EC" w14:textId="559972DD"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Ministries in charge of Energy (ME), Industry (MI), Mining, AUC-DIE, AUDA-NEPAD, RCREEEs</w:t>
            </w:r>
          </w:p>
        </w:tc>
        <w:tc>
          <w:tcPr>
            <w:tcW w:w="851" w:type="dxa"/>
            <w:gridSpan w:val="2"/>
            <w:shd w:val="clear" w:color="auto" w:fill="FFFFFF"/>
            <w:tcMar>
              <w:left w:w="57" w:type="dxa"/>
              <w:right w:w="57" w:type="dxa"/>
            </w:tcMar>
          </w:tcPr>
          <w:p w14:paraId="6F8DDA7D" w14:textId="7AD8693D"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116CE877" w14:textId="518EB4E1"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Regional storage potential study</w:t>
            </w:r>
          </w:p>
          <w:p w14:paraId="1A1EE324" w14:textId="0E76AA40"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Database of strategic mineral reserves</w:t>
            </w:r>
          </w:p>
          <w:p w14:paraId="78525378" w14:textId="73D0EB49"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Policy briefs and investor engagement materials</w:t>
            </w:r>
          </w:p>
        </w:tc>
        <w:tc>
          <w:tcPr>
            <w:tcW w:w="1481" w:type="dxa"/>
            <w:gridSpan w:val="2"/>
            <w:shd w:val="clear" w:color="auto" w:fill="FFFFFF"/>
          </w:tcPr>
          <w:p w14:paraId="09591384" w14:textId="3DAE9615"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Targeted investments in sustainable storage manufacturing and deployment, diversifying Africa</w:t>
            </w:r>
            <w:r w:rsidR="00BE6105" w:rsidRPr="00662906">
              <w:rPr>
                <w:rFonts w:cs="Arial"/>
                <w:sz w:val="16"/>
                <w:szCs w:val="16"/>
              </w:rPr>
              <w:t>’</w:t>
            </w:r>
            <w:r w:rsidRPr="00662906">
              <w:rPr>
                <w:rFonts w:cs="Arial"/>
                <w:sz w:val="16"/>
                <w:szCs w:val="16"/>
              </w:rPr>
              <w:t>s industrial base beyond batteries to include emerging storage solutions</w:t>
            </w:r>
          </w:p>
        </w:tc>
        <w:tc>
          <w:tcPr>
            <w:tcW w:w="2063" w:type="dxa"/>
            <w:shd w:val="clear" w:color="auto" w:fill="FFFFFF"/>
          </w:tcPr>
          <w:p w14:paraId="634328AA" w14:textId="77777777" w:rsidR="009304DC" w:rsidRPr="00662906" w:rsidRDefault="009304DC"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Established Energy </w:t>
            </w:r>
            <w:r w:rsidR="003D7974" w:rsidRPr="00662906">
              <w:rPr>
                <w:rFonts w:eastAsia="Arial" w:cs="Arial"/>
                <w:color w:val="53575A"/>
                <w:sz w:val="16"/>
                <w:szCs w:val="16"/>
              </w:rPr>
              <w:t xml:space="preserve">Storage potential </w:t>
            </w:r>
            <w:r w:rsidRPr="00662906">
              <w:rPr>
                <w:rFonts w:eastAsia="Arial" w:cs="Arial"/>
                <w:color w:val="53575A"/>
                <w:sz w:val="16"/>
                <w:szCs w:val="16"/>
              </w:rPr>
              <w:t>by type of ESS technology</w:t>
            </w:r>
          </w:p>
          <w:p w14:paraId="2C599DBE" w14:textId="0E73E981" w:rsidR="003D7974" w:rsidRPr="00662906" w:rsidRDefault="003D7974"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(Yes/No)</w:t>
            </w:r>
          </w:p>
          <w:p w14:paraId="33B4CA1D" w14:textId="5CAF81A3" w:rsidR="003D7974" w:rsidRPr="00662906" w:rsidRDefault="003D7974"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Mineral reserves database established (Yes/No)</w:t>
            </w:r>
          </w:p>
        </w:tc>
      </w:tr>
      <w:tr w:rsidR="003D7974" w:rsidRPr="00662906" w14:paraId="683E6EB6" w14:textId="77777777" w:rsidTr="007E6C89">
        <w:trPr>
          <w:gridAfter w:val="1"/>
          <w:wAfter w:w="17" w:type="dxa"/>
          <w:trHeight w:val="300"/>
        </w:trPr>
        <w:tc>
          <w:tcPr>
            <w:tcW w:w="281" w:type="dxa"/>
            <w:shd w:val="clear" w:color="auto" w:fill="FFFFFF"/>
            <w:tcMar>
              <w:left w:w="57" w:type="dxa"/>
              <w:right w:w="57" w:type="dxa"/>
            </w:tcMar>
          </w:tcPr>
          <w:p w14:paraId="423A8252" w14:textId="77777777" w:rsidR="003D7974" w:rsidRPr="00662906" w:rsidRDefault="003D7974"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59A65190" w14:textId="7372462E"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Develop a BESS and alternative storage strategy/ programme for Africa</w:t>
            </w:r>
          </w:p>
        </w:tc>
        <w:tc>
          <w:tcPr>
            <w:tcW w:w="3260" w:type="dxa"/>
            <w:gridSpan w:val="2"/>
            <w:tcBorders>
              <w:bottom w:val="single" w:sz="4" w:space="0" w:color="9F2241"/>
            </w:tcBorders>
            <w:shd w:val="clear" w:color="auto" w:fill="FFFFFF"/>
            <w:tcMar>
              <w:left w:w="57" w:type="dxa"/>
              <w:right w:w="57" w:type="dxa"/>
            </w:tcMar>
          </w:tcPr>
          <w:p w14:paraId="5C7349D2" w14:textId="20AAB70A" w:rsidR="003D7974" w:rsidRPr="00662906" w:rsidRDefault="003D7974" w:rsidP="007E6C89">
            <w:pPr>
              <w:pStyle w:val="ListParagraph"/>
              <w:numPr>
                <w:ilvl w:val="0"/>
                <w:numId w:val="111"/>
              </w:numPr>
              <w:spacing w:before="40" w:after="40"/>
              <w:ind w:left="367"/>
              <w:jc w:val="center"/>
              <w:rPr>
                <w:rFonts w:eastAsia="Arial" w:cs="Arial"/>
                <w:color w:val="394A58"/>
                <w:sz w:val="16"/>
                <w:szCs w:val="16"/>
              </w:rPr>
            </w:pPr>
            <w:r w:rsidRPr="00662906">
              <w:rPr>
                <w:rFonts w:eastAsia="Arial" w:cs="Arial"/>
                <w:color w:val="394A58"/>
                <w:sz w:val="16"/>
                <w:szCs w:val="16"/>
              </w:rPr>
              <w:t>Synthesize findings from Action 1 into an Africa-wide storage roadmap</w:t>
            </w:r>
          </w:p>
          <w:p w14:paraId="4DE3EC68" w14:textId="27BC8942" w:rsidR="003D7974" w:rsidRPr="00662906" w:rsidRDefault="003D7974" w:rsidP="007E6C89">
            <w:pPr>
              <w:pStyle w:val="ListParagraph"/>
              <w:numPr>
                <w:ilvl w:val="0"/>
                <w:numId w:val="111"/>
              </w:numPr>
              <w:spacing w:before="40" w:after="40"/>
              <w:ind w:left="367"/>
              <w:jc w:val="center"/>
              <w:rPr>
                <w:rFonts w:eastAsia="Arial" w:cs="Arial"/>
                <w:color w:val="394A58"/>
                <w:sz w:val="16"/>
                <w:szCs w:val="16"/>
              </w:rPr>
            </w:pPr>
            <w:r w:rsidRPr="00662906">
              <w:rPr>
                <w:rFonts w:eastAsia="Arial" w:cs="Arial"/>
                <w:color w:val="394A58"/>
                <w:sz w:val="16"/>
                <w:szCs w:val="16"/>
              </w:rPr>
              <w:t>Outline specific timelines and milestones for each region</w:t>
            </w:r>
          </w:p>
          <w:p w14:paraId="3BF139EF" w14:textId="329908F8" w:rsidR="003D7974" w:rsidRPr="00662906" w:rsidRDefault="003D7974" w:rsidP="007E6C89">
            <w:pPr>
              <w:pStyle w:val="ListParagraph"/>
              <w:numPr>
                <w:ilvl w:val="0"/>
                <w:numId w:val="111"/>
              </w:numPr>
              <w:spacing w:before="40" w:after="40"/>
              <w:ind w:left="367"/>
              <w:jc w:val="center"/>
              <w:rPr>
                <w:rFonts w:eastAsia="Arial" w:cs="Arial"/>
                <w:color w:val="394A58"/>
                <w:sz w:val="16"/>
                <w:szCs w:val="16"/>
              </w:rPr>
            </w:pPr>
            <w:r w:rsidRPr="00662906">
              <w:rPr>
                <w:rFonts w:eastAsia="Arial" w:cs="Arial"/>
                <w:color w:val="394A58"/>
                <w:sz w:val="16"/>
                <w:szCs w:val="16"/>
              </w:rPr>
              <w:t>Coordinate with car industry associations, power utilities, and rural electrification agencies to define market entry points</w:t>
            </w:r>
            <w:r w:rsidR="009304DC" w:rsidRPr="00662906">
              <w:rPr>
                <w:rFonts w:eastAsia="Arial" w:cs="Arial"/>
                <w:color w:val="394A58"/>
                <w:sz w:val="16"/>
                <w:szCs w:val="16"/>
              </w:rPr>
              <w:t xml:space="preserve"> and potential</w:t>
            </w:r>
          </w:p>
          <w:p w14:paraId="324B13BB" w14:textId="454D33DA" w:rsidR="003D7974" w:rsidRPr="00662906" w:rsidRDefault="003D7974" w:rsidP="007E6C89">
            <w:pPr>
              <w:pStyle w:val="ListParagraph"/>
              <w:numPr>
                <w:ilvl w:val="0"/>
                <w:numId w:val="111"/>
              </w:numPr>
              <w:spacing w:before="40" w:after="40"/>
              <w:ind w:left="367"/>
              <w:jc w:val="center"/>
              <w:rPr>
                <w:rFonts w:eastAsia="Arial" w:cs="Arial"/>
                <w:color w:val="394A58"/>
                <w:sz w:val="16"/>
                <w:szCs w:val="16"/>
              </w:rPr>
            </w:pPr>
            <w:r w:rsidRPr="00662906">
              <w:rPr>
                <w:rFonts w:eastAsia="Arial" w:cs="Arial"/>
                <w:color w:val="394A58"/>
                <w:sz w:val="16"/>
                <w:szCs w:val="16"/>
              </w:rPr>
              <w:t>Integrate strategy within broader AfCFTA and AU industrialization goals</w:t>
            </w:r>
          </w:p>
        </w:tc>
        <w:tc>
          <w:tcPr>
            <w:tcW w:w="1276" w:type="dxa"/>
            <w:gridSpan w:val="2"/>
            <w:shd w:val="clear" w:color="auto" w:fill="FFFFFF"/>
            <w:tcMar>
              <w:left w:w="57" w:type="dxa"/>
              <w:right w:w="57" w:type="dxa"/>
            </w:tcMar>
          </w:tcPr>
          <w:p w14:paraId="0540CB1F" w14:textId="5B4A4B02"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gridSpan w:val="2"/>
            <w:shd w:val="clear" w:color="auto" w:fill="FFFFFF"/>
            <w:tcMar>
              <w:left w:w="57" w:type="dxa"/>
              <w:right w:w="57" w:type="dxa"/>
            </w:tcMar>
          </w:tcPr>
          <w:p w14:paraId="21BD241A" w14:textId="4C2C83B0"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AUC-DIE</w:t>
            </w:r>
          </w:p>
        </w:tc>
        <w:tc>
          <w:tcPr>
            <w:tcW w:w="1198" w:type="dxa"/>
            <w:gridSpan w:val="2"/>
            <w:shd w:val="clear" w:color="auto" w:fill="FFFFFF"/>
            <w:tcMar>
              <w:left w:w="57" w:type="dxa"/>
              <w:right w:w="57" w:type="dxa"/>
            </w:tcMar>
          </w:tcPr>
          <w:p w14:paraId="701EC9FE" w14:textId="68B4C916"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AUDA-NEPAD, RECs, RCREEEs, Car Industry Associations, Power Pools, Utilities</w:t>
            </w:r>
          </w:p>
        </w:tc>
        <w:tc>
          <w:tcPr>
            <w:tcW w:w="851" w:type="dxa"/>
            <w:gridSpan w:val="2"/>
            <w:shd w:val="clear" w:color="auto" w:fill="FFFFFF"/>
            <w:tcMar>
              <w:left w:w="57" w:type="dxa"/>
              <w:right w:w="57" w:type="dxa"/>
            </w:tcMar>
          </w:tcPr>
          <w:p w14:paraId="6837F93A" w14:textId="326DA0C5"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45C63507" w14:textId="155E5141"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Africa-wide storage </w:t>
            </w:r>
            <w:r w:rsidR="009304DC" w:rsidRPr="00662906">
              <w:rPr>
                <w:rFonts w:eastAsia="Arial" w:cs="Arial"/>
                <w:color w:val="53575A"/>
                <w:sz w:val="16"/>
                <w:szCs w:val="16"/>
              </w:rPr>
              <w:t xml:space="preserve">potential and </w:t>
            </w:r>
            <w:r w:rsidRPr="00662906">
              <w:rPr>
                <w:rFonts w:eastAsia="Arial" w:cs="Arial"/>
                <w:color w:val="53575A"/>
                <w:sz w:val="16"/>
                <w:szCs w:val="16"/>
              </w:rPr>
              <w:t>roadmap</w:t>
            </w:r>
          </w:p>
          <w:p w14:paraId="5FED1FBD" w14:textId="48AE648E"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Implementation milestones for each region</w:t>
            </w:r>
          </w:p>
          <w:p w14:paraId="4BA1A259" w14:textId="77777777"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Memoranda of Understanding with key stakeholders</w:t>
            </w:r>
          </w:p>
          <w:p w14:paraId="14124AA1" w14:textId="4EB390BD" w:rsidR="00497107" w:rsidRPr="00662906" w:rsidRDefault="00497107"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Updated Industrial Strategy aligned with AfCFTA and AU industry agenda</w:t>
            </w:r>
          </w:p>
        </w:tc>
        <w:tc>
          <w:tcPr>
            <w:tcW w:w="1481" w:type="dxa"/>
            <w:gridSpan w:val="2"/>
            <w:shd w:val="clear" w:color="auto" w:fill="FFFFFF"/>
          </w:tcPr>
          <w:p w14:paraId="1CC5AE53" w14:textId="3132CBEF"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Clear framework guiding large-scale storage deployment (battery and non-battery) across Africa, fostering investor confidence and regional collaboration</w:t>
            </w:r>
          </w:p>
        </w:tc>
        <w:tc>
          <w:tcPr>
            <w:tcW w:w="2063" w:type="dxa"/>
            <w:shd w:val="clear" w:color="auto" w:fill="FFFFFF"/>
          </w:tcPr>
          <w:p w14:paraId="1A5FCCBF" w14:textId="6C1EDD1A" w:rsidR="003D7974" w:rsidRPr="00662906" w:rsidRDefault="00497107"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Investor ready strategy, investment plan and </w:t>
            </w:r>
            <w:r w:rsidR="003D7974" w:rsidRPr="00662906">
              <w:rPr>
                <w:rFonts w:eastAsia="Arial" w:cs="Arial"/>
                <w:color w:val="53575A"/>
                <w:sz w:val="16"/>
                <w:szCs w:val="16"/>
              </w:rPr>
              <w:t xml:space="preserve">Roadmap </w:t>
            </w:r>
            <w:r w:rsidRPr="00662906">
              <w:rPr>
                <w:rFonts w:eastAsia="Arial" w:cs="Arial"/>
                <w:color w:val="53575A"/>
                <w:sz w:val="16"/>
                <w:szCs w:val="16"/>
              </w:rPr>
              <w:t>published for Africa</w:t>
            </w:r>
            <w:r w:rsidR="003D7974" w:rsidRPr="00662906">
              <w:rPr>
                <w:rFonts w:eastAsia="Arial" w:cs="Arial"/>
                <w:color w:val="53575A"/>
                <w:sz w:val="16"/>
                <w:szCs w:val="16"/>
              </w:rPr>
              <w:t xml:space="preserve"> (Yes/No)</w:t>
            </w:r>
          </w:p>
        </w:tc>
      </w:tr>
      <w:tr w:rsidR="003D7974" w:rsidRPr="00662906" w14:paraId="33385436" w14:textId="77777777" w:rsidTr="007E6C89">
        <w:trPr>
          <w:gridAfter w:val="1"/>
          <w:wAfter w:w="17" w:type="dxa"/>
          <w:trHeight w:val="300"/>
        </w:trPr>
        <w:tc>
          <w:tcPr>
            <w:tcW w:w="281" w:type="dxa"/>
            <w:shd w:val="clear" w:color="auto" w:fill="FFFFFF"/>
            <w:tcMar>
              <w:left w:w="57" w:type="dxa"/>
              <w:right w:w="57" w:type="dxa"/>
            </w:tcMar>
          </w:tcPr>
          <w:p w14:paraId="3E2A2637" w14:textId="77777777" w:rsidR="003D7974" w:rsidRPr="00662906" w:rsidRDefault="003D7974"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7208ED9C" w14:textId="027E2883"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Domesticate the continent-wide hydrogen strategy at national levels</w:t>
            </w:r>
          </w:p>
        </w:tc>
        <w:tc>
          <w:tcPr>
            <w:tcW w:w="3260" w:type="dxa"/>
            <w:gridSpan w:val="2"/>
            <w:tcBorders>
              <w:top w:val="single" w:sz="4" w:space="0" w:color="9F2241"/>
              <w:left w:val="nil"/>
              <w:bottom w:val="single" w:sz="4" w:space="0" w:color="9F2241"/>
              <w:right w:val="nil"/>
            </w:tcBorders>
            <w:tcMar>
              <w:left w:w="57" w:type="dxa"/>
              <w:right w:w="57" w:type="dxa"/>
            </w:tcMar>
          </w:tcPr>
          <w:p w14:paraId="3140B2CA" w14:textId="55AEB25C" w:rsidR="003D7974" w:rsidRPr="00662906" w:rsidRDefault="003D7974" w:rsidP="007E6C89">
            <w:pPr>
              <w:pStyle w:val="ListParagraph"/>
              <w:numPr>
                <w:ilvl w:val="0"/>
                <w:numId w:val="112"/>
              </w:numPr>
              <w:spacing w:before="40" w:after="40"/>
              <w:ind w:left="367"/>
              <w:jc w:val="center"/>
              <w:rPr>
                <w:rFonts w:eastAsia="Arial" w:cs="Arial"/>
                <w:color w:val="394A58"/>
                <w:sz w:val="16"/>
                <w:szCs w:val="16"/>
              </w:rPr>
            </w:pPr>
            <w:r w:rsidRPr="00662906">
              <w:rPr>
                <w:rFonts w:eastAsia="Arial" w:cs="Arial"/>
                <w:color w:val="394A58"/>
                <w:sz w:val="16"/>
                <w:szCs w:val="16"/>
              </w:rPr>
              <w:t>Adapt the Africa Hydrogen Strategy to local contexts, focusing on industrial and transport applications</w:t>
            </w:r>
          </w:p>
          <w:p w14:paraId="1A17B691" w14:textId="248D39C9" w:rsidR="003D7974" w:rsidRPr="00662906" w:rsidRDefault="003D7974" w:rsidP="007E6C89">
            <w:pPr>
              <w:pStyle w:val="ListParagraph"/>
              <w:numPr>
                <w:ilvl w:val="0"/>
                <w:numId w:val="112"/>
              </w:numPr>
              <w:spacing w:before="40" w:after="40"/>
              <w:ind w:left="367"/>
              <w:jc w:val="center"/>
              <w:rPr>
                <w:rFonts w:eastAsia="Arial" w:cs="Arial"/>
                <w:color w:val="394A58"/>
                <w:sz w:val="16"/>
                <w:szCs w:val="16"/>
              </w:rPr>
            </w:pPr>
            <w:r w:rsidRPr="00662906">
              <w:rPr>
                <w:rFonts w:eastAsia="Arial" w:cs="Arial"/>
                <w:color w:val="394A58"/>
                <w:sz w:val="16"/>
                <w:szCs w:val="16"/>
              </w:rPr>
              <w:t>Identify pilot projects for hydrogen production and utilization</w:t>
            </w:r>
          </w:p>
          <w:p w14:paraId="2F33BF4D" w14:textId="4158C5D4" w:rsidR="003D7974" w:rsidRPr="00662906" w:rsidRDefault="003D7974" w:rsidP="007E6C89">
            <w:pPr>
              <w:pStyle w:val="ListParagraph"/>
              <w:numPr>
                <w:ilvl w:val="0"/>
                <w:numId w:val="112"/>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Provide technical support to Member States on policy integration and stakeholder engagement</w:t>
            </w:r>
          </w:p>
        </w:tc>
        <w:tc>
          <w:tcPr>
            <w:tcW w:w="1276" w:type="dxa"/>
            <w:gridSpan w:val="2"/>
            <w:shd w:val="clear" w:color="auto" w:fill="FFFFFF"/>
            <w:tcMar>
              <w:left w:w="57" w:type="dxa"/>
              <w:right w:w="57" w:type="dxa"/>
            </w:tcMar>
          </w:tcPr>
          <w:p w14:paraId="6F3EBF17" w14:textId="32BD70F2" w:rsidR="003D7974" w:rsidRPr="00662906" w:rsidRDefault="003D7974"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gridSpan w:val="2"/>
            <w:shd w:val="clear" w:color="auto" w:fill="FFFFFF"/>
            <w:tcMar>
              <w:left w:w="57" w:type="dxa"/>
              <w:right w:w="57" w:type="dxa"/>
            </w:tcMar>
          </w:tcPr>
          <w:p w14:paraId="5535D88E" w14:textId="28A2C36A"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gridSpan w:val="2"/>
            <w:shd w:val="clear" w:color="auto" w:fill="FFFFFF"/>
            <w:tcMar>
              <w:left w:w="57" w:type="dxa"/>
              <w:right w:w="57" w:type="dxa"/>
            </w:tcMar>
          </w:tcPr>
          <w:p w14:paraId="24C24083" w14:textId="20AA68AA" w:rsidR="003D7974" w:rsidRPr="00662906" w:rsidRDefault="003D7974" w:rsidP="007E6C89">
            <w:pPr>
              <w:spacing w:before="40" w:after="40"/>
              <w:jc w:val="center"/>
              <w:rPr>
                <w:rFonts w:cs="Arial"/>
                <w:sz w:val="16"/>
                <w:szCs w:val="16"/>
              </w:rPr>
            </w:pPr>
            <w:r w:rsidRPr="00662906">
              <w:rPr>
                <w:rFonts w:cs="Arial"/>
                <w:sz w:val="16"/>
                <w:szCs w:val="16"/>
              </w:rPr>
              <w:t>Ministries in charge of Industry</w:t>
            </w:r>
            <w:r w:rsidR="00497107" w:rsidRPr="00662906">
              <w:rPr>
                <w:rFonts w:cs="Arial"/>
                <w:sz w:val="16"/>
                <w:szCs w:val="16"/>
              </w:rPr>
              <w:t xml:space="preserve"> and </w:t>
            </w:r>
            <w:r w:rsidRPr="00662906">
              <w:rPr>
                <w:rFonts w:cs="Arial"/>
                <w:sz w:val="16"/>
                <w:szCs w:val="16"/>
              </w:rPr>
              <w:t>Local Industry Players</w:t>
            </w:r>
          </w:p>
          <w:p w14:paraId="2CA9031D" w14:textId="77777777" w:rsidR="00497107" w:rsidRPr="00662906" w:rsidRDefault="00497107" w:rsidP="007E6C89">
            <w:pPr>
              <w:spacing w:before="40" w:after="40"/>
              <w:jc w:val="center"/>
              <w:rPr>
                <w:rFonts w:cs="Arial"/>
                <w:sz w:val="16"/>
                <w:szCs w:val="16"/>
              </w:rPr>
            </w:pPr>
            <w:r w:rsidRPr="00662906">
              <w:rPr>
                <w:rFonts w:cs="Arial"/>
                <w:sz w:val="16"/>
                <w:szCs w:val="16"/>
              </w:rPr>
              <w:lastRenderedPageBreak/>
              <w:t>Ministries in charge of transport</w:t>
            </w:r>
          </w:p>
          <w:p w14:paraId="0DC19B87" w14:textId="2C4418E2" w:rsidR="00497107" w:rsidRPr="00662906" w:rsidRDefault="00497107" w:rsidP="007E6C89">
            <w:pPr>
              <w:spacing w:before="40" w:after="40"/>
              <w:jc w:val="center"/>
              <w:rPr>
                <w:rFonts w:eastAsia="Arial" w:cs="Arial"/>
                <w:color w:val="53575A"/>
                <w:sz w:val="16"/>
                <w:szCs w:val="16"/>
              </w:rPr>
            </w:pPr>
            <w:r w:rsidRPr="00662906">
              <w:rPr>
                <w:rFonts w:cs="Arial"/>
                <w:sz w:val="16"/>
                <w:szCs w:val="16"/>
              </w:rPr>
              <w:t>AUC-DIE</w:t>
            </w:r>
          </w:p>
        </w:tc>
        <w:tc>
          <w:tcPr>
            <w:tcW w:w="851" w:type="dxa"/>
            <w:gridSpan w:val="2"/>
            <w:shd w:val="clear" w:color="auto" w:fill="FFFFFF"/>
            <w:tcMar>
              <w:left w:w="57" w:type="dxa"/>
              <w:right w:w="57" w:type="dxa"/>
            </w:tcMar>
          </w:tcPr>
          <w:p w14:paraId="577838A6" w14:textId="4599817F" w:rsidR="003D7974" w:rsidRPr="00662906" w:rsidRDefault="003D7974" w:rsidP="007E6C89">
            <w:pPr>
              <w:spacing w:before="40" w:after="40"/>
              <w:jc w:val="center"/>
              <w:rPr>
                <w:rFonts w:eastAsia="Arial" w:cs="Arial"/>
                <w:color w:val="53575A"/>
                <w:sz w:val="16"/>
                <w:szCs w:val="16"/>
              </w:rPr>
            </w:pPr>
            <w:r w:rsidRPr="00662906">
              <w:rPr>
                <w:rFonts w:cs="Arial"/>
                <w:sz w:val="16"/>
                <w:szCs w:val="16"/>
              </w:rPr>
              <w:lastRenderedPageBreak/>
              <w:t>Short Term</w:t>
            </w:r>
          </w:p>
        </w:tc>
        <w:tc>
          <w:tcPr>
            <w:tcW w:w="1842" w:type="dxa"/>
            <w:gridSpan w:val="2"/>
            <w:shd w:val="clear" w:color="auto" w:fill="FFFFFF"/>
          </w:tcPr>
          <w:p w14:paraId="6CB8B15E" w14:textId="2F7A1F5E"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National adaptation guidelines for hydrogen strategy</w:t>
            </w:r>
          </w:p>
          <w:p w14:paraId="04796527" w14:textId="468E10F5"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Identified pilot hydrogen projects</w:t>
            </w:r>
          </w:p>
          <w:p w14:paraId="15D4FA05" w14:textId="2273A267"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lastRenderedPageBreak/>
              <w:t>Technical assistance materials</w:t>
            </w:r>
          </w:p>
        </w:tc>
        <w:tc>
          <w:tcPr>
            <w:tcW w:w="1481" w:type="dxa"/>
            <w:gridSpan w:val="2"/>
            <w:shd w:val="clear" w:color="auto" w:fill="FFFFFF"/>
          </w:tcPr>
          <w:p w14:paraId="26885C4C" w14:textId="447DFE8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lastRenderedPageBreak/>
              <w:t xml:space="preserve">Accelerated adoption of green hydrogen programs in </w:t>
            </w:r>
            <w:r w:rsidR="00497107" w:rsidRPr="00662906">
              <w:rPr>
                <w:rFonts w:cs="Arial"/>
                <w:sz w:val="16"/>
                <w:szCs w:val="16"/>
              </w:rPr>
              <w:t>AU-MS</w:t>
            </w:r>
            <w:r w:rsidRPr="00662906">
              <w:rPr>
                <w:rFonts w:cs="Arial"/>
                <w:sz w:val="16"/>
                <w:szCs w:val="16"/>
              </w:rPr>
              <w:t xml:space="preserve">, bridging global ambitions </w:t>
            </w:r>
            <w:r w:rsidRPr="00662906">
              <w:rPr>
                <w:rFonts w:cs="Arial"/>
                <w:sz w:val="16"/>
                <w:szCs w:val="16"/>
              </w:rPr>
              <w:lastRenderedPageBreak/>
              <w:t>with local industrial priorities</w:t>
            </w:r>
          </w:p>
        </w:tc>
        <w:tc>
          <w:tcPr>
            <w:tcW w:w="2063" w:type="dxa"/>
            <w:shd w:val="clear" w:color="auto" w:fill="FFFFFF"/>
          </w:tcPr>
          <w:p w14:paraId="224E5C51" w14:textId="574BC182" w:rsidR="003D7974" w:rsidRPr="00662906" w:rsidRDefault="00497107"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AU-MS </w:t>
            </w:r>
            <w:r w:rsidR="003D7974" w:rsidRPr="00662906">
              <w:rPr>
                <w:rFonts w:eastAsia="Arial" w:cs="Arial"/>
                <w:color w:val="53575A"/>
                <w:sz w:val="16"/>
                <w:szCs w:val="16"/>
              </w:rPr>
              <w:t xml:space="preserve">Hydrogen </w:t>
            </w:r>
            <w:r w:rsidRPr="00662906">
              <w:rPr>
                <w:rFonts w:eastAsia="Arial" w:cs="Arial"/>
                <w:color w:val="53575A"/>
                <w:sz w:val="16"/>
                <w:szCs w:val="16"/>
              </w:rPr>
              <w:t>strategies, guidelines and implementation plans accomplished.</w:t>
            </w:r>
            <w:r w:rsidR="003D7974" w:rsidRPr="00662906">
              <w:rPr>
                <w:rFonts w:eastAsia="Arial" w:cs="Arial"/>
                <w:color w:val="53575A"/>
                <w:sz w:val="16"/>
                <w:szCs w:val="16"/>
              </w:rPr>
              <w:t xml:space="preserve"> (Yes/No)</w:t>
            </w:r>
          </w:p>
        </w:tc>
      </w:tr>
      <w:tr w:rsidR="003D7974" w:rsidRPr="00662906" w14:paraId="6FF2F8A9" w14:textId="77777777" w:rsidTr="007E6C89">
        <w:trPr>
          <w:gridAfter w:val="1"/>
          <w:wAfter w:w="17" w:type="dxa"/>
          <w:trHeight w:val="300"/>
        </w:trPr>
        <w:tc>
          <w:tcPr>
            <w:tcW w:w="281" w:type="dxa"/>
            <w:shd w:val="clear" w:color="auto" w:fill="FFFFFF"/>
            <w:tcMar>
              <w:left w:w="57" w:type="dxa"/>
              <w:right w:w="57" w:type="dxa"/>
            </w:tcMar>
          </w:tcPr>
          <w:p w14:paraId="13036BB8" w14:textId="77777777" w:rsidR="003D7974" w:rsidRPr="00662906" w:rsidRDefault="003D7974"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05482BFE" w14:textId="3CE4E083"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Support enhancement of green hydrogen development and utilization in industry and transport</w:t>
            </w:r>
          </w:p>
        </w:tc>
        <w:tc>
          <w:tcPr>
            <w:tcW w:w="3260" w:type="dxa"/>
            <w:gridSpan w:val="2"/>
            <w:tcBorders>
              <w:top w:val="single" w:sz="4" w:space="0" w:color="9F2241"/>
              <w:left w:val="nil"/>
              <w:bottom w:val="single" w:sz="4" w:space="0" w:color="9F2241"/>
              <w:right w:val="nil"/>
            </w:tcBorders>
            <w:tcMar>
              <w:left w:w="57" w:type="dxa"/>
              <w:right w:w="57" w:type="dxa"/>
            </w:tcMar>
          </w:tcPr>
          <w:p w14:paraId="33A56D81" w14:textId="006BF06B" w:rsidR="003D7974" w:rsidRPr="00662906" w:rsidRDefault="003D7974" w:rsidP="007E6C89">
            <w:pPr>
              <w:pStyle w:val="ListParagraph"/>
              <w:numPr>
                <w:ilvl w:val="0"/>
                <w:numId w:val="113"/>
              </w:numPr>
              <w:spacing w:before="40" w:after="40"/>
              <w:ind w:left="367"/>
              <w:jc w:val="center"/>
              <w:rPr>
                <w:rFonts w:eastAsia="Arial" w:cs="Arial"/>
                <w:color w:val="394A58"/>
                <w:sz w:val="16"/>
                <w:szCs w:val="16"/>
              </w:rPr>
            </w:pPr>
            <w:r w:rsidRPr="00662906">
              <w:rPr>
                <w:rFonts w:eastAsia="Arial" w:cs="Arial"/>
                <w:color w:val="394A58"/>
                <w:sz w:val="16"/>
                <w:szCs w:val="16"/>
              </w:rPr>
              <w:t>Conduct a continent-wide market study on hydrogen use cases (hard-to-abate industries, heavy transport, etc.)</w:t>
            </w:r>
          </w:p>
          <w:p w14:paraId="6C66B3C5" w14:textId="503CBF57" w:rsidR="003D7974" w:rsidRPr="00662906" w:rsidRDefault="003D7974" w:rsidP="007E6C89">
            <w:pPr>
              <w:pStyle w:val="ListParagraph"/>
              <w:numPr>
                <w:ilvl w:val="0"/>
                <w:numId w:val="113"/>
              </w:numPr>
              <w:spacing w:before="40" w:after="40"/>
              <w:ind w:left="367"/>
              <w:jc w:val="center"/>
              <w:rPr>
                <w:rFonts w:eastAsia="Arial" w:cs="Arial"/>
                <w:color w:val="394A58"/>
                <w:sz w:val="16"/>
                <w:szCs w:val="16"/>
              </w:rPr>
            </w:pPr>
            <w:r w:rsidRPr="00662906">
              <w:rPr>
                <w:rFonts w:eastAsia="Arial" w:cs="Arial"/>
                <w:color w:val="394A58"/>
                <w:sz w:val="16"/>
                <w:szCs w:val="16"/>
              </w:rPr>
              <w:t>Develop training modules for industrial stakeholders on hydrogen safety and infrastructure</w:t>
            </w:r>
          </w:p>
          <w:p w14:paraId="4869A47C" w14:textId="173A2A99" w:rsidR="003D7974" w:rsidRPr="00662906" w:rsidRDefault="003D7974" w:rsidP="007E6C89">
            <w:pPr>
              <w:pStyle w:val="ListParagraph"/>
              <w:numPr>
                <w:ilvl w:val="0"/>
                <w:numId w:val="113"/>
              </w:numPr>
              <w:spacing w:before="40" w:after="40"/>
              <w:ind w:left="367"/>
              <w:jc w:val="center"/>
              <w:rPr>
                <w:rFonts w:eastAsia="Arial" w:cs="Arial"/>
                <w:color w:val="394A58"/>
                <w:sz w:val="16"/>
                <w:szCs w:val="16"/>
              </w:rPr>
            </w:pPr>
            <w:r w:rsidRPr="00662906">
              <w:rPr>
                <w:rFonts w:eastAsia="Arial" w:cs="Arial"/>
                <w:color w:val="394A58"/>
                <w:sz w:val="16"/>
                <w:szCs w:val="16"/>
              </w:rPr>
              <w:t>Coordinate financing models with regional development banks for hydrogen-based projects</w:t>
            </w:r>
          </w:p>
        </w:tc>
        <w:tc>
          <w:tcPr>
            <w:tcW w:w="1276" w:type="dxa"/>
            <w:gridSpan w:val="2"/>
            <w:shd w:val="clear" w:color="auto" w:fill="FFFFFF"/>
            <w:tcMar>
              <w:left w:w="57" w:type="dxa"/>
              <w:right w:w="57" w:type="dxa"/>
            </w:tcMar>
          </w:tcPr>
          <w:p w14:paraId="17D7FC98" w14:textId="2D09CC64"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gridSpan w:val="2"/>
            <w:shd w:val="clear" w:color="auto" w:fill="FFFFFF"/>
            <w:tcMar>
              <w:left w:w="57" w:type="dxa"/>
              <w:right w:w="57" w:type="dxa"/>
            </w:tcMar>
          </w:tcPr>
          <w:p w14:paraId="54021B00" w14:textId="6BF2D75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AUC-DIE</w:t>
            </w:r>
          </w:p>
        </w:tc>
        <w:tc>
          <w:tcPr>
            <w:tcW w:w="1198" w:type="dxa"/>
            <w:gridSpan w:val="2"/>
            <w:shd w:val="clear" w:color="auto" w:fill="FFFFFF"/>
            <w:tcMar>
              <w:left w:w="57" w:type="dxa"/>
              <w:right w:w="57" w:type="dxa"/>
            </w:tcMar>
          </w:tcPr>
          <w:p w14:paraId="6FD2A949" w14:textId="5E3C1B9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AFREC, RCREEEs, REC Industry Directorates, National Industry/Energy/Water/Agriculture Ministries</w:t>
            </w:r>
          </w:p>
        </w:tc>
        <w:tc>
          <w:tcPr>
            <w:tcW w:w="851" w:type="dxa"/>
            <w:gridSpan w:val="2"/>
            <w:shd w:val="clear" w:color="auto" w:fill="FFFFFF"/>
            <w:tcMar>
              <w:left w:w="57" w:type="dxa"/>
              <w:right w:w="57" w:type="dxa"/>
            </w:tcMar>
          </w:tcPr>
          <w:p w14:paraId="7FB550FF" w14:textId="42FB5AC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gridSpan w:val="2"/>
            <w:shd w:val="clear" w:color="auto" w:fill="FFFFFF"/>
          </w:tcPr>
          <w:p w14:paraId="44A0B349" w14:textId="043E5DE1"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Comprehensive hydrogen market study</w:t>
            </w:r>
          </w:p>
          <w:p w14:paraId="640AE3B7" w14:textId="7DAA73A6"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modules on hydrogen safety</w:t>
            </w:r>
          </w:p>
          <w:p w14:paraId="03669350" w14:textId="4BA8638A"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Financing framework proposals</w:t>
            </w:r>
            <w:r w:rsidR="007440C1" w:rsidRPr="00662906">
              <w:rPr>
                <w:rFonts w:eastAsia="Arial" w:cs="Arial"/>
                <w:color w:val="53575A"/>
                <w:sz w:val="16"/>
                <w:szCs w:val="16"/>
              </w:rPr>
              <w:t xml:space="preserve"> for adoption of hydrogen in industry</w:t>
            </w:r>
          </w:p>
        </w:tc>
        <w:tc>
          <w:tcPr>
            <w:tcW w:w="1481" w:type="dxa"/>
            <w:gridSpan w:val="2"/>
            <w:shd w:val="clear" w:color="auto" w:fill="FFFFFF"/>
          </w:tcPr>
          <w:p w14:paraId="112E2361" w14:textId="5C3C0A89"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 xml:space="preserve">Robust hydrogen ecosystem linking industrial and transport sectors, driving emissions reductions </w:t>
            </w:r>
            <w:r w:rsidR="007440C1" w:rsidRPr="00662906">
              <w:rPr>
                <w:rFonts w:cs="Arial"/>
                <w:sz w:val="16"/>
                <w:szCs w:val="16"/>
              </w:rPr>
              <w:t>through</w:t>
            </w:r>
            <w:r w:rsidR="000D3436" w:rsidRPr="00662906">
              <w:rPr>
                <w:rFonts w:cs="Arial"/>
                <w:sz w:val="16"/>
                <w:szCs w:val="16"/>
              </w:rPr>
              <w:t xml:space="preserve"> </w:t>
            </w:r>
            <w:r w:rsidRPr="00662906">
              <w:rPr>
                <w:rFonts w:cs="Arial"/>
                <w:sz w:val="16"/>
                <w:szCs w:val="16"/>
              </w:rPr>
              <w:t>technological innovation across the continent</w:t>
            </w:r>
          </w:p>
        </w:tc>
        <w:tc>
          <w:tcPr>
            <w:tcW w:w="2063" w:type="dxa"/>
            <w:shd w:val="clear" w:color="auto" w:fill="FFFFFF"/>
          </w:tcPr>
          <w:p w14:paraId="0D23CD5D" w14:textId="100F6D91" w:rsidR="000D3436" w:rsidRPr="00662906" w:rsidRDefault="003D7974"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Publication of hydrogen market </w:t>
            </w:r>
            <w:r w:rsidR="007440C1" w:rsidRPr="00662906">
              <w:rPr>
                <w:rFonts w:eastAsia="Arial" w:cs="Arial"/>
                <w:color w:val="53575A"/>
                <w:sz w:val="16"/>
                <w:szCs w:val="16"/>
              </w:rPr>
              <w:t>potential</w:t>
            </w:r>
            <w:r w:rsidR="000D3436" w:rsidRPr="00662906">
              <w:rPr>
                <w:rFonts w:eastAsia="Arial" w:cs="Arial"/>
                <w:color w:val="53575A"/>
                <w:sz w:val="16"/>
                <w:szCs w:val="16"/>
              </w:rPr>
              <w:t xml:space="preserve"> and financing by sectors</w:t>
            </w:r>
          </w:p>
          <w:p w14:paraId="694B9E37" w14:textId="45855C19" w:rsidR="003D7974" w:rsidRPr="00662906" w:rsidRDefault="003D7974"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(Yes/No)</w:t>
            </w:r>
          </w:p>
          <w:p w14:paraId="164F0156" w14:textId="622E7F6B" w:rsidR="003D7974" w:rsidRPr="00662906" w:rsidRDefault="003D7974" w:rsidP="007E6C89">
            <w:pPr>
              <w:spacing w:before="40" w:after="40"/>
              <w:jc w:val="center"/>
              <w:rPr>
                <w:rFonts w:eastAsia="Arial" w:cs="Arial"/>
                <w:color w:val="53575A"/>
                <w:sz w:val="16"/>
                <w:szCs w:val="16"/>
              </w:rPr>
            </w:pPr>
          </w:p>
        </w:tc>
      </w:tr>
      <w:tr w:rsidR="003D7974" w:rsidRPr="00662906" w14:paraId="19E6BA6E" w14:textId="77777777" w:rsidTr="007E6C89">
        <w:trPr>
          <w:gridAfter w:val="1"/>
          <w:wAfter w:w="17" w:type="dxa"/>
          <w:trHeight w:val="300"/>
        </w:trPr>
        <w:tc>
          <w:tcPr>
            <w:tcW w:w="281" w:type="dxa"/>
            <w:shd w:val="clear" w:color="auto" w:fill="FFFFFF"/>
            <w:tcMar>
              <w:left w:w="57" w:type="dxa"/>
              <w:right w:w="57" w:type="dxa"/>
            </w:tcMar>
          </w:tcPr>
          <w:p w14:paraId="573A62FB" w14:textId="77777777" w:rsidR="003D7974" w:rsidRPr="00662906" w:rsidRDefault="003D7974"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75F40D20" w14:textId="3385E0E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Promote local manufacturing of RE/EE equipment</w:t>
            </w:r>
          </w:p>
        </w:tc>
        <w:tc>
          <w:tcPr>
            <w:tcW w:w="3260" w:type="dxa"/>
            <w:gridSpan w:val="2"/>
            <w:tcBorders>
              <w:top w:val="single" w:sz="4" w:space="0" w:color="9F2241"/>
              <w:left w:val="nil"/>
              <w:bottom w:val="single" w:sz="4" w:space="0" w:color="9F2241"/>
              <w:right w:val="nil"/>
            </w:tcBorders>
            <w:tcMar>
              <w:left w:w="57" w:type="dxa"/>
              <w:right w:w="57" w:type="dxa"/>
            </w:tcMar>
          </w:tcPr>
          <w:p w14:paraId="59FC1854" w14:textId="3B740658" w:rsidR="003D7974" w:rsidRPr="00662906" w:rsidRDefault="003D7974" w:rsidP="007E6C89">
            <w:pPr>
              <w:pStyle w:val="ListParagraph"/>
              <w:numPr>
                <w:ilvl w:val="0"/>
                <w:numId w:val="114"/>
              </w:numPr>
              <w:spacing w:before="40" w:after="40"/>
              <w:ind w:left="367"/>
              <w:jc w:val="center"/>
              <w:rPr>
                <w:rFonts w:eastAsia="Arial" w:cs="Arial"/>
                <w:color w:val="394A58"/>
                <w:sz w:val="16"/>
                <w:szCs w:val="16"/>
              </w:rPr>
            </w:pPr>
            <w:r w:rsidRPr="00662906">
              <w:rPr>
                <w:rFonts w:eastAsia="Arial" w:cs="Arial"/>
                <w:color w:val="394A58"/>
                <w:sz w:val="16"/>
                <w:szCs w:val="16"/>
              </w:rPr>
              <w:t>Conduct market assessment of RE/EE equipment demand (solar panels, efficient motors, industrial heat pumps)</w:t>
            </w:r>
          </w:p>
          <w:p w14:paraId="373E3684" w14:textId="6FD983C3" w:rsidR="003D7974" w:rsidRPr="00662906" w:rsidRDefault="003D7974" w:rsidP="007E6C89">
            <w:pPr>
              <w:pStyle w:val="ListParagraph"/>
              <w:numPr>
                <w:ilvl w:val="0"/>
                <w:numId w:val="114"/>
              </w:numPr>
              <w:spacing w:before="40" w:after="40"/>
              <w:ind w:left="367"/>
              <w:jc w:val="center"/>
              <w:rPr>
                <w:rFonts w:eastAsia="Arial" w:cs="Arial"/>
                <w:color w:val="394A58"/>
                <w:sz w:val="16"/>
                <w:szCs w:val="16"/>
              </w:rPr>
            </w:pPr>
            <w:r w:rsidRPr="00662906">
              <w:rPr>
                <w:rFonts w:eastAsia="Arial" w:cs="Arial"/>
                <w:color w:val="394A58"/>
                <w:sz w:val="16"/>
                <w:szCs w:val="16"/>
              </w:rPr>
              <w:t>Identify domestic manufacturing gaps and required technology transfers</w:t>
            </w:r>
          </w:p>
          <w:p w14:paraId="5710B330" w14:textId="7A7D8AE9" w:rsidR="003D7974" w:rsidRPr="00662906" w:rsidRDefault="003D7974" w:rsidP="007E6C89">
            <w:pPr>
              <w:pStyle w:val="ListParagraph"/>
              <w:numPr>
                <w:ilvl w:val="0"/>
                <w:numId w:val="114"/>
              </w:numPr>
              <w:spacing w:before="40" w:after="40"/>
              <w:ind w:left="367"/>
              <w:jc w:val="center"/>
              <w:rPr>
                <w:rFonts w:eastAsia="Arial" w:cs="Arial"/>
                <w:color w:val="394A58"/>
                <w:sz w:val="16"/>
                <w:szCs w:val="16"/>
              </w:rPr>
            </w:pPr>
            <w:r w:rsidRPr="00662906">
              <w:rPr>
                <w:rFonts w:eastAsia="Arial" w:cs="Arial"/>
                <w:color w:val="394A58"/>
                <w:sz w:val="16"/>
                <w:szCs w:val="16"/>
              </w:rPr>
              <w:t>Establish pilot production lines or joint ventures with international partners</w:t>
            </w:r>
          </w:p>
        </w:tc>
        <w:tc>
          <w:tcPr>
            <w:tcW w:w="1276" w:type="dxa"/>
            <w:gridSpan w:val="2"/>
            <w:shd w:val="clear" w:color="auto" w:fill="FFFFFF"/>
            <w:tcMar>
              <w:left w:w="57" w:type="dxa"/>
              <w:right w:w="57" w:type="dxa"/>
            </w:tcMar>
          </w:tcPr>
          <w:p w14:paraId="36B728E8" w14:textId="3FD665DA"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Regional</w:t>
            </w:r>
          </w:p>
        </w:tc>
        <w:tc>
          <w:tcPr>
            <w:tcW w:w="1070" w:type="dxa"/>
            <w:gridSpan w:val="2"/>
            <w:shd w:val="clear" w:color="auto" w:fill="FFFFFF"/>
            <w:tcMar>
              <w:left w:w="57" w:type="dxa"/>
              <w:right w:w="57" w:type="dxa"/>
            </w:tcMar>
          </w:tcPr>
          <w:p w14:paraId="2BA91869" w14:textId="2F0EAF82" w:rsidR="003D7974" w:rsidRPr="00662906" w:rsidRDefault="00D03E36" w:rsidP="007E6C89">
            <w:pPr>
              <w:spacing w:before="40" w:after="40"/>
              <w:jc w:val="center"/>
              <w:rPr>
                <w:rFonts w:eastAsia="Arial" w:cs="Arial"/>
                <w:color w:val="53575A"/>
                <w:sz w:val="16"/>
                <w:szCs w:val="16"/>
              </w:rPr>
            </w:pPr>
            <w:r w:rsidRPr="00662906">
              <w:rPr>
                <w:rFonts w:cs="Arial"/>
                <w:sz w:val="16"/>
                <w:szCs w:val="16"/>
              </w:rPr>
              <w:t>R</w:t>
            </w:r>
            <w:r w:rsidR="003D7974" w:rsidRPr="00662906">
              <w:rPr>
                <w:rFonts w:cs="Arial"/>
                <w:sz w:val="16"/>
                <w:szCs w:val="16"/>
              </w:rPr>
              <w:t>CREEEs</w:t>
            </w:r>
          </w:p>
        </w:tc>
        <w:tc>
          <w:tcPr>
            <w:tcW w:w="1198" w:type="dxa"/>
            <w:gridSpan w:val="2"/>
            <w:shd w:val="clear" w:color="auto" w:fill="FFFFFF"/>
            <w:tcMar>
              <w:left w:w="57" w:type="dxa"/>
              <w:right w:w="57" w:type="dxa"/>
            </w:tcMar>
          </w:tcPr>
          <w:p w14:paraId="111A3C9A" w14:textId="7C562A4E"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RECs Energy/Industry Divisions, Ministries in charge of Energy &amp; Industry</w:t>
            </w:r>
          </w:p>
        </w:tc>
        <w:tc>
          <w:tcPr>
            <w:tcW w:w="851" w:type="dxa"/>
            <w:gridSpan w:val="2"/>
            <w:shd w:val="clear" w:color="auto" w:fill="FFFFFF"/>
            <w:tcMar>
              <w:left w:w="57" w:type="dxa"/>
              <w:right w:w="57" w:type="dxa"/>
            </w:tcMar>
          </w:tcPr>
          <w:p w14:paraId="3693AC39" w14:textId="10A1E72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6276C166" w14:textId="0B4AAEC8"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Market assessment reports</w:t>
            </w:r>
          </w:p>
          <w:p w14:paraId="00E65DA5" w14:textId="7D81AF3B"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Technology transfer agreements</w:t>
            </w:r>
          </w:p>
          <w:p w14:paraId="07EB2FD4" w14:textId="73A6CAF4"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Pilot production line implementation</w:t>
            </w:r>
          </w:p>
        </w:tc>
        <w:tc>
          <w:tcPr>
            <w:tcW w:w="1481" w:type="dxa"/>
            <w:gridSpan w:val="2"/>
            <w:shd w:val="clear" w:color="auto" w:fill="FFFFFF"/>
          </w:tcPr>
          <w:p w14:paraId="64969501" w14:textId="39D35CAC"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Strengthened manufacturing capacity for RE/EE technologies, reducing import dependence and stimulating job creation</w:t>
            </w:r>
          </w:p>
        </w:tc>
        <w:tc>
          <w:tcPr>
            <w:tcW w:w="2063" w:type="dxa"/>
            <w:shd w:val="clear" w:color="auto" w:fill="FFFFFF"/>
          </w:tcPr>
          <w:p w14:paraId="017FED36" w14:textId="616FEBCF" w:rsidR="003D7974" w:rsidRPr="00662906" w:rsidRDefault="003D7974"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Market assessment completed (Yes/No)</w:t>
            </w:r>
          </w:p>
          <w:p w14:paraId="23BBD0EA" w14:textId="57802ACE" w:rsidR="003D7974" w:rsidRPr="00662906" w:rsidRDefault="003D7974"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technology transfer agreements</w:t>
            </w:r>
          </w:p>
          <w:p w14:paraId="6DCE2ECF" w14:textId="201B2F19" w:rsidR="003D7974" w:rsidRPr="00662906" w:rsidRDefault="003D7974"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production lines operational (Yes/No)</w:t>
            </w:r>
          </w:p>
        </w:tc>
      </w:tr>
      <w:tr w:rsidR="003D7974" w:rsidRPr="00662906" w14:paraId="06E618BD" w14:textId="77777777" w:rsidTr="007E6C89">
        <w:trPr>
          <w:gridAfter w:val="1"/>
          <w:wAfter w:w="17" w:type="dxa"/>
          <w:trHeight w:val="300"/>
        </w:trPr>
        <w:tc>
          <w:tcPr>
            <w:tcW w:w="281" w:type="dxa"/>
            <w:shd w:val="clear" w:color="auto" w:fill="FFFFFF"/>
            <w:tcMar>
              <w:left w:w="57" w:type="dxa"/>
              <w:right w:w="57" w:type="dxa"/>
            </w:tcMar>
          </w:tcPr>
          <w:p w14:paraId="438AD1EC" w14:textId="77777777" w:rsidR="003D7974" w:rsidRPr="00662906" w:rsidRDefault="003D7974"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3FA41AE8" w14:textId="3211CA32"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Incentive scheme to attract technology transfer and build local manufacturing capacity</w:t>
            </w:r>
          </w:p>
        </w:tc>
        <w:tc>
          <w:tcPr>
            <w:tcW w:w="3260" w:type="dxa"/>
            <w:gridSpan w:val="2"/>
            <w:tcBorders>
              <w:top w:val="single" w:sz="4" w:space="0" w:color="9F2241"/>
              <w:left w:val="nil"/>
              <w:bottom w:val="single" w:sz="4" w:space="0" w:color="9F2241"/>
              <w:right w:val="nil"/>
            </w:tcBorders>
            <w:tcMar>
              <w:left w:w="57" w:type="dxa"/>
              <w:right w:w="57" w:type="dxa"/>
            </w:tcMar>
          </w:tcPr>
          <w:p w14:paraId="4C602DC2" w14:textId="5581E04C" w:rsidR="003D7974" w:rsidRPr="00662906" w:rsidRDefault="003D7974" w:rsidP="007E6C89">
            <w:pPr>
              <w:pStyle w:val="ListParagraph"/>
              <w:numPr>
                <w:ilvl w:val="0"/>
                <w:numId w:val="115"/>
              </w:numPr>
              <w:spacing w:before="40" w:after="40"/>
              <w:ind w:left="367"/>
              <w:jc w:val="center"/>
              <w:rPr>
                <w:rFonts w:eastAsia="Arial" w:cs="Arial"/>
                <w:color w:val="394A58"/>
                <w:sz w:val="16"/>
                <w:szCs w:val="16"/>
              </w:rPr>
            </w:pPr>
            <w:r w:rsidRPr="00662906">
              <w:rPr>
                <w:rFonts w:eastAsia="Arial" w:cs="Arial"/>
                <w:color w:val="394A58"/>
                <w:sz w:val="16"/>
                <w:szCs w:val="16"/>
              </w:rPr>
              <w:t>Develop special economic zones or processing zones with tax incentives</w:t>
            </w:r>
          </w:p>
          <w:p w14:paraId="20C848D7" w14:textId="2E1AB0DD" w:rsidR="003D7974" w:rsidRPr="00662906" w:rsidRDefault="003D7974" w:rsidP="007E6C89">
            <w:pPr>
              <w:pStyle w:val="ListParagraph"/>
              <w:numPr>
                <w:ilvl w:val="0"/>
                <w:numId w:val="115"/>
              </w:numPr>
              <w:spacing w:before="40" w:after="40"/>
              <w:ind w:left="367"/>
              <w:jc w:val="center"/>
              <w:rPr>
                <w:rFonts w:eastAsia="Arial" w:cs="Arial"/>
                <w:color w:val="394A58"/>
                <w:sz w:val="16"/>
                <w:szCs w:val="16"/>
              </w:rPr>
            </w:pPr>
            <w:r w:rsidRPr="00662906">
              <w:rPr>
                <w:rFonts w:eastAsia="Arial" w:cs="Arial"/>
                <w:color w:val="394A58"/>
                <w:sz w:val="16"/>
                <w:szCs w:val="16"/>
              </w:rPr>
              <w:t>Provide streamlined licensing for green tech</w:t>
            </w:r>
            <w:r w:rsidR="000D3436" w:rsidRPr="00662906">
              <w:rPr>
                <w:rFonts w:eastAsia="Arial" w:cs="Arial"/>
                <w:color w:val="394A58"/>
                <w:sz w:val="16"/>
                <w:szCs w:val="16"/>
              </w:rPr>
              <w:t>nology</w:t>
            </w:r>
            <w:r w:rsidRPr="00662906">
              <w:rPr>
                <w:rFonts w:eastAsia="Arial" w:cs="Arial"/>
                <w:color w:val="394A58"/>
                <w:sz w:val="16"/>
                <w:szCs w:val="16"/>
              </w:rPr>
              <w:t xml:space="preserve"> investors</w:t>
            </w:r>
          </w:p>
          <w:p w14:paraId="3E9F2005" w14:textId="439EAEF8" w:rsidR="003D7974" w:rsidRPr="00662906" w:rsidRDefault="003D7974" w:rsidP="007E6C89">
            <w:pPr>
              <w:pStyle w:val="ListParagraph"/>
              <w:numPr>
                <w:ilvl w:val="0"/>
                <w:numId w:val="115"/>
              </w:numPr>
              <w:spacing w:before="40" w:after="40"/>
              <w:ind w:left="367"/>
              <w:jc w:val="center"/>
              <w:rPr>
                <w:rFonts w:eastAsia="Arial" w:cs="Arial"/>
                <w:color w:val="394A58"/>
                <w:sz w:val="16"/>
                <w:szCs w:val="16"/>
              </w:rPr>
            </w:pPr>
            <w:r w:rsidRPr="00662906">
              <w:rPr>
                <w:rFonts w:eastAsia="Arial" w:cs="Arial"/>
                <w:color w:val="394A58"/>
                <w:sz w:val="16"/>
                <w:szCs w:val="16"/>
              </w:rPr>
              <w:t>Subsidize utilities (water, electricity) for clean manufacturing units</w:t>
            </w:r>
          </w:p>
          <w:p w14:paraId="6CE0C91B" w14:textId="669937CB" w:rsidR="003D7974" w:rsidRPr="00662906" w:rsidRDefault="003D7974" w:rsidP="007E6C89">
            <w:pPr>
              <w:pStyle w:val="ListParagraph"/>
              <w:numPr>
                <w:ilvl w:val="0"/>
                <w:numId w:val="115"/>
              </w:numPr>
              <w:spacing w:before="40" w:after="40"/>
              <w:ind w:left="367"/>
              <w:jc w:val="center"/>
              <w:rPr>
                <w:rFonts w:eastAsia="Arial" w:cs="Arial"/>
                <w:color w:val="394A58"/>
                <w:sz w:val="16"/>
                <w:szCs w:val="16"/>
              </w:rPr>
            </w:pPr>
            <w:r w:rsidRPr="00662906">
              <w:rPr>
                <w:rFonts w:eastAsia="Arial" w:cs="Arial"/>
                <w:color w:val="394A58"/>
                <w:sz w:val="16"/>
                <w:szCs w:val="16"/>
              </w:rPr>
              <w:t>Launch investor outreach campaigns (webinars, investment forums</w:t>
            </w:r>
            <w:r w:rsidR="000D3436" w:rsidRPr="00662906">
              <w:rPr>
                <w:rFonts w:eastAsia="Arial" w:cs="Arial"/>
                <w:color w:val="394A58"/>
                <w:sz w:val="16"/>
                <w:szCs w:val="16"/>
              </w:rPr>
              <w:t>, tours</w:t>
            </w:r>
            <w:r w:rsidRPr="00662906">
              <w:rPr>
                <w:rFonts w:eastAsia="Arial" w:cs="Arial"/>
                <w:color w:val="394A58"/>
                <w:sz w:val="16"/>
                <w:szCs w:val="16"/>
              </w:rPr>
              <w:t>)</w:t>
            </w:r>
          </w:p>
        </w:tc>
        <w:tc>
          <w:tcPr>
            <w:tcW w:w="1276" w:type="dxa"/>
            <w:gridSpan w:val="2"/>
            <w:shd w:val="clear" w:color="auto" w:fill="FFFFFF"/>
            <w:tcMar>
              <w:left w:w="57" w:type="dxa"/>
              <w:right w:w="57" w:type="dxa"/>
            </w:tcMar>
          </w:tcPr>
          <w:p w14:paraId="06900E2B" w14:textId="2E2D7D8A"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National</w:t>
            </w:r>
          </w:p>
        </w:tc>
        <w:tc>
          <w:tcPr>
            <w:tcW w:w="1070" w:type="dxa"/>
            <w:gridSpan w:val="2"/>
            <w:shd w:val="clear" w:color="auto" w:fill="FFFFFF"/>
            <w:tcMar>
              <w:left w:w="57" w:type="dxa"/>
              <w:right w:w="57" w:type="dxa"/>
            </w:tcMar>
          </w:tcPr>
          <w:p w14:paraId="5F7C36C0" w14:textId="2235DDB8"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gridSpan w:val="2"/>
            <w:shd w:val="clear" w:color="auto" w:fill="FFFFFF"/>
            <w:tcMar>
              <w:left w:w="57" w:type="dxa"/>
              <w:right w:w="57" w:type="dxa"/>
            </w:tcMar>
          </w:tcPr>
          <w:p w14:paraId="53A091B8" w14:textId="6194B612" w:rsidR="003D7974" w:rsidRPr="00662906" w:rsidRDefault="00D03E36" w:rsidP="007E6C89">
            <w:pPr>
              <w:spacing w:before="40" w:after="40"/>
              <w:jc w:val="center"/>
              <w:rPr>
                <w:rFonts w:cs="Arial"/>
                <w:sz w:val="16"/>
                <w:szCs w:val="16"/>
              </w:rPr>
            </w:pPr>
            <w:r w:rsidRPr="00662906">
              <w:rPr>
                <w:rFonts w:cs="Arial"/>
                <w:sz w:val="16"/>
                <w:szCs w:val="16"/>
              </w:rPr>
              <w:t>MI</w:t>
            </w:r>
            <w:r w:rsidR="003D7974" w:rsidRPr="00662906">
              <w:rPr>
                <w:rFonts w:cs="Arial"/>
                <w:sz w:val="16"/>
                <w:szCs w:val="16"/>
              </w:rPr>
              <w:t>, Finance (MF)</w:t>
            </w:r>
          </w:p>
          <w:p w14:paraId="3B4D4741" w14:textId="298D5675" w:rsidR="000D3436" w:rsidRPr="00662906" w:rsidRDefault="000D3436" w:rsidP="007E6C89">
            <w:pPr>
              <w:spacing w:before="40" w:after="40"/>
              <w:jc w:val="center"/>
              <w:rPr>
                <w:rFonts w:eastAsia="Arial" w:cs="Arial"/>
                <w:color w:val="53575A"/>
                <w:sz w:val="16"/>
                <w:szCs w:val="16"/>
              </w:rPr>
            </w:pPr>
            <w:r w:rsidRPr="00662906">
              <w:rPr>
                <w:rFonts w:cs="Arial"/>
                <w:sz w:val="16"/>
                <w:szCs w:val="16"/>
              </w:rPr>
              <w:t>Industry associations</w:t>
            </w:r>
          </w:p>
        </w:tc>
        <w:tc>
          <w:tcPr>
            <w:tcW w:w="851" w:type="dxa"/>
            <w:gridSpan w:val="2"/>
            <w:shd w:val="clear" w:color="auto" w:fill="FFFFFF"/>
            <w:tcMar>
              <w:left w:w="57" w:type="dxa"/>
              <w:right w:w="57" w:type="dxa"/>
            </w:tcMar>
          </w:tcPr>
          <w:p w14:paraId="1EB36AD9" w14:textId="772D4779"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gridSpan w:val="2"/>
            <w:shd w:val="clear" w:color="auto" w:fill="FFFFFF"/>
          </w:tcPr>
          <w:p w14:paraId="02E4ACAB" w14:textId="3D99C1B0"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Policy briefs on special zones</w:t>
            </w:r>
          </w:p>
          <w:p w14:paraId="19C0BC7E" w14:textId="797B0225"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Investor outreach materials and forums</w:t>
            </w:r>
          </w:p>
          <w:p w14:paraId="1B97DE94" w14:textId="3CCE4652"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Database of companies </w:t>
            </w:r>
            <w:r w:rsidR="000D3436" w:rsidRPr="00662906">
              <w:rPr>
                <w:rFonts w:eastAsia="Arial" w:cs="Arial"/>
                <w:color w:val="53575A"/>
                <w:sz w:val="16"/>
                <w:szCs w:val="16"/>
              </w:rPr>
              <w:t xml:space="preserve">that can </w:t>
            </w:r>
            <w:r w:rsidRPr="00662906">
              <w:rPr>
                <w:rFonts w:eastAsia="Arial" w:cs="Arial"/>
                <w:color w:val="53575A"/>
                <w:sz w:val="16"/>
                <w:szCs w:val="16"/>
              </w:rPr>
              <w:t>benefi</w:t>
            </w:r>
            <w:r w:rsidR="000D3436" w:rsidRPr="00662906">
              <w:rPr>
                <w:rFonts w:eastAsia="Arial" w:cs="Arial"/>
                <w:color w:val="53575A"/>
                <w:sz w:val="16"/>
                <w:szCs w:val="16"/>
              </w:rPr>
              <w:t>t</w:t>
            </w:r>
            <w:r w:rsidRPr="00662906">
              <w:rPr>
                <w:rFonts w:eastAsia="Arial" w:cs="Arial"/>
                <w:color w:val="53575A"/>
                <w:sz w:val="16"/>
                <w:szCs w:val="16"/>
              </w:rPr>
              <w:t xml:space="preserve"> from incentives</w:t>
            </w:r>
          </w:p>
        </w:tc>
        <w:tc>
          <w:tcPr>
            <w:tcW w:w="1481" w:type="dxa"/>
            <w:gridSpan w:val="2"/>
            <w:shd w:val="clear" w:color="auto" w:fill="FFFFFF"/>
          </w:tcPr>
          <w:p w14:paraId="2C4294BB" w14:textId="3E2D4D0C"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Enhanced inflow of advanced manufacturing investments, nurturing indigenous industries for energy-efficient and clean tech</w:t>
            </w:r>
            <w:r w:rsidR="000D3436" w:rsidRPr="00662906">
              <w:rPr>
                <w:rFonts w:cs="Arial"/>
                <w:sz w:val="16"/>
                <w:szCs w:val="16"/>
              </w:rPr>
              <w:t>nology</w:t>
            </w:r>
            <w:r w:rsidRPr="00662906">
              <w:rPr>
                <w:rFonts w:cs="Arial"/>
                <w:sz w:val="16"/>
                <w:szCs w:val="16"/>
              </w:rPr>
              <w:t xml:space="preserve"> solutions</w:t>
            </w:r>
          </w:p>
        </w:tc>
        <w:tc>
          <w:tcPr>
            <w:tcW w:w="2063" w:type="dxa"/>
            <w:shd w:val="clear" w:color="auto" w:fill="FFFFFF"/>
          </w:tcPr>
          <w:p w14:paraId="5EE4B44F" w14:textId="7CDC9312" w:rsidR="003D7974"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Increase in local manufacturing facilities </w:t>
            </w:r>
            <w:r w:rsidR="000D3436" w:rsidRPr="00662906">
              <w:rPr>
                <w:rFonts w:eastAsia="Arial" w:cs="Arial"/>
                <w:color w:val="53575A"/>
                <w:sz w:val="16"/>
                <w:szCs w:val="16"/>
              </w:rPr>
              <w:t>of strategic decarbonization</w:t>
            </w:r>
            <w:r w:rsidR="00B33ED0" w:rsidRPr="00662906">
              <w:rPr>
                <w:rFonts w:eastAsia="Arial" w:cs="Arial"/>
                <w:color w:val="53575A"/>
                <w:sz w:val="16"/>
                <w:szCs w:val="16"/>
              </w:rPr>
              <w:t xml:space="preserve"> </w:t>
            </w:r>
            <w:r w:rsidR="000D3436" w:rsidRPr="00662906">
              <w:rPr>
                <w:rFonts w:eastAsia="Arial" w:cs="Arial"/>
                <w:color w:val="53575A"/>
                <w:sz w:val="16"/>
                <w:szCs w:val="16"/>
              </w:rPr>
              <w:t xml:space="preserve">industries </w:t>
            </w:r>
            <w:r w:rsidRPr="00662906">
              <w:rPr>
                <w:rFonts w:eastAsia="Arial" w:cs="Arial"/>
                <w:color w:val="53575A"/>
                <w:sz w:val="16"/>
                <w:szCs w:val="16"/>
              </w:rPr>
              <w:t>(</w:t>
            </w:r>
            <w:r w:rsidR="006117FD" w:rsidRPr="00662906">
              <w:rPr>
                <w:rFonts w:eastAsia="Arial" w:cs="Arial"/>
                <w:color w:val="53575A"/>
                <w:sz w:val="16"/>
                <w:szCs w:val="16"/>
              </w:rPr>
              <w:t>%</w:t>
            </w:r>
            <w:r w:rsidRPr="00662906">
              <w:rPr>
                <w:rFonts w:eastAsia="Arial" w:cs="Arial"/>
                <w:color w:val="53575A"/>
                <w:sz w:val="16"/>
                <w:szCs w:val="16"/>
              </w:rPr>
              <w:t>)</w:t>
            </w:r>
          </w:p>
        </w:tc>
      </w:tr>
      <w:tr w:rsidR="003D7974" w:rsidRPr="00662906" w14:paraId="4A002513" w14:textId="77777777" w:rsidTr="007E6C89">
        <w:trPr>
          <w:gridAfter w:val="1"/>
          <w:wAfter w:w="17" w:type="dxa"/>
          <w:trHeight w:val="300"/>
        </w:trPr>
        <w:tc>
          <w:tcPr>
            <w:tcW w:w="281" w:type="dxa"/>
            <w:shd w:val="clear" w:color="auto" w:fill="FFFFFF"/>
            <w:tcMar>
              <w:left w:w="57" w:type="dxa"/>
              <w:right w:w="57" w:type="dxa"/>
            </w:tcMar>
          </w:tcPr>
          <w:p w14:paraId="444FBC90" w14:textId="77777777" w:rsidR="003D7974" w:rsidRPr="00662906" w:rsidRDefault="003D7974"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4201B91A" w14:textId="6F86B68E"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Institute R&amp;D for value addition of strategic minerals and innovative clean energy technologies/fuels</w:t>
            </w:r>
          </w:p>
        </w:tc>
        <w:tc>
          <w:tcPr>
            <w:tcW w:w="3260" w:type="dxa"/>
            <w:gridSpan w:val="2"/>
            <w:tcBorders>
              <w:top w:val="single" w:sz="4" w:space="0" w:color="9F2241"/>
              <w:left w:val="nil"/>
              <w:bottom w:val="single" w:sz="4" w:space="0" w:color="9F2241"/>
              <w:right w:val="nil"/>
            </w:tcBorders>
            <w:tcMar>
              <w:left w:w="57" w:type="dxa"/>
              <w:right w:w="57" w:type="dxa"/>
            </w:tcMar>
          </w:tcPr>
          <w:p w14:paraId="4151107E" w14:textId="4AE9DA13" w:rsidR="003D7974" w:rsidRPr="00662906" w:rsidRDefault="003D7974" w:rsidP="007E6C89">
            <w:pPr>
              <w:pStyle w:val="ListParagraph"/>
              <w:numPr>
                <w:ilvl w:val="0"/>
                <w:numId w:val="116"/>
              </w:numPr>
              <w:spacing w:before="40" w:after="40"/>
              <w:ind w:left="367"/>
              <w:jc w:val="center"/>
              <w:rPr>
                <w:rFonts w:eastAsia="Arial" w:cs="Arial"/>
                <w:color w:val="394A58"/>
                <w:sz w:val="16"/>
                <w:szCs w:val="16"/>
              </w:rPr>
            </w:pPr>
            <w:r w:rsidRPr="00662906">
              <w:rPr>
                <w:rFonts w:eastAsia="Arial" w:cs="Arial"/>
                <w:color w:val="394A58"/>
                <w:sz w:val="16"/>
                <w:szCs w:val="16"/>
              </w:rPr>
              <w:t>Identify priority minerals (e.g., lithium, rare earth metals) and potential local refining/processing ventures</w:t>
            </w:r>
          </w:p>
          <w:p w14:paraId="5DF27DF9" w14:textId="6F1CEB69" w:rsidR="003D7974" w:rsidRPr="00662906" w:rsidRDefault="003D7974" w:rsidP="007E6C89">
            <w:pPr>
              <w:pStyle w:val="ListParagraph"/>
              <w:numPr>
                <w:ilvl w:val="0"/>
                <w:numId w:val="116"/>
              </w:numPr>
              <w:spacing w:before="40" w:after="40"/>
              <w:ind w:left="367"/>
              <w:jc w:val="center"/>
              <w:rPr>
                <w:rFonts w:eastAsia="Arial" w:cs="Arial"/>
                <w:color w:val="394A58"/>
                <w:sz w:val="16"/>
                <w:szCs w:val="16"/>
              </w:rPr>
            </w:pPr>
            <w:r w:rsidRPr="00662906">
              <w:rPr>
                <w:rFonts w:eastAsia="Arial" w:cs="Arial"/>
                <w:color w:val="394A58"/>
                <w:sz w:val="16"/>
                <w:szCs w:val="16"/>
              </w:rPr>
              <w:t>Fund collaborative R&amp;D between universities</w:t>
            </w:r>
            <w:r w:rsidR="00205534" w:rsidRPr="00662906">
              <w:rPr>
                <w:rFonts w:eastAsia="Arial" w:cs="Arial"/>
                <w:color w:val="394A58"/>
                <w:sz w:val="16"/>
                <w:szCs w:val="16"/>
              </w:rPr>
              <w:t>/research Institutes</w:t>
            </w:r>
            <w:r w:rsidRPr="00662906">
              <w:rPr>
                <w:rFonts w:eastAsia="Arial" w:cs="Arial"/>
                <w:color w:val="394A58"/>
                <w:sz w:val="16"/>
                <w:szCs w:val="16"/>
              </w:rPr>
              <w:t xml:space="preserve"> and private sector to </w:t>
            </w:r>
            <w:r w:rsidR="00205534" w:rsidRPr="00662906">
              <w:rPr>
                <w:rFonts w:eastAsia="Arial" w:cs="Arial"/>
                <w:color w:val="394A58"/>
                <w:sz w:val="16"/>
                <w:szCs w:val="16"/>
              </w:rPr>
              <w:t xml:space="preserve">create or </w:t>
            </w:r>
            <w:r w:rsidRPr="00662906">
              <w:rPr>
                <w:rFonts w:eastAsia="Arial" w:cs="Arial"/>
                <w:color w:val="394A58"/>
                <w:sz w:val="16"/>
                <w:szCs w:val="16"/>
              </w:rPr>
              <w:t>adapt clean energy technologies</w:t>
            </w:r>
          </w:p>
          <w:p w14:paraId="3AD7AF3F" w14:textId="00F939AD" w:rsidR="003D7974" w:rsidRPr="00662906" w:rsidRDefault="003D7974" w:rsidP="007E6C89">
            <w:pPr>
              <w:pStyle w:val="ListParagraph"/>
              <w:numPr>
                <w:ilvl w:val="0"/>
                <w:numId w:val="116"/>
              </w:numPr>
              <w:spacing w:before="40" w:after="40"/>
              <w:ind w:left="367"/>
              <w:jc w:val="center"/>
              <w:rPr>
                <w:rFonts w:eastAsia="Arial" w:cs="Arial"/>
                <w:color w:val="394A58"/>
                <w:sz w:val="16"/>
                <w:szCs w:val="16"/>
              </w:rPr>
            </w:pPr>
            <w:r w:rsidRPr="00662906">
              <w:rPr>
                <w:rFonts w:eastAsia="Arial" w:cs="Arial"/>
                <w:color w:val="394A58"/>
                <w:sz w:val="16"/>
                <w:szCs w:val="16"/>
              </w:rPr>
              <w:t>Host knowledge-exchange seminars on fue</w:t>
            </w:r>
            <w:r w:rsidR="00EC1B0B" w:rsidRPr="00662906">
              <w:rPr>
                <w:rFonts w:eastAsia="Arial" w:cs="Arial"/>
                <w:color w:val="394A58"/>
                <w:sz w:val="16"/>
                <w:szCs w:val="16"/>
              </w:rPr>
              <w:t xml:space="preserve">l, </w:t>
            </w:r>
            <w:r w:rsidRPr="00662906">
              <w:rPr>
                <w:rFonts w:eastAsia="Arial" w:cs="Arial"/>
                <w:color w:val="394A58"/>
                <w:sz w:val="16"/>
                <w:szCs w:val="16"/>
              </w:rPr>
              <w:t xml:space="preserve"> material </w:t>
            </w:r>
            <w:r w:rsidR="00EC1B0B" w:rsidRPr="00662906">
              <w:rPr>
                <w:rFonts w:eastAsia="Arial" w:cs="Arial"/>
                <w:color w:val="394A58"/>
                <w:sz w:val="16"/>
                <w:szCs w:val="16"/>
              </w:rPr>
              <w:t xml:space="preserve">and technology </w:t>
            </w:r>
            <w:r w:rsidRPr="00662906">
              <w:rPr>
                <w:rFonts w:eastAsia="Arial" w:cs="Arial"/>
                <w:color w:val="394A58"/>
                <w:sz w:val="16"/>
                <w:szCs w:val="16"/>
              </w:rPr>
              <w:t>innovations</w:t>
            </w:r>
          </w:p>
          <w:p w14:paraId="5937325F" w14:textId="2E803A1C" w:rsidR="003D7974" w:rsidRPr="00662906" w:rsidRDefault="003D7974" w:rsidP="007E6C89">
            <w:pPr>
              <w:pStyle w:val="ListParagraph"/>
              <w:numPr>
                <w:ilvl w:val="0"/>
                <w:numId w:val="116"/>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Launch calls for proposals for region-specific pilot project</w:t>
            </w:r>
            <w:r w:rsidR="00CC2684" w:rsidRPr="00662906">
              <w:rPr>
                <w:rFonts w:eastAsia="Arial" w:cs="Arial"/>
                <w:color w:val="394A58"/>
                <w:sz w:val="16"/>
                <w:szCs w:val="16"/>
              </w:rPr>
              <w:t>s</w:t>
            </w:r>
          </w:p>
        </w:tc>
        <w:tc>
          <w:tcPr>
            <w:tcW w:w="1276" w:type="dxa"/>
            <w:gridSpan w:val="2"/>
            <w:shd w:val="clear" w:color="auto" w:fill="FFFFFF"/>
            <w:tcMar>
              <w:left w:w="57" w:type="dxa"/>
              <w:right w:w="57" w:type="dxa"/>
            </w:tcMar>
          </w:tcPr>
          <w:p w14:paraId="3594466C" w14:textId="1F1BF45B" w:rsidR="003D7974" w:rsidRPr="00662906" w:rsidRDefault="003D7974" w:rsidP="007E6C89">
            <w:pPr>
              <w:spacing w:before="40" w:after="40"/>
              <w:jc w:val="center"/>
              <w:rPr>
                <w:rFonts w:eastAsia="Arial" w:cs="Arial"/>
                <w:color w:val="53575A"/>
                <w:sz w:val="16"/>
                <w:szCs w:val="16"/>
              </w:rPr>
            </w:pPr>
            <w:r w:rsidRPr="00662906">
              <w:rPr>
                <w:rFonts w:cs="Arial"/>
                <w:sz w:val="16"/>
                <w:szCs w:val="16"/>
              </w:rPr>
              <w:lastRenderedPageBreak/>
              <w:t>Regional</w:t>
            </w:r>
          </w:p>
        </w:tc>
        <w:tc>
          <w:tcPr>
            <w:tcW w:w="1070" w:type="dxa"/>
            <w:gridSpan w:val="2"/>
            <w:shd w:val="clear" w:color="auto" w:fill="FFFFFF"/>
            <w:tcMar>
              <w:left w:w="57" w:type="dxa"/>
              <w:right w:w="57" w:type="dxa"/>
            </w:tcMar>
          </w:tcPr>
          <w:p w14:paraId="145E63E5" w14:textId="0E7A033B"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RCREEEs</w:t>
            </w:r>
          </w:p>
        </w:tc>
        <w:tc>
          <w:tcPr>
            <w:tcW w:w="1198" w:type="dxa"/>
            <w:gridSpan w:val="2"/>
            <w:shd w:val="clear" w:color="auto" w:fill="FFFFFF"/>
            <w:tcMar>
              <w:left w:w="57" w:type="dxa"/>
              <w:right w:w="57" w:type="dxa"/>
            </w:tcMar>
          </w:tcPr>
          <w:p w14:paraId="042B06B0" w14:textId="79DA9C70"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REC Divisions in charge of Science/Technology, Ministries in charge of Energy/Industry, Research Institutions</w:t>
            </w:r>
          </w:p>
        </w:tc>
        <w:tc>
          <w:tcPr>
            <w:tcW w:w="851" w:type="dxa"/>
            <w:gridSpan w:val="2"/>
            <w:shd w:val="clear" w:color="auto" w:fill="FFFFFF"/>
            <w:tcMar>
              <w:left w:w="57" w:type="dxa"/>
              <w:right w:w="57" w:type="dxa"/>
            </w:tcMar>
          </w:tcPr>
          <w:p w14:paraId="01AC2DC9" w14:textId="52B062C2"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gridSpan w:val="2"/>
            <w:shd w:val="clear" w:color="auto" w:fill="FFFFFF"/>
          </w:tcPr>
          <w:p w14:paraId="13E755BB" w14:textId="717C6751"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R&amp;D project grants</w:t>
            </w:r>
          </w:p>
          <w:p w14:paraId="2CD0A221" w14:textId="0B8F3FE0"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Feasibility studies on </w:t>
            </w:r>
            <w:r w:rsidR="00EC1B0B" w:rsidRPr="00662906">
              <w:rPr>
                <w:rFonts w:eastAsia="Arial" w:cs="Arial"/>
                <w:color w:val="53575A"/>
                <w:sz w:val="16"/>
                <w:szCs w:val="16"/>
              </w:rPr>
              <w:t>fuel/</w:t>
            </w:r>
            <w:r w:rsidRPr="00662906">
              <w:rPr>
                <w:rFonts w:eastAsia="Arial" w:cs="Arial"/>
                <w:color w:val="53575A"/>
                <w:sz w:val="16"/>
                <w:szCs w:val="16"/>
              </w:rPr>
              <w:t>mineral refining</w:t>
            </w:r>
          </w:p>
          <w:p w14:paraId="73E9548C" w14:textId="10A7D557"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Technology demonstration report</w:t>
            </w:r>
            <w:r w:rsidR="00BE6105" w:rsidRPr="00662906">
              <w:rPr>
                <w:rFonts w:eastAsia="Arial" w:cs="Arial"/>
                <w:color w:val="53575A"/>
                <w:sz w:val="16"/>
                <w:szCs w:val="16"/>
              </w:rPr>
              <w:t>s</w:t>
            </w:r>
          </w:p>
        </w:tc>
        <w:tc>
          <w:tcPr>
            <w:tcW w:w="1481" w:type="dxa"/>
            <w:gridSpan w:val="2"/>
            <w:shd w:val="clear" w:color="auto" w:fill="FFFFFF"/>
          </w:tcPr>
          <w:p w14:paraId="595D69DB" w14:textId="4AC9528B"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 xml:space="preserve">Increased domestic value addition to strategic minerals and adoption of </w:t>
            </w:r>
            <w:r w:rsidR="005A71B4" w:rsidRPr="00662906">
              <w:rPr>
                <w:rFonts w:cs="Arial"/>
                <w:sz w:val="16"/>
                <w:szCs w:val="16"/>
              </w:rPr>
              <w:t>locally tailored</w:t>
            </w:r>
            <w:r w:rsidRPr="00662906">
              <w:rPr>
                <w:rFonts w:cs="Arial"/>
                <w:sz w:val="16"/>
                <w:szCs w:val="16"/>
              </w:rPr>
              <w:t xml:space="preserve"> clean energy technologies, </w:t>
            </w:r>
            <w:r w:rsidR="00AE7D1F" w:rsidRPr="00662906">
              <w:rPr>
                <w:rFonts w:cs="Arial"/>
                <w:sz w:val="16"/>
                <w:szCs w:val="16"/>
              </w:rPr>
              <w:t>fuelling</w:t>
            </w:r>
            <w:r w:rsidRPr="00662906">
              <w:rPr>
                <w:rFonts w:cs="Arial"/>
                <w:sz w:val="16"/>
                <w:szCs w:val="16"/>
              </w:rPr>
              <w:t xml:space="preserve"> broader </w:t>
            </w:r>
            <w:r w:rsidRPr="00662906">
              <w:rPr>
                <w:rFonts w:cs="Arial"/>
                <w:sz w:val="16"/>
                <w:szCs w:val="16"/>
              </w:rPr>
              <w:lastRenderedPageBreak/>
              <w:t>industrial competitiveness</w:t>
            </w:r>
          </w:p>
        </w:tc>
        <w:tc>
          <w:tcPr>
            <w:tcW w:w="2063" w:type="dxa"/>
            <w:shd w:val="clear" w:color="auto" w:fill="FFFFFF"/>
          </w:tcPr>
          <w:p w14:paraId="4E6FC5F8" w14:textId="32093D76" w:rsidR="00EC1B0B" w:rsidRPr="00662906" w:rsidRDefault="00EC1B0B"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Findings of </w:t>
            </w:r>
            <w:r w:rsidR="00397353" w:rsidRPr="00662906">
              <w:rPr>
                <w:rFonts w:eastAsia="Arial" w:cs="Arial"/>
                <w:color w:val="53575A"/>
                <w:sz w:val="16"/>
                <w:szCs w:val="16"/>
              </w:rPr>
              <w:t xml:space="preserve">R&amp;D </w:t>
            </w:r>
            <w:r w:rsidRPr="00662906">
              <w:rPr>
                <w:rFonts w:eastAsia="Arial" w:cs="Arial"/>
                <w:color w:val="53575A"/>
                <w:sz w:val="16"/>
                <w:szCs w:val="16"/>
              </w:rPr>
              <w:t>solutions that can be adopted for implementation in Africa</w:t>
            </w:r>
            <w:r w:rsidR="001B33A1" w:rsidRPr="00662906">
              <w:rPr>
                <w:rFonts w:eastAsia="Arial" w:cs="Arial"/>
                <w:color w:val="53575A"/>
                <w:sz w:val="16"/>
                <w:szCs w:val="16"/>
              </w:rPr>
              <w:t xml:space="preserve"> published (Yes/No) </w:t>
            </w:r>
            <w:r w:rsidRPr="00662906">
              <w:rPr>
                <w:rFonts w:eastAsia="Arial" w:cs="Arial"/>
                <w:color w:val="53575A"/>
                <w:sz w:val="16"/>
                <w:szCs w:val="16"/>
              </w:rPr>
              <w:t>.</w:t>
            </w:r>
          </w:p>
          <w:p w14:paraId="15CAC7FA" w14:textId="12FEE789" w:rsidR="00397353"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Feasibility studies completed (Yes/No)</w:t>
            </w:r>
          </w:p>
          <w:p w14:paraId="75188DAD" w14:textId="58052844" w:rsidR="003D7974"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projects launched (Yes/No)</w:t>
            </w:r>
          </w:p>
        </w:tc>
      </w:tr>
      <w:tr w:rsidR="003D7974" w:rsidRPr="00662906" w14:paraId="563A0A26" w14:textId="77777777" w:rsidTr="007E6C89">
        <w:trPr>
          <w:gridAfter w:val="1"/>
          <w:wAfter w:w="17" w:type="dxa"/>
          <w:trHeight w:val="2546"/>
        </w:trPr>
        <w:tc>
          <w:tcPr>
            <w:tcW w:w="281" w:type="dxa"/>
            <w:shd w:val="clear" w:color="auto" w:fill="FFFFFF"/>
            <w:tcMar>
              <w:left w:w="57" w:type="dxa"/>
              <w:right w:w="57" w:type="dxa"/>
            </w:tcMar>
          </w:tcPr>
          <w:p w14:paraId="029B343B" w14:textId="77777777" w:rsidR="003D7974" w:rsidRPr="00662906" w:rsidRDefault="003D7974"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172F653F" w14:textId="1E164FFD"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Expand industries without smokestacks through green technology adoption (e.g., ICT, digital services, agro-processing)</w:t>
            </w:r>
          </w:p>
        </w:tc>
        <w:tc>
          <w:tcPr>
            <w:tcW w:w="3260" w:type="dxa"/>
            <w:gridSpan w:val="2"/>
            <w:tcBorders>
              <w:top w:val="single" w:sz="4" w:space="0" w:color="9F2241"/>
              <w:left w:val="nil"/>
              <w:bottom w:val="single" w:sz="4" w:space="0" w:color="9F2241"/>
              <w:right w:val="nil"/>
            </w:tcBorders>
            <w:tcMar>
              <w:left w:w="57" w:type="dxa"/>
              <w:right w:w="57" w:type="dxa"/>
            </w:tcMar>
          </w:tcPr>
          <w:p w14:paraId="1F824FF9" w14:textId="2CE40AC8" w:rsidR="003D7974" w:rsidRPr="00662906" w:rsidRDefault="003D7974" w:rsidP="007E6C89">
            <w:pPr>
              <w:pStyle w:val="ListParagraph"/>
              <w:numPr>
                <w:ilvl w:val="0"/>
                <w:numId w:val="117"/>
              </w:numPr>
              <w:spacing w:before="40" w:after="40"/>
              <w:ind w:left="367"/>
              <w:jc w:val="center"/>
              <w:rPr>
                <w:rFonts w:eastAsia="Arial" w:cs="Arial"/>
                <w:color w:val="394A58"/>
                <w:sz w:val="16"/>
                <w:szCs w:val="16"/>
              </w:rPr>
            </w:pPr>
            <w:r w:rsidRPr="00662906">
              <w:rPr>
                <w:rFonts w:eastAsia="Arial" w:cs="Arial"/>
                <w:color w:val="394A58"/>
                <w:sz w:val="16"/>
                <w:szCs w:val="16"/>
              </w:rPr>
              <w:t>Map energy needs and efficiency opportunities in service-based and agro-processing industries</w:t>
            </w:r>
          </w:p>
          <w:p w14:paraId="6542D008" w14:textId="50A87DFE" w:rsidR="003D7974" w:rsidRPr="00662906" w:rsidRDefault="003D7974" w:rsidP="007E6C89">
            <w:pPr>
              <w:pStyle w:val="ListParagraph"/>
              <w:numPr>
                <w:ilvl w:val="0"/>
                <w:numId w:val="117"/>
              </w:numPr>
              <w:spacing w:before="40" w:after="40"/>
              <w:ind w:left="367"/>
              <w:jc w:val="center"/>
              <w:rPr>
                <w:rFonts w:eastAsia="Arial" w:cs="Arial"/>
                <w:color w:val="394A58"/>
                <w:sz w:val="16"/>
                <w:szCs w:val="16"/>
              </w:rPr>
            </w:pPr>
            <w:r w:rsidRPr="00662906">
              <w:rPr>
                <w:rFonts w:eastAsia="Arial" w:cs="Arial"/>
                <w:color w:val="394A58"/>
                <w:sz w:val="16"/>
                <w:szCs w:val="16"/>
              </w:rPr>
              <w:t xml:space="preserve">Offer targeted incentives (low-interest loans, tax breaks) for green data </w:t>
            </w:r>
            <w:r w:rsidR="00AE7D1F" w:rsidRPr="00662906">
              <w:rPr>
                <w:rFonts w:eastAsia="Arial" w:cs="Arial"/>
                <w:color w:val="394A58"/>
                <w:sz w:val="16"/>
                <w:szCs w:val="16"/>
              </w:rPr>
              <w:t>centres</w:t>
            </w:r>
            <w:r w:rsidRPr="00662906">
              <w:rPr>
                <w:rFonts w:eastAsia="Arial" w:cs="Arial"/>
                <w:color w:val="394A58"/>
                <w:sz w:val="16"/>
                <w:szCs w:val="16"/>
              </w:rPr>
              <w:t xml:space="preserve"> or sustainable agro-processing facilities</w:t>
            </w:r>
          </w:p>
          <w:p w14:paraId="34B20FC1" w14:textId="09FE8280" w:rsidR="003D7974" w:rsidRPr="00662906" w:rsidRDefault="003D7974" w:rsidP="007E6C89">
            <w:pPr>
              <w:pStyle w:val="ListParagraph"/>
              <w:numPr>
                <w:ilvl w:val="0"/>
                <w:numId w:val="117"/>
              </w:numPr>
              <w:spacing w:before="40" w:after="40"/>
              <w:ind w:left="367"/>
              <w:jc w:val="center"/>
              <w:rPr>
                <w:rFonts w:eastAsia="Arial" w:cs="Arial"/>
                <w:color w:val="394A58"/>
                <w:sz w:val="16"/>
                <w:szCs w:val="16"/>
              </w:rPr>
            </w:pPr>
            <w:r w:rsidRPr="00662906">
              <w:rPr>
                <w:rFonts w:eastAsia="Arial" w:cs="Arial"/>
                <w:color w:val="394A58"/>
                <w:sz w:val="16"/>
                <w:szCs w:val="16"/>
              </w:rPr>
              <w:t>Develop training modules for digital service providers on energy management best practices</w:t>
            </w:r>
          </w:p>
        </w:tc>
        <w:tc>
          <w:tcPr>
            <w:tcW w:w="1276" w:type="dxa"/>
            <w:gridSpan w:val="2"/>
            <w:shd w:val="clear" w:color="auto" w:fill="FFFFFF"/>
            <w:tcMar>
              <w:left w:w="57" w:type="dxa"/>
              <w:right w:w="57" w:type="dxa"/>
            </w:tcMar>
          </w:tcPr>
          <w:p w14:paraId="2E133608" w14:textId="53C97FDF"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National</w:t>
            </w:r>
          </w:p>
        </w:tc>
        <w:tc>
          <w:tcPr>
            <w:tcW w:w="1070" w:type="dxa"/>
            <w:gridSpan w:val="2"/>
            <w:shd w:val="clear" w:color="auto" w:fill="FFFFFF"/>
            <w:tcMar>
              <w:left w:w="57" w:type="dxa"/>
              <w:right w:w="57" w:type="dxa"/>
            </w:tcMar>
          </w:tcPr>
          <w:p w14:paraId="320C9F5B" w14:textId="743B6E37"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Ministries in charge of Industry</w:t>
            </w:r>
          </w:p>
        </w:tc>
        <w:tc>
          <w:tcPr>
            <w:tcW w:w="1198" w:type="dxa"/>
            <w:gridSpan w:val="2"/>
            <w:shd w:val="clear" w:color="auto" w:fill="FFFFFF"/>
            <w:tcMar>
              <w:left w:w="57" w:type="dxa"/>
              <w:right w:w="57" w:type="dxa"/>
            </w:tcMar>
          </w:tcPr>
          <w:p w14:paraId="294A46B8" w14:textId="197DEF7D"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Ministries in charge of ICT, Agriculture, Development Banks</w:t>
            </w:r>
            <w:r w:rsidR="00EC1B0B" w:rsidRPr="00662906">
              <w:rPr>
                <w:rFonts w:cs="Arial"/>
                <w:sz w:val="16"/>
                <w:szCs w:val="16"/>
              </w:rPr>
              <w:t xml:space="preserve"> &amp; Partners</w:t>
            </w:r>
            <w:r w:rsidRPr="00662906">
              <w:rPr>
                <w:rFonts w:cs="Arial"/>
                <w:sz w:val="16"/>
                <w:szCs w:val="16"/>
              </w:rPr>
              <w:t>, Private Sector,</w:t>
            </w:r>
            <w:r w:rsidR="00FA7109" w:rsidRPr="00662906">
              <w:rPr>
                <w:rFonts w:cs="Arial"/>
                <w:sz w:val="16"/>
                <w:szCs w:val="16"/>
              </w:rPr>
              <w:t xml:space="preserve"> Non-Governmental Organisations</w:t>
            </w:r>
            <w:r w:rsidRPr="00662906">
              <w:rPr>
                <w:rFonts w:cs="Arial"/>
                <w:sz w:val="16"/>
                <w:szCs w:val="16"/>
              </w:rPr>
              <w:t xml:space="preserve"> </w:t>
            </w:r>
            <w:r w:rsidR="00FA7109" w:rsidRPr="00662906">
              <w:rPr>
                <w:rFonts w:cs="Arial"/>
                <w:sz w:val="16"/>
                <w:szCs w:val="16"/>
              </w:rPr>
              <w:t>(</w:t>
            </w:r>
            <w:r w:rsidRPr="00662906">
              <w:rPr>
                <w:rFonts w:cs="Arial"/>
                <w:sz w:val="16"/>
                <w:szCs w:val="16"/>
              </w:rPr>
              <w:t>NGOs</w:t>
            </w:r>
            <w:r w:rsidR="00FA7109" w:rsidRPr="00662906">
              <w:rPr>
                <w:rFonts w:cs="Arial"/>
                <w:sz w:val="16"/>
                <w:szCs w:val="16"/>
              </w:rPr>
              <w:t>)</w:t>
            </w:r>
          </w:p>
        </w:tc>
        <w:tc>
          <w:tcPr>
            <w:tcW w:w="851" w:type="dxa"/>
            <w:gridSpan w:val="2"/>
            <w:shd w:val="clear" w:color="auto" w:fill="FFFFFF"/>
            <w:tcMar>
              <w:left w:w="57" w:type="dxa"/>
              <w:right w:w="57" w:type="dxa"/>
            </w:tcMar>
          </w:tcPr>
          <w:p w14:paraId="2187C076" w14:textId="4F2C31D2"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gridSpan w:val="2"/>
            <w:shd w:val="clear" w:color="auto" w:fill="FFFFFF"/>
          </w:tcPr>
          <w:p w14:paraId="46E161F2" w14:textId="5B1574BD"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Sector-specific energy audits</w:t>
            </w:r>
          </w:p>
          <w:p w14:paraId="4F774AF1" w14:textId="21408D41"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Incentive packages for smokestack-free industries</w:t>
            </w:r>
          </w:p>
          <w:p w14:paraId="10949221" w14:textId="2E55207F"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curricula on sustainable operations</w:t>
            </w:r>
          </w:p>
        </w:tc>
        <w:tc>
          <w:tcPr>
            <w:tcW w:w="1481" w:type="dxa"/>
            <w:gridSpan w:val="2"/>
            <w:shd w:val="clear" w:color="auto" w:fill="FFFFFF"/>
          </w:tcPr>
          <w:p w14:paraId="2EB6AD4B" w14:textId="544BA8A1" w:rsidR="003D7974" w:rsidRPr="00662906" w:rsidRDefault="003D7974" w:rsidP="007E6C89">
            <w:pPr>
              <w:spacing w:before="40" w:after="40"/>
              <w:jc w:val="center"/>
              <w:rPr>
                <w:rFonts w:eastAsia="Arial" w:cs="Arial"/>
                <w:color w:val="53575A"/>
                <w:sz w:val="16"/>
                <w:szCs w:val="16"/>
              </w:rPr>
            </w:pPr>
            <w:r w:rsidRPr="00662906">
              <w:rPr>
                <w:rFonts w:cs="Arial"/>
                <w:sz w:val="16"/>
                <w:szCs w:val="16"/>
              </w:rPr>
              <w:t>Greater economic diversification and job creation in low-emission service sectors, while driving energy efficiency and resource optimization in emerging industries</w:t>
            </w:r>
          </w:p>
        </w:tc>
        <w:tc>
          <w:tcPr>
            <w:tcW w:w="2063" w:type="dxa"/>
            <w:shd w:val="clear" w:color="auto" w:fill="FFFFFF"/>
          </w:tcPr>
          <w:p w14:paraId="070B0933" w14:textId="677A3E8E" w:rsidR="00397353" w:rsidRPr="00662906" w:rsidRDefault="00EC1B0B"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Findings of energy efficient applications, investment potential and required incentives in industries without smokestacks </w:t>
            </w:r>
            <w:r w:rsidR="00BC0DB9" w:rsidRPr="00662906">
              <w:rPr>
                <w:rFonts w:eastAsia="Arial" w:cs="Arial"/>
                <w:color w:val="53575A"/>
                <w:sz w:val="16"/>
                <w:szCs w:val="16"/>
              </w:rPr>
              <w:t xml:space="preserve">published </w:t>
            </w:r>
            <w:r w:rsidR="00397353" w:rsidRPr="00662906">
              <w:rPr>
                <w:rFonts w:eastAsia="Arial" w:cs="Arial"/>
                <w:color w:val="53575A"/>
                <w:sz w:val="16"/>
                <w:szCs w:val="16"/>
              </w:rPr>
              <w:t>(Yes/No)</w:t>
            </w:r>
          </w:p>
          <w:p w14:paraId="4D6CB115" w14:textId="71703676" w:rsidR="00397353"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Incentives for green service industries introduced (Yes/No)</w:t>
            </w:r>
          </w:p>
          <w:p w14:paraId="4C438B0B" w14:textId="78E65310" w:rsidR="003D7974"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businesses trained or adopting EE measures</w:t>
            </w:r>
          </w:p>
        </w:tc>
      </w:tr>
      <w:tr w:rsidR="003D7974" w:rsidRPr="00662906" w14:paraId="3FDF04E0" w14:textId="4430A962" w:rsidTr="007E6C89">
        <w:trPr>
          <w:gridAfter w:val="1"/>
          <w:wAfter w:w="17" w:type="dxa"/>
          <w:trHeight w:val="300"/>
        </w:trPr>
        <w:tc>
          <w:tcPr>
            <w:tcW w:w="281" w:type="dxa"/>
            <w:shd w:val="clear" w:color="auto" w:fill="FFFFFF"/>
            <w:tcMar>
              <w:left w:w="57" w:type="dxa"/>
              <w:right w:w="57" w:type="dxa"/>
            </w:tcMar>
          </w:tcPr>
          <w:p w14:paraId="02B4C241" w14:textId="30EFE543" w:rsidR="003D7974" w:rsidRPr="00662906" w:rsidRDefault="003D7974" w:rsidP="007E6C89">
            <w:pPr>
              <w:spacing w:before="40" w:after="40"/>
              <w:jc w:val="center"/>
              <w:rPr>
                <w:rFonts w:eastAsia="Arial" w:cs="Arial"/>
                <w:color w:val="53575A"/>
                <w:sz w:val="16"/>
                <w:szCs w:val="16"/>
              </w:rPr>
            </w:pPr>
            <w:r w:rsidRPr="00662906">
              <w:rPr>
                <w:rFonts w:eastAsia="Arial" w:cs="Arial"/>
                <w:color w:val="53575A"/>
                <w:sz w:val="16"/>
                <w:szCs w:val="16"/>
              </w:rPr>
              <w:t>9</w:t>
            </w:r>
          </w:p>
        </w:tc>
        <w:tc>
          <w:tcPr>
            <w:tcW w:w="1248" w:type="dxa"/>
            <w:shd w:val="clear" w:color="auto" w:fill="FFFFFF"/>
            <w:tcMar>
              <w:left w:w="57" w:type="dxa"/>
              <w:right w:w="57" w:type="dxa"/>
            </w:tcMar>
          </w:tcPr>
          <w:p w14:paraId="6B8CE132" w14:textId="0A88670D" w:rsidR="003D7974" w:rsidRPr="00662906" w:rsidRDefault="003D7974" w:rsidP="007E6C89">
            <w:pPr>
              <w:spacing w:before="40" w:after="40"/>
              <w:jc w:val="center"/>
              <w:rPr>
                <w:rFonts w:cs="Arial"/>
                <w:sz w:val="16"/>
                <w:szCs w:val="16"/>
              </w:rPr>
            </w:pPr>
            <w:r w:rsidRPr="00662906">
              <w:rPr>
                <w:rFonts w:cs="Arial"/>
                <w:sz w:val="16"/>
                <w:szCs w:val="16"/>
              </w:rPr>
              <w:t xml:space="preserve">Facilitate green data </w:t>
            </w:r>
            <w:r w:rsidR="00AE7D1F" w:rsidRPr="00662906">
              <w:rPr>
                <w:rFonts w:cs="Arial"/>
                <w:sz w:val="16"/>
                <w:szCs w:val="16"/>
              </w:rPr>
              <w:t>centres</w:t>
            </w:r>
            <w:r w:rsidRPr="00662906">
              <w:rPr>
                <w:rFonts w:cs="Arial"/>
                <w:sz w:val="16"/>
                <w:szCs w:val="16"/>
              </w:rPr>
              <w:t xml:space="preserve"> and digital infrastructure for regional connectivity</w:t>
            </w:r>
          </w:p>
        </w:tc>
        <w:tc>
          <w:tcPr>
            <w:tcW w:w="3260" w:type="dxa"/>
            <w:gridSpan w:val="2"/>
            <w:tcBorders>
              <w:top w:val="single" w:sz="4" w:space="0" w:color="9F2241"/>
              <w:left w:val="nil"/>
              <w:bottom w:val="single" w:sz="4" w:space="0" w:color="9F2241"/>
              <w:right w:val="nil"/>
            </w:tcBorders>
            <w:tcMar>
              <w:left w:w="57" w:type="dxa"/>
              <w:right w:w="57" w:type="dxa"/>
            </w:tcMar>
          </w:tcPr>
          <w:p w14:paraId="030BDC02" w14:textId="6E00A544" w:rsidR="003D7974" w:rsidRPr="00662906" w:rsidRDefault="003D7974" w:rsidP="007E6C89">
            <w:pPr>
              <w:pStyle w:val="ListParagraph"/>
              <w:numPr>
                <w:ilvl w:val="0"/>
                <w:numId w:val="118"/>
              </w:numPr>
              <w:spacing w:before="40" w:after="40"/>
              <w:ind w:left="367"/>
              <w:jc w:val="center"/>
              <w:rPr>
                <w:rFonts w:eastAsia="Arial" w:cs="Arial"/>
                <w:color w:val="394A58"/>
                <w:sz w:val="16"/>
                <w:szCs w:val="16"/>
              </w:rPr>
            </w:pPr>
            <w:r w:rsidRPr="00662906">
              <w:rPr>
                <w:rFonts w:eastAsia="Arial" w:cs="Arial"/>
                <w:color w:val="394A58"/>
                <w:sz w:val="16"/>
                <w:szCs w:val="16"/>
              </w:rPr>
              <w:t xml:space="preserve">Identify potential sites for renewable-powered data </w:t>
            </w:r>
            <w:r w:rsidR="00AE7D1F" w:rsidRPr="00662906">
              <w:rPr>
                <w:rFonts w:eastAsia="Arial" w:cs="Arial"/>
                <w:color w:val="394A58"/>
                <w:sz w:val="16"/>
                <w:szCs w:val="16"/>
              </w:rPr>
              <w:t>centres</w:t>
            </w:r>
          </w:p>
          <w:p w14:paraId="7903F843" w14:textId="721F9CA9" w:rsidR="003D7974" w:rsidRPr="00662906" w:rsidRDefault="003D7974" w:rsidP="007E6C89">
            <w:pPr>
              <w:pStyle w:val="ListParagraph"/>
              <w:numPr>
                <w:ilvl w:val="0"/>
                <w:numId w:val="118"/>
              </w:numPr>
              <w:spacing w:before="40" w:after="40"/>
              <w:ind w:left="367"/>
              <w:jc w:val="center"/>
              <w:rPr>
                <w:rFonts w:eastAsia="Arial" w:cs="Arial"/>
                <w:color w:val="394A58"/>
                <w:sz w:val="16"/>
                <w:szCs w:val="16"/>
              </w:rPr>
            </w:pPr>
            <w:r w:rsidRPr="00662906">
              <w:rPr>
                <w:rFonts w:eastAsia="Arial" w:cs="Arial"/>
                <w:color w:val="394A58"/>
                <w:sz w:val="16"/>
                <w:szCs w:val="16"/>
              </w:rPr>
              <w:t>Collaborate with telecoms and cloud service providers to establish energy-efficient server infrastructure</w:t>
            </w:r>
          </w:p>
          <w:p w14:paraId="16A8341B" w14:textId="555F666D" w:rsidR="003D7974" w:rsidRPr="00662906" w:rsidRDefault="003D7974" w:rsidP="007E6C89">
            <w:pPr>
              <w:pStyle w:val="ListParagraph"/>
              <w:numPr>
                <w:ilvl w:val="0"/>
                <w:numId w:val="118"/>
              </w:numPr>
              <w:spacing w:before="40" w:after="40"/>
              <w:ind w:left="367"/>
              <w:jc w:val="center"/>
              <w:rPr>
                <w:rFonts w:eastAsia="Arial" w:cs="Arial"/>
                <w:color w:val="394A58"/>
                <w:sz w:val="16"/>
                <w:szCs w:val="16"/>
              </w:rPr>
            </w:pPr>
            <w:r w:rsidRPr="00662906">
              <w:rPr>
                <w:rFonts w:eastAsia="Arial" w:cs="Arial"/>
                <w:color w:val="394A58"/>
                <w:sz w:val="16"/>
                <w:szCs w:val="16"/>
              </w:rPr>
              <w:t xml:space="preserve">Launch pilot green data </w:t>
            </w:r>
            <w:r w:rsidR="00AE7D1F" w:rsidRPr="00662906">
              <w:rPr>
                <w:rFonts w:eastAsia="Arial" w:cs="Arial"/>
                <w:color w:val="394A58"/>
                <w:sz w:val="16"/>
                <w:szCs w:val="16"/>
              </w:rPr>
              <w:t>centre</w:t>
            </w:r>
            <w:r w:rsidRPr="00662906">
              <w:rPr>
                <w:rFonts w:eastAsia="Arial" w:cs="Arial"/>
                <w:color w:val="394A58"/>
                <w:sz w:val="16"/>
                <w:szCs w:val="16"/>
              </w:rPr>
              <w:t xml:space="preserve"> projects to demonstrate cost and performance benefits</w:t>
            </w:r>
          </w:p>
        </w:tc>
        <w:tc>
          <w:tcPr>
            <w:tcW w:w="1276" w:type="dxa"/>
            <w:gridSpan w:val="2"/>
            <w:shd w:val="clear" w:color="auto" w:fill="FFFFFF"/>
            <w:tcMar>
              <w:left w:w="57" w:type="dxa"/>
              <w:right w:w="57" w:type="dxa"/>
            </w:tcMar>
          </w:tcPr>
          <w:p w14:paraId="4DE39A71" w14:textId="4CC19D1A" w:rsidR="003D7974" w:rsidRPr="00662906" w:rsidRDefault="003D7974" w:rsidP="007E6C89">
            <w:pPr>
              <w:spacing w:before="40" w:after="40"/>
              <w:jc w:val="center"/>
              <w:rPr>
                <w:rFonts w:cs="Arial"/>
                <w:sz w:val="16"/>
                <w:szCs w:val="16"/>
              </w:rPr>
            </w:pPr>
            <w:r w:rsidRPr="00662906">
              <w:rPr>
                <w:rFonts w:cs="Arial"/>
                <w:sz w:val="16"/>
                <w:szCs w:val="16"/>
              </w:rPr>
              <w:t>Regional</w:t>
            </w:r>
          </w:p>
        </w:tc>
        <w:tc>
          <w:tcPr>
            <w:tcW w:w="1070" w:type="dxa"/>
            <w:gridSpan w:val="2"/>
            <w:shd w:val="clear" w:color="auto" w:fill="FFFFFF"/>
            <w:tcMar>
              <w:left w:w="57" w:type="dxa"/>
              <w:right w:w="57" w:type="dxa"/>
            </w:tcMar>
          </w:tcPr>
          <w:p w14:paraId="2FA8C874" w14:textId="3AB4C942" w:rsidR="003D7974" w:rsidRPr="00662906" w:rsidRDefault="003D7974" w:rsidP="007E6C89">
            <w:pPr>
              <w:spacing w:before="40" w:after="40"/>
              <w:jc w:val="center"/>
              <w:rPr>
                <w:rFonts w:cs="Arial"/>
                <w:sz w:val="16"/>
                <w:szCs w:val="16"/>
              </w:rPr>
            </w:pPr>
            <w:r w:rsidRPr="00662906">
              <w:rPr>
                <w:rFonts w:cs="Arial"/>
                <w:sz w:val="16"/>
                <w:szCs w:val="16"/>
              </w:rPr>
              <w:t>Regional ICT/Industry Coordinating Bodies</w:t>
            </w:r>
          </w:p>
        </w:tc>
        <w:tc>
          <w:tcPr>
            <w:tcW w:w="1198" w:type="dxa"/>
            <w:gridSpan w:val="2"/>
            <w:shd w:val="clear" w:color="auto" w:fill="FFFFFF"/>
            <w:tcMar>
              <w:left w:w="57" w:type="dxa"/>
              <w:right w:w="57" w:type="dxa"/>
            </w:tcMar>
          </w:tcPr>
          <w:p w14:paraId="791ED717" w14:textId="4499C883" w:rsidR="003D7974" w:rsidRPr="00662906" w:rsidRDefault="003D7974" w:rsidP="007E6C89">
            <w:pPr>
              <w:spacing w:before="40" w:after="40"/>
              <w:jc w:val="center"/>
              <w:rPr>
                <w:rFonts w:cs="Arial"/>
                <w:sz w:val="16"/>
                <w:szCs w:val="16"/>
              </w:rPr>
            </w:pPr>
            <w:r w:rsidRPr="00662906">
              <w:rPr>
                <w:rFonts w:cs="Arial"/>
                <w:sz w:val="16"/>
                <w:szCs w:val="16"/>
              </w:rPr>
              <w:t>Ministries in charge of Energy, Telecoms, Cloud Service Providers</w:t>
            </w:r>
          </w:p>
        </w:tc>
        <w:tc>
          <w:tcPr>
            <w:tcW w:w="851" w:type="dxa"/>
            <w:gridSpan w:val="2"/>
            <w:shd w:val="clear" w:color="auto" w:fill="FFFFFF"/>
            <w:tcMar>
              <w:left w:w="57" w:type="dxa"/>
              <w:right w:w="57" w:type="dxa"/>
            </w:tcMar>
          </w:tcPr>
          <w:p w14:paraId="2F2E7C1A" w14:textId="5AAE13C4" w:rsidR="003D7974" w:rsidRPr="00662906" w:rsidRDefault="003D7974" w:rsidP="007E6C89">
            <w:pPr>
              <w:spacing w:before="40" w:after="40"/>
              <w:jc w:val="center"/>
              <w:rPr>
                <w:rFonts w:cs="Arial"/>
                <w:sz w:val="16"/>
                <w:szCs w:val="16"/>
              </w:rPr>
            </w:pPr>
            <w:r w:rsidRPr="00662906">
              <w:rPr>
                <w:rFonts w:cs="Arial"/>
                <w:sz w:val="16"/>
                <w:szCs w:val="16"/>
              </w:rPr>
              <w:t>Medium Term</w:t>
            </w:r>
          </w:p>
        </w:tc>
        <w:tc>
          <w:tcPr>
            <w:tcW w:w="1842" w:type="dxa"/>
            <w:gridSpan w:val="2"/>
            <w:shd w:val="clear" w:color="auto" w:fill="FFFFFF"/>
          </w:tcPr>
          <w:p w14:paraId="203E4D67" w14:textId="429032B3"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Site feasibility studies</w:t>
            </w:r>
          </w:p>
          <w:p w14:paraId="112C2E2E" w14:textId="282B0FB6"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PPP agreements</w:t>
            </w:r>
          </w:p>
          <w:p w14:paraId="255BB6E8" w14:textId="5B87909B" w:rsidR="003D7974" w:rsidRPr="00662906" w:rsidRDefault="003D7974"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Pilot data </w:t>
            </w:r>
            <w:r w:rsidR="00AE7D1F" w:rsidRPr="00662906">
              <w:rPr>
                <w:rFonts w:eastAsia="Arial" w:cs="Arial"/>
                <w:color w:val="53575A"/>
                <w:sz w:val="16"/>
                <w:szCs w:val="16"/>
              </w:rPr>
              <w:t>centre</w:t>
            </w:r>
            <w:r w:rsidRPr="00662906">
              <w:rPr>
                <w:rFonts w:eastAsia="Arial" w:cs="Arial"/>
                <w:color w:val="53575A"/>
                <w:sz w:val="16"/>
                <w:szCs w:val="16"/>
              </w:rPr>
              <w:t xml:space="preserve"> facilities</w:t>
            </w:r>
          </w:p>
        </w:tc>
        <w:tc>
          <w:tcPr>
            <w:tcW w:w="1481" w:type="dxa"/>
            <w:gridSpan w:val="2"/>
            <w:shd w:val="clear" w:color="auto" w:fill="FFFFFF"/>
          </w:tcPr>
          <w:p w14:paraId="4A84A45E" w14:textId="264C2118" w:rsidR="003D7974" w:rsidRPr="00662906" w:rsidRDefault="003D7974" w:rsidP="007E6C89">
            <w:pPr>
              <w:spacing w:before="40" w:after="40"/>
              <w:jc w:val="center"/>
              <w:rPr>
                <w:rFonts w:cs="Arial"/>
                <w:sz w:val="16"/>
                <w:szCs w:val="16"/>
              </w:rPr>
            </w:pPr>
            <w:r w:rsidRPr="00662906">
              <w:rPr>
                <w:rFonts w:cs="Arial"/>
                <w:sz w:val="16"/>
                <w:szCs w:val="16"/>
              </w:rPr>
              <w:t>Strengthened digital economy built on sustainable infrastructure, enhancing regional connectivity and service export potential without increasing carbon footprints</w:t>
            </w:r>
          </w:p>
        </w:tc>
        <w:tc>
          <w:tcPr>
            <w:tcW w:w="2063" w:type="dxa"/>
            <w:shd w:val="clear" w:color="auto" w:fill="FFFFFF"/>
          </w:tcPr>
          <w:p w14:paraId="42161BC6" w14:textId="64B05785" w:rsidR="00397353"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Feasibility studies published (Yes/No)</w:t>
            </w:r>
          </w:p>
          <w:p w14:paraId="653452D2" w14:textId="2AE7C675" w:rsidR="00397353"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PPP agreements signed (count)</w:t>
            </w:r>
          </w:p>
          <w:p w14:paraId="5DA28BEE" w14:textId="37445C31" w:rsidR="003D7974" w:rsidRPr="00662906" w:rsidRDefault="003973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Operational green data </w:t>
            </w:r>
            <w:r w:rsidR="00AE7D1F" w:rsidRPr="00662906">
              <w:rPr>
                <w:rFonts w:eastAsia="Arial" w:cs="Arial"/>
                <w:color w:val="53575A"/>
                <w:sz w:val="16"/>
                <w:szCs w:val="16"/>
              </w:rPr>
              <w:t>centre</w:t>
            </w:r>
            <w:r w:rsidRPr="00662906">
              <w:rPr>
                <w:rFonts w:eastAsia="Arial" w:cs="Arial"/>
                <w:color w:val="53575A"/>
                <w:sz w:val="16"/>
                <w:szCs w:val="16"/>
              </w:rPr>
              <w:t xml:space="preserve"> pilots (Yes/No)</w:t>
            </w:r>
          </w:p>
        </w:tc>
      </w:tr>
      <w:tr w:rsidR="00DF4488" w:rsidRPr="00662906" w14:paraId="6C81EA3C" w14:textId="77777777" w:rsidTr="007E6C89">
        <w:trPr>
          <w:gridAfter w:val="1"/>
          <w:wAfter w:w="17" w:type="dxa"/>
          <w:trHeight w:val="300"/>
        </w:trPr>
        <w:tc>
          <w:tcPr>
            <w:tcW w:w="281" w:type="dxa"/>
            <w:shd w:val="clear" w:color="auto" w:fill="FFFFFF"/>
            <w:tcMar>
              <w:left w:w="57" w:type="dxa"/>
              <w:right w:w="57" w:type="dxa"/>
            </w:tcMar>
          </w:tcPr>
          <w:p w14:paraId="7160C29E" w14:textId="6A993D74" w:rsidR="00DF4488" w:rsidRPr="00662906" w:rsidRDefault="00DF4488" w:rsidP="007E6C89">
            <w:pPr>
              <w:spacing w:before="40" w:after="40"/>
              <w:ind w:right="-198"/>
              <w:jc w:val="center"/>
              <w:rPr>
                <w:rFonts w:eastAsia="Arial" w:cs="Arial"/>
                <w:color w:val="53575A"/>
                <w:sz w:val="16"/>
                <w:szCs w:val="16"/>
              </w:rPr>
            </w:pPr>
            <w:r w:rsidRPr="00662906">
              <w:rPr>
                <w:rFonts w:eastAsia="Arial" w:cs="Arial"/>
                <w:color w:val="53575A"/>
                <w:sz w:val="16"/>
                <w:szCs w:val="16"/>
              </w:rPr>
              <w:t>10</w:t>
            </w:r>
          </w:p>
        </w:tc>
        <w:tc>
          <w:tcPr>
            <w:tcW w:w="1248" w:type="dxa"/>
            <w:shd w:val="clear" w:color="auto" w:fill="FFFFFF"/>
            <w:tcMar>
              <w:left w:w="57" w:type="dxa"/>
              <w:right w:w="57" w:type="dxa"/>
            </w:tcMar>
          </w:tcPr>
          <w:p w14:paraId="28172774" w14:textId="1096D5C8" w:rsidR="00DF4488" w:rsidRPr="00662906" w:rsidRDefault="00DF4488" w:rsidP="007E6C89">
            <w:pPr>
              <w:spacing w:before="40" w:after="40"/>
              <w:jc w:val="center"/>
              <w:rPr>
                <w:rFonts w:cs="Arial"/>
                <w:sz w:val="16"/>
                <w:szCs w:val="16"/>
              </w:rPr>
            </w:pPr>
            <w:r w:rsidRPr="00662906">
              <w:rPr>
                <w:rFonts w:cs="Arial"/>
                <w:sz w:val="16"/>
                <w:szCs w:val="16"/>
              </w:rPr>
              <w:t>Advancing Sustainable NEV Manufacturing in Africa</w:t>
            </w:r>
          </w:p>
        </w:tc>
        <w:tc>
          <w:tcPr>
            <w:tcW w:w="3260" w:type="dxa"/>
            <w:gridSpan w:val="2"/>
            <w:tcBorders>
              <w:top w:val="single" w:sz="4" w:space="0" w:color="9F2241"/>
              <w:left w:val="nil"/>
              <w:bottom w:val="single" w:sz="4" w:space="0" w:color="9F2241"/>
              <w:right w:val="nil"/>
            </w:tcBorders>
            <w:tcMar>
              <w:left w:w="57" w:type="dxa"/>
              <w:right w:w="57" w:type="dxa"/>
            </w:tcMar>
          </w:tcPr>
          <w:p w14:paraId="5554E9DD" w14:textId="77777777" w:rsidR="00DF4488" w:rsidRPr="00662906" w:rsidRDefault="00DF4488" w:rsidP="007E6C89">
            <w:pPr>
              <w:pStyle w:val="ListParagraph"/>
              <w:numPr>
                <w:ilvl w:val="0"/>
                <w:numId w:val="201"/>
              </w:numPr>
              <w:spacing w:before="40" w:after="40"/>
              <w:ind w:left="376"/>
              <w:jc w:val="center"/>
              <w:rPr>
                <w:rFonts w:eastAsia="Arial" w:cs="Arial"/>
                <w:color w:val="394A58"/>
                <w:sz w:val="16"/>
                <w:szCs w:val="16"/>
              </w:rPr>
            </w:pPr>
            <w:r w:rsidRPr="00662906">
              <w:rPr>
                <w:rFonts w:eastAsia="Arial" w:cs="Arial"/>
                <w:color w:val="394A58"/>
                <w:sz w:val="16"/>
                <w:szCs w:val="16"/>
              </w:rPr>
              <w:t>Map Africa’s critical minerals and potential supply chains for batteries and NEVs</w:t>
            </w:r>
          </w:p>
          <w:p w14:paraId="359CA405" w14:textId="170690C9" w:rsidR="00DF4488" w:rsidRPr="00662906" w:rsidRDefault="00DF4488" w:rsidP="007E6C89">
            <w:pPr>
              <w:pStyle w:val="ListParagraph"/>
              <w:numPr>
                <w:ilvl w:val="0"/>
                <w:numId w:val="201"/>
              </w:numPr>
              <w:spacing w:before="40" w:after="40"/>
              <w:ind w:left="367"/>
              <w:jc w:val="center"/>
              <w:rPr>
                <w:rFonts w:eastAsia="Arial" w:cs="Arial"/>
                <w:color w:val="394A58"/>
                <w:sz w:val="16"/>
                <w:szCs w:val="16"/>
              </w:rPr>
            </w:pPr>
            <w:r w:rsidRPr="00662906">
              <w:rPr>
                <w:rFonts w:eastAsia="Arial" w:cs="Arial"/>
                <w:color w:val="394A58"/>
                <w:sz w:val="16"/>
                <w:szCs w:val="16"/>
              </w:rPr>
              <w:t>Foster partnerships with international technology providers for local assembly or manufacturing</w:t>
            </w:r>
          </w:p>
          <w:p w14:paraId="554D1A66" w14:textId="77777777" w:rsidR="00DF4488" w:rsidRPr="00662906" w:rsidRDefault="00DF4488" w:rsidP="007E6C89">
            <w:pPr>
              <w:pStyle w:val="ListParagraph"/>
              <w:numPr>
                <w:ilvl w:val="0"/>
                <w:numId w:val="201"/>
              </w:numPr>
              <w:spacing w:before="40" w:after="40"/>
              <w:ind w:left="367"/>
              <w:jc w:val="center"/>
              <w:rPr>
                <w:rFonts w:eastAsia="Arial" w:cs="Arial"/>
                <w:color w:val="394A58"/>
                <w:sz w:val="16"/>
                <w:szCs w:val="16"/>
              </w:rPr>
            </w:pPr>
            <w:r w:rsidRPr="00662906">
              <w:rPr>
                <w:rFonts w:eastAsia="Arial" w:cs="Arial"/>
                <w:color w:val="394A58"/>
                <w:sz w:val="16"/>
                <w:szCs w:val="16"/>
              </w:rPr>
              <w:t>Develop workforce training programs for NEV production and maintenance</w:t>
            </w:r>
          </w:p>
          <w:p w14:paraId="1B5150F4" w14:textId="09FA98F2" w:rsidR="00DF4488" w:rsidRPr="00662906" w:rsidRDefault="00DF4488" w:rsidP="007E6C89">
            <w:pPr>
              <w:pStyle w:val="ListParagraph"/>
              <w:numPr>
                <w:ilvl w:val="0"/>
                <w:numId w:val="201"/>
              </w:numPr>
              <w:spacing w:before="40" w:after="40"/>
              <w:ind w:left="367"/>
              <w:jc w:val="center"/>
              <w:rPr>
                <w:rFonts w:eastAsia="Arial" w:cs="Arial"/>
                <w:color w:val="394A58"/>
                <w:sz w:val="16"/>
                <w:szCs w:val="16"/>
              </w:rPr>
            </w:pPr>
            <w:r w:rsidRPr="00662906">
              <w:rPr>
                <w:rFonts w:eastAsia="Arial" w:cs="Arial"/>
                <w:color w:val="394A58"/>
                <w:sz w:val="16"/>
                <w:szCs w:val="16"/>
              </w:rPr>
              <w:t>Establish battery recycling and end-of-life management frameworks</w:t>
            </w:r>
          </w:p>
        </w:tc>
        <w:tc>
          <w:tcPr>
            <w:tcW w:w="1276" w:type="dxa"/>
            <w:gridSpan w:val="2"/>
            <w:shd w:val="clear" w:color="auto" w:fill="FFFFFF"/>
            <w:tcMar>
              <w:left w:w="57" w:type="dxa"/>
              <w:right w:w="57" w:type="dxa"/>
            </w:tcMar>
          </w:tcPr>
          <w:p w14:paraId="199B62E1" w14:textId="6DCA1FE1" w:rsidR="00DF4488" w:rsidRPr="00662906" w:rsidRDefault="00DF4488" w:rsidP="007E6C89">
            <w:pPr>
              <w:spacing w:before="40" w:after="40"/>
              <w:jc w:val="center"/>
              <w:rPr>
                <w:rFonts w:cs="Arial"/>
                <w:sz w:val="16"/>
                <w:szCs w:val="16"/>
              </w:rPr>
            </w:pPr>
            <w:r w:rsidRPr="00662906">
              <w:rPr>
                <w:rFonts w:cs="Arial"/>
                <w:sz w:val="16"/>
                <w:szCs w:val="16"/>
              </w:rPr>
              <w:t>Continental</w:t>
            </w:r>
          </w:p>
        </w:tc>
        <w:tc>
          <w:tcPr>
            <w:tcW w:w="1070" w:type="dxa"/>
            <w:gridSpan w:val="2"/>
            <w:shd w:val="clear" w:color="auto" w:fill="FFFFFF"/>
            <w:tcMar>
              <w:left w:w="57" w:type="dxa"/>
              <w:right w:w="57" w:type="dxa"/>
            </w:tcMar>
          </w:tcPr>
          <w:p w14:paraId="792D1B17" w14:textId="7E35DBC4" w:rsidR="00DF4488" w:rsidRPr="00662906" w:rsidRDefault="00DF4488" w:rsidP="007E6C89">
            <w:pPr>
              <w:spacing w:before="40" w:after="40"/>
              <w:jc w:val="center"/>
              <w:rPr>
                <w:rFonts w:cs="Arial"/>
                <w:sz w:val="16"/>
                <w:szCs w:val="16"/>
              </w:rPr>
            </w:pPr>
            <w:r w:rsidRPr="00662906">
              <w:rPr>
                <w:rFonts w:cs="Arial"/>
                <w:sz w:val="16"/>
                <w:szCs w:val="16"/>
              </w:rPr>
              <w:t>AUC</w:t>
            </w:r>
          </w:p>
        </w:tc>
        <w:tc>
          <w:tcPr>
            <w:tcW w:w="1198" w:type="dxa"/>
            <w:gridSpan w:val="2"/>
            <w:shd w:val="clear" w:color="auto" w:fill="FFFFFF"/>
            <w:tcMar>
              <w:left w:w="57" w:type="dxa"/>
              <w:right w:w="57" w:type="dxa"/>
            </w:tcMar>
          </w:tcPr>
          <w:p w14:paraId="52753AE3" w14:textId="733CF718" w:rsidR="00DF4488" w:rsidRPr="00662906" w:rsidRDefault="00DF4488" w:rsidP="007E6C89">
            <w:pPr>
              <w:spacing w:before="40" w:after="40"/>
              <w:jc w:val="center"/>
              <w:rPr>
                <w:rFonts w:cs="Arial"/>
                <w:sz w:val="16"/>
                <w:szCs w:val="16"/>
              </w:rPr>
            </w:pPr>
            <w:r w:rsidRPr="00662906">
              <w:rPr>
                <w:rFonts w:cs="Arial"/>
                <w:sz w:val="16"/>
                <w:szCs w:val="16"/>
              </w:rPr>
              <w:t>RECs, private sector NEV manufacturers, R&amp;D institutions, international technology partners</w:t>
            </w:r>
          </w:p>
        </w:tc>
        <w:tc>
          <w:tcPr>
            <w:tcW w:w="851" w:type="dxa"/>
            <w:gridSpan w:val="2"/>
            <w:shd w:val="clear" w:color="auto" w:fill="FFFFFF"/>
            <w:tcMar>
              <w:left w:w="57" w:type="dxa"/>
              <w:right w:w="57" w:type="dxa"/>
            </w:tcMar>
          </w:tcPr>
          <w:p w14:paraId="76610847" w14:textId="04E04E88" w:rsidR="00DF4488" w:rsidRPr="00662906" w:rsidRDefault="00DF4488" w:rsidP="007E6C89">
            <w:pPr>
              <w:spacing w:before="40" w:after="40"/>
              <w:jc w:val="center"/>
              <w:rPr>
                <w:rFonts w:cs="Arial"/>
                <w:sz w:val="16"/>
                <w:szCs w:val="16"/>
              </w:rPr>
            </w:pPr>
            <w:r w:rsidRPr="00662906">
              <w:rPr>
                <w:rFonts w:cs="Arial"/>
                <w:sz w:val="16"/>
                <w:szCs w:val="16"/>
              </w:rPr>
              <w:t>Medium-Long Term</w:t>
            </w:r>
          </w:p>
        </w:tc>
        <w:tc>
          <w:tcPr>
            <w:tcW w:w="1842" w:type="dxa"/>
            <w:gridSpan w:val="2"/>
            <w:shd w:val="clear" w:color="auto" w:fill="FFFFFF"/>
          </w:tcPr>
          <w:p w14:paraId="2C315FCB" w14:textId="77777777" w:rsidR="00DF4488" w:rsidRPr="00662906" w:rsidRDefault="00DF4488" w:rsidP="007E6C89">
            <w:pPr>
              <w:pStyle w:val="ListParagraph"/>
              <w:numPr>
                <w:ilvl w:val="0"/>
                <w:numId w:val="63"/>
              </w:numPr>
              <w:spacing w:before="40" w:after="40"/>
              <w:ind w:left="318"/>
              <w:jc w:val="center"/>
              <w:rPr>
                <w:rFonts w:cs="Arial"/>
                <w:sz w:val="16"/>
                <w:szCs w:val="16"/>
              </w:rPr>
            </w:pPr>
            <w:r w:rsidRPr="00662906">
              <w:rPr>
                <w:rFonts w:cs="Arial"/>
                <w:sz w:val="16"/>
                <w:szCs w:val="16"/>
              </w:rPr>
              <w:t>Resource mapping reports</w:t>
            </w:r>
          </w:p>
          <w:p w14:paraId="7D34C4E9" w14:textId="57BEC1E0" w:rsidR="00DF4488" w:rsidRPr="00662906" w:rsidRDefault="00DF4488" w:rsidP="007E6C89">
            <w:pPr>
              <w:pStyle w:val="ListParagraph"/>
              <w:numPr>
                <w:ilvl w:val="0"/>
                <w:numId w:val="63"/>
              </w:numPr>
              <w:spacing w:before="40" w:after="40"/>
              <w:ind w:left="318"/>
              <w:jc w:val="center"/>
              <w:rPr>
                <w:rFonts w:cs="Arial"/>
                <w:sz w:val="16"/>
                <w:szCs w:val="16"/>
              </w:rPr>
            </w:pPr>
            <w:r w:rsidRPr="00662906">
              <w:rPr>
                <w:rFonts w:cs="Arial"/>
                <w:sz w:val="16"/>
                <w:szCs w:val="16"/>
              </w:rPr>
              <w:t xml:space="preserve">Partnership agreements or </w:t>
            </w:r>
            <w:r w:rsidR="00FA7109" w:rsidRPr="00662906">
              <w:rPr>
                <w:rFonts w:cs="Arial"/>
                <w:sz w:val="16"/>
                <w:szCs w:val="16"/>
              </w:rPr>
              <w:t>Memorandums of Understanding (</w:t>
            </w:r>
            <w:r w:rsidRPr="00662906">
              <w:rPr>
                <w:rFonts w:cs="Arial"/>
                <w:sz w:val="16"/>
                <w:szCs w:val="16"/>
              </w:rPr>
              <w:t>MoUs</w:t>
            </w:r>
            <w:r w:rsidR="00FA7109" w:rsidRPr="00662906">
              <w:rPr>
                <w:rFonts w:cs="Arial"/>
                <w:sz w:val="16"/>
                <w:szCs w:val="16"/>
              </w:rPr>
              <w:t>)</w:t>
            </w:r>
          </w:p>
          <w:p w14:paraId="6C731A80" w14:textId="77777777" w:rsidR="00DF4488" w:rsidRPr="00662906" w:rsidRDefault="00DF4488" w:rsidP="007E6C89">
            <w:pPr>
              <w:pStyle w:val="ListParagraph"/>
              <w:numPr>
                <w:ilvl w:val="0"/>
                <w:numId w:val="63"/>
              </w:numPr>
              <w:spacing w:before="40" w:after="40"/>
              <w:ind w:left="318"/>
              <w:jc w:val="center"/>
              <w:rPr>
                <w:rFonts w:cs="Arial"/>
                <w:sz w:val="16"/>
                <w:szCs w:val="16"/>
              </w:rPr>
            </w:pPr>
            <w:r w:rsidRPr="00662906">
              <w:rPr>
                <w:rFonts w:cs="Arial"/>
                <w:sz w:val="16"/>
                <w:szCs w:val="16"/>
              </w:rPr>
              <w:t>Certified training modules and participants</w:t>
            </w:r>
          </w:p>
          <w:p w14:paraId="038788A1" w14:textId="16CC8415" w:rsidR="00DF4488" w:rsidRPr="00662906" w:rsidRDefault="00DF4488" w:rsidP="007E6C89">
            <w:pPr>
              <w:pStyle w:val="ListParagraph"/>
              <w:numPr>
                <w:ilvl w:val="0"/>
                <w:numId w:val="63"/>
              </w:numPr>
              <w:spacing w:before="40" w:after="40"/>
              <w:ind w:left="317"/>
              <w:jc w:val="center"/>
              <w:rPr>
                <w:rFonts w:eastAsia="Arial" w:cs="Arial"/>
                <w:color w:val="53575A"/>
                <w:sz w:val="16"/>
                <w:szCs w:val="16"/>
              </w:rPr>
            </w:pPr>
            <w:r w:rsidRPr="00662906">
              <w:rPr>
                <w:rFonts w:cs="Arial"/>
                <w:sz w:val="16"/>
                <w:szCs w:val="16"/>
              </w:rPr>
              <w:t>Recycling/end-of-life guidelines"</w:t>
            </w:r>
          </w:p>
        </w:tc>
        <w:tc>
          <w:tcPr>
            <w:tcW w:w="1481" w:type="dxa"/>
            <w:gridSpan w:val="2"/>
            <w:shd w:val="clear" w:color="auto" w:fill="FFFFFF"/>
          </w:tcPr>
          <w:p w14:paraId="01912D48" w14:textId="3EF3DC8A" w:rsidR="00DF4488" w:rsidRPr="00662906" w:rsidRDefault="00DF4488" w:rsidP="007E6C89">
            <w:pPr>
              <w:spacing w:before="40" w:after="40"/>
              <w:jc w:val="center"/>
              <w:rPr>
                <w:rFonts w:cs="Arial"/>
                <w:sz w:val="16"/>
                <w:szCs w:val="16"/>
              </w:rPr>
            </w:pPr>
            <w:r w:rsidRPr="00662906">
              <w:rPr>
                <w:rFonts w:cs="Arial"/>
                <w:sz w:val="16"/>
                <w:szCs w:val="16"/>
              </w:rPr>
              <w:t>Robust local NEV value chains, enhanced manufacturing capacity, and a trained workforce, reducing import dependence while boosting sustainable economic growth</w:t>
            </w:r>
          </w:p>
        </w:tc>
        <w:tc>
          <w:tcPr>
            <w:tcW w:w="2063" w:type="dxa"/>
            <w:shd w:val="clear" w:color="auto" w:fill="FFFFFF"/>
          </w:tcPr>
          <w:p w14:paraId="2C607BD7" w14:textId="77777777" w:rsidR="00DF4488" w:rsidRPr="00662906" w:rsidRDefault="00DF448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Completion of resource mapping (Yes/No)</w:t>
            </w:r>
          </w:p>
          <w:p w14:paraId="1A695644" w14:textId="77777777" w:rsidR="00DF4488" w:rsidRPr="00662906" w:rsidRDefault="00DF448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local manufacturing or assembly partnerships</w:t>
            </w:r>
          </w:p>
          <w:p w14:paraId="3982DDC0" w14:textId="7C4912F6" w:rsidR="00DF4488" w:rsidRPr="00662906" w:rsidRDefault="00DF448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Existence of battery recycling guidelines (Yes/No)</w:t>
            </w:r>
          </w:p>
        </w:tc>
      </w:tr>
    </w:tbl>
    <w:p w14:paraId="4704CA37" w14:textId="35F5915A" w:rsidR="6098C586" w:rsidRPr="00662906" w:rsidRDefault="6098C586" w:rsidP="00E678F4">
      <w:pPr>
        <w:spacing w:line="171" w:lineRule="auto"/>
        <w:rPr>
          <w:rFonts w:eastAsia="Arial" w:cs="Arial"/>
          <w:i/>
          <w:iCs/>
          <w:color w:val="B4A169"/>
          <w:sz w:val="16"/>
          <w:szCs w:val="16"/>
        </w:rPr>
      </w:pPr>
      <w:r w:rsidRPr="00662906">
        <w:rPr>
          <w:rFonts w:eastAsia="Arial" w:cs="Arial"/>
          <w:i/>
          <w:iCs/>
          <w:color w:val="B4A169"/>
          <w:sz w:val="16"/>
          <w:szCs w:val="16"/>
        </w:rPr>
        <w:t>Source:</w:t>
      </w:r>
      <w:r w:rsidRPr="00662906">
        <w:rPr>
          <w:rFonts w:eastAsia="Arial" w:cs="Arial"/>
          <w:color w:val="156082"/>
        </w:rPr>
        <w:t xml:space="preserve"> </w:t>
      </w:r>
      <w:r w:rsidRPr="00662906">
        <w:rPr>
          <w:rFonts w:eastAsia="Arial" w:cs="Arial"/>
          <w:i/>
          <w:iCs/>
          <w:color w:val="B4A169"/>
          <w:sz w:val="16"/>
          <w:szCs w:val="16"/>
        </w:rPr>
        <w:t>Authors' own creation</w:t>
      </w:r>
    </w:p>
    <w:p w14:paraId="20423D94" w14:textId="77777777" w:rsidR="00D41C50" w:rsidRPr="00662906" w:rsidRDefault="00D41C50" w:rsidP="000E7759">
      <w:pPr>
        <w:pStyle w:val="Heading2"/>
        <w:sectPr w:rsidR="00D41C50" w:rsidRPr="00662906" w:rsidSect="005852FE">
          <w:pgSz w:w="16838" w:h="11906" w:orient="landscape"/>
          <w:pgMar w:top="1440" w:right="1440" w:bottom="1440" w:left="1440" w:header="720" w:footer="720" w:gutter="0"/>
          <w:cols w:space="720"/>
          <w:titlePg/>
          <w:docGrid w:linePitch="360"/>
        </w:sectPr>
      </w:pPr>
      <w:bookmarkStart w:id="651" w:name="_Toc171955547"/>
      <w:bookmarkStart w:id="652" w:name="_Toc176190957"/>
      <w:bookmarkStart w:id="653" w:name="_Toc176191123"/>
      <w:bookmarkStart w:id="654" w:name="_Toc176341843"/>
      <w:bookmarkStart w:id="655" w:name="_Toc176430237"/>
      <w:bookmarkStart w:id="656" w:name="_Toc176430294"/>
      <w:bookmarkStart w:id="657" w:name="_Toc176441427"/>
      <w:bookmarkStart w:id="658" w:name="_Toc176442082"/>
      <w:bookmarkStart w:id="659" w:name="_Toc178937495"/>
    </w:p>
    <w:p w14:paraId="341AD0EA" w14:textId="411E06A4" w:rsidR="00DF74AA" w:rsidRPr="00662906" w:rsidRDefault="5AD9113E" w:rsidP="000E7759">
      <w:pPr>
        <w:pStyle w:val="Heading2"/>
      </w:pPr>
      <w:bookmarkStart w:id="660" w:name="_Toc197433860"/>
      <w:r w:rsidRPr="00662906">
        <w:lastRenderedPageBreak/>
        <w:t xml:space="preserve">Oil </w:t>
      </w:r>
      <w:r w:rsidR="7381D204" w:rsidRPr="00662906">
        <w:t>and</w:t>
      </w:r>
      <w:r w:rsidRPr="00662906">
        <w:t xml:space="preserve"> Gas</w:t>
      </w:r>
      <w:bookmarkEnd w:id="651"/>
      <w:bookmarkEnd w:id="652"/>
      <w:bookmarkEnd w:id="653"/>
      <w:bookmarkEnd w:id="654"/>
      <w:bookmarkEnd w:id="655"/>
      <w:bookmarkEnd w:id="656"/>
      <w:bookmarkEnd w:id="657"/>
      <w:bookmarkEnd w:id="658"/>
      <w:bookmarkEnd w:id="659"/>
      <w:bookmarkEnd w:id="660"/>
    </w:p>
    <w:p w14:paraId="49CCA9D0" w14:textId="1CA7FF48" w:rsidR="0B98FDB7" w:rsidRPr="00662906" w:rsidRDefault="27C94E50" w:rsidP="003D6B3F">
      <w:pPr>
        <w:rPr>
          <w:rFonts w:eastAsia="Arial"/>
        </w:rPr>
      </w:pPr>
      <w:r w:rsidRPr="00662906">
        <w:t>With regard</w:t>
      </w:r>
      <w:r w:rsidR="006EBA51" w:rsidRPr="00662906">
        <w:t>s</w:t>
      </w:r>
      <w:r w:rsidRPr="00662906">
        <w:t xml:space="preserve"> to energy transition f</w:t>
      </w:r>
      <w:r w:rsidR="606F8488" w:rsidRPr="00662906">
        <w:t xml:space="preserve">or most </w:t>
      </w:r>
      <w:r w:rsidR="4C54EC7A" w:rsidRPr="00662906">
        <w:t>African Union Member States</w:t>
      </w:r>
      <w:r w:rsidR="606F8488" w:rsidRPr="00662906">
        <w:t xml:space="preserve">, </w:t>
      </w:r>
      <w:r w:rsidR="64A0750B" w:rsidRPr="00662906">
        <w:t>NG</w:t>
      </w:r>
      <w:r w:rsidR="36A006F5" w:rsidRPr="00662906">
        <w:t xml:space="preserve"> </w:t>
      </w:r>
      <w:r w:rsidR="606F8488" w:rsidRPr="00662906">
        <w:t xml:space="preserve">and </w:t>
      </w:r>
      <w:r w:rsidR="2E701036" w:rsidRPr="00662906">
        <w:t xml:space="preserve">RE </w:t>
      </w:r>
      <w:r w:rsidR="00F346CC" w:rsidRPr="00662906">
        <w:t>represent the</w:t>
      </w:r>
      <w:r w:rsidR="606F8488" w:rsidRPr="00662906">
        <w:t xml:space="preserve"> potential to bridge the energy deficit on the continent and support industrialisation and economic </w:t>
      </w:r>
      <w:r w:rsidR="7B8562AB" w:rsidRPr="00662906">
        <w:t xml:space="preserve">low carbon </w:t>
      </w:r>
      <w:r w:rsidR="606F8488" w:rsidRPr="00662906">
        <w:t xml:space="preserve">growth. </w:t>
      </w:r>
    </w:p>
    <w:p w14:paraId="04A91CC6" w14:textId="02BF5B78" w:rsidR="0B98FDB7" w:rsidRPr="00662906" w:rsidRDefault="1852B6E2" w:rsidP="003D6B3F">
      <w:pPr>
        <w:rPr>
          <w:rFonts w:eastAsia="Arial"/>
        </w:rPr>
      </w:pPr>
      <w:r w:rsidRPr="00662906">
        <w:t xml:space="preserve">This energy </w:t>
      </w:r>
      <w:r w:rsidR="48391A1E" w:rsidRPr="00662906">
        <w:t>transition</w:t>
      </w:r>
      <w:r w:rsidRPr="00662906">
        <w:t xml:space="preserve"> is further </w:t>
      </w:r>
      <w:r w:rsidR="2DF5E267" w:rsidRPr="00662906">
        <w:t>compounded</w:t>
      </w:r>
      <w:r w:rsidRPr="00662906">
        <w:t xml:space="preserve"> by the ongoing Climate Transition which ultimately need </w:t>
      </w:r>
      <w:r w:rsidR="00F346CC" w:rsidRPr="00662906">
        <w:t>to phase</w:t>
      </w:r>
      <w:r w:rsidRPr="00662906">
        <w:t xml:space="preserve"> out </w:t>
      </w:r>
      <w:r w:rsidR="658C3236" w:rsidRPr="00662906">
        <w:t>carbon emitting sources</w:t>
      </w:r>
      <w:r w:rsidRPr="00662906">
        <w:t xml:space="preserve"> to reach</w:t>
      </w:r>
      <w:r w:rsidR="658C3236" w:rsidRPr="00662906">
        <w:t xml:space="preserve"> global target of</w:t>
      </w:r>
      <w:r w:rsidRPr="00662906">
        <w:t xml:space="preserve"> Net Zero emission by </w:t>
      </w:r>
      <w:r w:rsidR="4BF65DEA" w:rsidRPr="00662906">
        <w:t>2050.</w:t>
      </w:r>
      <w:r w:rsidR="658C3236" w:rsidRPr="00662906">
        <w:t xml:space="preserve"> N</w:t>
      </w:r>
      <w:r w:rsidR="16769100" w:rsidRPr="00662906">
        <w:t>atural gas</w:t>
      </w:r>
      <w:r w:rsidRPr="00662906">
        <w:t xml:space="preserve"> </w:t>
      </w:r>
      <w:r w:rsidR="00853368" w:rsidRPr="00662906">
        <w:t xml:space="preserve">is in </w:t>
      </w:r>
      <w:r w:rsidRPr="00662906">
        <w:t xml:space="preserve">itself a ‘’fuel of </w:t>
      </w:r>
      <w:r w:rsidR="19FCE411" w:rsidRPr="00662906">
        <w:t>transition</w:t>
      </w:r>
      <w:r w:rsidRPr="00662906">
        <w:t xml:space="preserve">’’ from the ongoing energy situation to the </w:t>
      </w:r>
      <w:r w:rsidR="0D216964" w:rsidRPr="00662906">
        <w:t>goal</w:t>
      </w:r>
      <w:r w:rsidRPr="00662906">
        <w:t xml:space="preserve"> of Net Zero Emission. </w:t>
      </w:r>
    </w:p>
    <w:p w14:paraId="56561292" w14:textId="042DE3F8" w:rsidR="0B98FDB7" w:rsidRPr="00662906" w:rsidRDefault="68F2E000" w:rsidP="000A0BF3">
      <w:r w:rsidRPr="00662906">
        <w:t xml:space="preserve">In fact, </w:t>
      </w:r>
      <w:r w:rsidR="1DA0F937" w:rsidRPr="00662906">
        <w:t>t</w:t>
      </w:r>
      <w:r w:rsidR="6C6C78F1" w:rsidRPr="00662906">
        <w:t xml:space="preserve">he following factors offer credence </w:t>
      </w:r>
      <w:r w:rsidR="6DA48917" w:rsidRPr="00662906">
        <w:t>to upholding</w:t>
      </w:r>
      <w:r w:rsidR="6C6C78F1" w:rsidRPr="00662906">
        <w:t xml:space="preserve"> Natural Gas as a bridge towards the Net Zero Emission horizon</w:t>
      </w:r>
    </w:p>
    <w:p w14:paraId="42497DB1" w14:textId="0224CC29" w:rsidR="0B98FDB7" w:rsidRPr="00662906" w:rsidRDefault="73D5A022" w:rsidP="00475318">
      <w:pPr>
        <w:pStyle w:val="Bullets"/>
        <w:ind w:left="709" w:hanging="283"/>
        <w:rPr>
          <w:rFonts w:eastAsia="Arial"/>
          <w:lang w:val="en-GB"/>
        </w:rPr>
      </w:pPr>
      <w:r w:rsidRPr="00662906">
        <w:rPr>
          <w:lang w:val="en-GB"/>
        </w:rPr>
        <w:t>The intermittent nature of Renewable Energy sources requires that a more reliable source of power generation is made available as a parallel or a stand-by source to enable a</w:t>
      </w:r>
      <w:r w:rsidR="53216497" w:rsidRPr="00662906">
        <w:rPr>
          <w:lang w:val="en-GB"/>
        </w:rPr>
        <w:t>n</w:t>
      </w:r>
      <w:r w:rsidRPr="00662906">
        <w:rPr>
          <w:lang w:val="en-GB"/>
        </w:rPr>
        <w:t xml:space="preserve"> </w:t>
      </w:r>
      <w:r w:rsidR="4BBEFEFE" w:rsidRPr="00662906">
        <w:rPr>
          <w:lang w:val="en-GB"/>
        </w:rPr>
        <w:t>un</w:t>
      </w:r>
      <w:r w:rsidR="5F36F5BD" w:rsidRPr="00662906">
        <w:rPr>
          <w:lang w:val="en-GB"/>
        </w:rPr>
        <w:t>interrupted</w:t>
      </w:r>
      <w:r w:rsidRPr="00662906">
        <w:rPr>
          <w:lang w:val="en-GB"/>
        </w:rPr>
        <w:t xml:space="preserve"> supply of electrical energy to the users. Natural </w:t>
      </w:r>
      <w:r w:rsidR="5332AC4A" w:rsidRPr="00662906">
        <w:rPr>
          <w:lang w:val="en-GB"/>
        </w:rPr>
        <w:t>gas-powered</w:t>
      </w:r>
      <w:r w:rsidRPr="00662906">
        <w:rPr>
          <w:lang w:val="en-GB"/>
        </w:rPr>
        <w:t xml:space="preserve"> plants represent immediate solutions among others (nuclear) or more costly alternatives (pumped-storage hydro power plants (PSP), batteries </w:t>
      </w:r>
      <w:r w:rsidR="00853368" w:rsidRPr="00662906">
        <w:rPr>
          <w:lang w:val="en-GB"/>
        </w:rPr>
        <w:t>etc</w:t>
      </w:r>
      <w:r w:rsidRPr="00662906">
        <w:rPr>
          <w:lang w:val="en-GB"/>
        </w:rPr>
        <w:t xml:space="preserve">…) </w:t>
      </w:r>
    </w:p>
    <w:p w14:paraId="093525C7" w14:textId="23CD61A9" w:rsidR="0B98FDB7" w:rsidRPr="00662906" w:rsidRDefault="73D5A022" w:rsidP="00475318">
      <w:pPr>
        <w:pStyle w:val="Bullets"/>
        <w:ind w:left="709" w:hanging="283"/>
        <w:rPr>
          <w:rFonts w:eastAsia="Arial"/>
          <w:lang w:val="en-GB"/>
        </w:rPr>
      </w:pPr>
      <w:r w:rsidRPr="00662906">
        <w:rPr>
          <w:lang w:val="en-GB"/>
        </w:rPr>
        <w:t xml:space="preserve">Certain Industrial processes requiring tremendous heat input </w:t>
      </w:r>
      <w:r w:rsidR="75D355A8" w:rsidRPr="00662906">
        <w:rPr>
          <w:lang w:val="en-GB"/>
        </w:rPr>
        <w:t xml:space="preserve">at temperatures exceeding 1000 °C </w:t>
      </w:r>
      <w:r w:rsidRPr="00662906">
        <w:rPr>
          <w:lang w:val="en-GB"/>
        </w:rPr>
        <w:t xml:space="preserve">(such as cement factories and petrochemicals) </w:t>
      </w:r>
      <w:r w:rsidR="1979D974" w:rsidRPr="00662906">
        <w:rPr>
          <w:lang w:val="en-GB"/>
        </w:rPr>
        <w:t>cannot</w:t>
      </w:r>
      <w:r w:rsidRPr="00662906">
        <w:rPr>
          <w:lang w:val="en-GB"/>
        </w:rPr>
        <w:t xml:space="preserve"> rely on the </w:t>
      </w:r>
      <w:r w:rsidR="187BF854" w:rsidRPr="00662906">
        <w:rPr>
          <w:lang w:val="en-GB"/>
        </w:rPr>
        <w:t>RES</w:t>
      </w:r>
      <w:r w:rsidRPr="00662906">
        <w:rPr>
          <w:lang w:val="en-GB"/>
        </w:rPr>
        <w:t xml:space="preserve"> (</w:t>
      </w:r>
      <w:r w:rsidR="5C5B7E24" w:rsidRPr="00662906">
        <w:rPr>
          <w:lang w:val="en-GB"/>
        </w:rPr>
        <w:t xml:space="preserve">mainly </w:t>
      </w:r>
      <w:r w:rsidRPr="00662906">
        <w:rPr>
          <w:lang w:val="en-GB"/>
        </w:rPr>
        <w:t>wind and solar) in a sustained, competitive</w:t>
      </w:r>
      <w:r w:rsidR="6083F57A" w:rsidRPr="00662906">
        <w:rPr>
          <w:lang w:val="en-GB"/>
        </w:rPr>
        <w:t>,</w:t>
      </w:r>
      <w:r w:rsidRPr="00662906">
        <w:rPr>
          <w:lang w:val="en-GB"/>
        </w:rPr>
        <w:t xml:space="preserve"> and affordable manner</w:t>
      </w:r>
      <w:r w:rsidR="75ACBEF4" w:rsidRPr="00662906">
        <w:rPr>
          <w:lang w:val="en-GB"/>
        </w:rPr>
        <w:t>.</w:t>
      </w:r>
    </w:p>
    <w:p w14:paraId="75C3BD24" w14:textId="0A7F3EBB" w:rsidR="000D722F" w:rsidRPr="00662906" w:rsidRDefault="0B98FDB7" w:rsidP="00475318">
      <w:pPr>
        <w:pStyle w:val="Bullets"/>
        <w:ind w:left="709" w:hanging="283"/>
        <w:rPr>
          <w:lang w:val="en-GB"/>
        </w:rPr>
      </w:pPr>
      <w:r w:rsidRPr="00662906">
        <w:rPr>
          <w:lang w:val="en-GB"/>
        </w:rPr>
        <w:t xml:space="preserve">Most countries rely heavily on the natural </w:t>
      </w:r>
      <w:r w:rsidR="0F1E8FDD" w:rsidRPr="00662906">
        <w:rPr>
          <w:lang w:val="en-GB"/>
        </w:rPr>
        <w:t>gas-powered</w:t>
      </w:r>
      <w:r w:rsidRPr="00662906">
        <w:rPr>
          <w:lang w:val="en-GB"/>
        </w:rPr>
        <w:t xml:space="preserve"> power plants </w:t>
      </w:r>
      <w:r w:rsidR="00853368" w:rsidRPr="00662906">
        <w:rPr>
          <w:lang w:val="en-GB"/>
        </w:rPr>
        <w:t xml:space="preserve">already </w:t>
      </w:r>
      <w:r w:rsidRPr="00662906">
        <w:rPr>
          <w:lang w:val="en-GB"/>
        </w:rPr>
        <w:t xml:space="preserve">to produce their electricity. Despite their engagement to introduce a big share of RE in their energy mix, these </w:t>
      </w:r>
      <w:r w:rsidR="39E27591" w:rsidRPr="00662906">
        <w:rPr>
          <w:lang w:val="en-GB"/>
        </w:rPr>
        <w:t>countries</w:t>
      </w:r>
      <w:r w:rsidRPr="00662906">
        <w:rPr>
          <w:lang w:val="en-GB"/>
        </w:rPr>
        <w:t xml:space="preserve"> will</w:t>
      </w:r>
      <w:r w:rsidR="29A93B52" w:rsidRPr="00662906">
        <w:rPr>
          <w:lang w:val="en-GB"/>
        </w:rPr>
        <w:t xml:space="preserve"> have no choice but to </w:t>
      </w:r>
      <w:r w:rsidRPr="00662906">
        <w:rPr>
          <w:lang w:val="en-GB"/>
        </w:rPr>
        <w:t xml:space="preserve">continue to invest in NG power plants as the shift to a maximum RE based power generation is expected to </w:t>
      </w:r>
      <w:r w:rsidR="2276B29B" w:rsidRPr="00662906">
        <w:rPr>
          <w:lang w:val="en-GB"/>
        </w:rPr>
        <w:t xml:space="preserve">be gradual and </w:t>
      </w:r>
      <w:r w:rsidRPr="00662906">
        <w:rPr>
          <w:lang w:val="en-GB"/>
        </w:rPr>
        <w:t>take several decades.</w:t>
      </w:r>
    </w:p>
    <w:p w14:paraId="4A35ACD6" w14:textId="4506CDAB" w:rsidR="7CD25A6F" w:rsidRPr="00662906" w:rsidRDefault="7CD25A6F" w:rsidP="673CBF52">
      <w:r w:rsidRPr="00662906">
        <w:t xml:space="preserve">While Africa has potential to extract more of their oil and gas reserves, the critical decarbonization intervention will be to ensure adequate supply of natural </w:t>
      </w:r>
      <w:r w:rsidR="641950B3" w:rsidRPr="00662906">
        <w:t>gas</w:t>
      </w:r>
      <w:r w:rsidRPr="00662906">
        <w:t xml:space="preserve"> across the continent </w:t>
      </w:r>
      <w:r w:rsidR="06E195FA" w:rsidRPr="00662906">
        <w:t xml:space="preserve">and put in place the necessary </w:t>
      </w:r>
      <w:r w:rsidR="007E38BA" w:rsidRPr="00662906">
        <w:t xml:space="preserve">infrastructure, </w:t>
      </w:r>
      <w:r w:rsidR="613727D3" w:rsidRPr="00662906">
        <w:t xml:space="preserve">enabling and </w:t>
      </w:r>
      <w:r w:rsidR="06E195FA" w:rsidRPr="00662906">
        <w:t>regulatory framework that will ensure that producers, refineries</w:t>
      </w:r>
      <w:r w:rsidR="00F64667" w:rsidRPr="00662906">
        <w:t>,</w:t>
      </w:r>
      <w:r w:rsidR="06E195FA" w:rsidRPr="00662906">
        <w:t xml:space="preserve"> and suppliers will do that in a sustainable manner.</w:t>
      </w:r>
      <w:r w:rsidR="1F1D2976" w:rsidRPr="00662906">
        <w:t xml:space="preserve">  </w:t>
      </w:r>
    </w:p>
    <w:p w14:paraId="2528DEF6" w14:textId="2115CC99" w:rsidR="673CBF52" w:rsidRPr="00662906" w:rsidRDefault="1F1D2976" w:rsidP="673CBF52">
      <w:r w:rsidRPr="00662906">
        <w:t>This will entail proliferation of natural gas delivery systems like pipelines where feasible and</w:t>
      </w:r>
      <w:r w:rsidR="00992948" w:rsidRPr="00662906">
        <w:t xml:space="preserve"> </w:t>
      </w:r>
      <w:r w:rsidRPr="00662906">
        <w:t>LNG facilities</w:t>
      </w:r>
      <w:r w:rsidR="28699134" w:rsidRPr="00662906">
        <w:t>. Decarbonization coul</w:t>
      </w:r>
      <w:r w:rsidR="6021697B" w:rsidRPr="00662906">
        <w:t>d</w:t>
      </w:r>
      <w:r w:rsidR="28699134" w:rsidRPr="00662906">
        <w:t xml:space="preserve"> be observed in the whole natural gas value </w:t>
      </w:r>
      <w:r w:rsidR="007E38BA" w:rsidRPr="00662906">
        <w:t>chain</w:t>
      </w:r>
      <w:r w:rsidR="28699134" w:rsidRPr="00662906">
        <w:t xml:space="preserve"> ensuring optimal design of systems and minimization of gas leaks to the atmosphere.</w:t>
      </w:r>
    </w:p>
    <w:p w14:paraId="4C009589" w14:textId="58B8F1E6" w:rsidR="7B43A0F8" w:rsidRPr="00662906" w:rsidRDefault="7B43A0F8" w:rsidP="673CBF52">
      <w:r w:rsidRPr="00662906">
        <w:t xml:space="preserve">An enabling environment is also required to attract investors in oil and gas industry by ensuring </w:t>
      </w:r>
      <w:r w:rsidR="00853368" w:rsidRPr="00662906">
        <w:t>sustainable pricing regime</w:t>
      </w:r>
      <w:r w:rsidRPr="00662906">
        <w:t xml:space="preserve"> and other incentives. Participation of both public and private sector oil and gas companies should be encouraged.</w:t>
      </w:r>
    </w:p>
    <w:p w14:paraId="7FE123F2" w14:textId="164A9628" w:rsidR="23206807" w:rsidRPr="00662906" w:rsidRDefault="23206807" w:rsidP="673CBF52">
      <w:r w:rsidRPr="00662906">
        <w:t xml:space="preserve">The </w:t>
      </w:r>
      <w:r w:rsidR="4F0C285D" w:rsidRPr="00662906">
        <w:t>African Union Member States</w:t>
      </w:r>
      <w:r w:rsidR="27088C86" w:rsidRPr="00662906">
        <w:t xml:space="preserve"> will also need to provide guidance and be </w:t>
      </w:r>
      <w:r w:rsidR="5B0D4F87" w:rsidRPr="00662906">
        <w:t>able</w:t>
      </w:r>
      <w:r w:rsidR="27088C86" w:rsidRPr="00662906">
        <w:t xml:space="preserve"> to </w:t>
      </w:r>
      <w:r w:rsidR="00433C00" w:rsidRPr="00662906">
        <w:t xml:space="preserve">regulate </w:t>
      </w:r>
      <w:r w:rsidR="2875B13B" w:rsidRPr="00662906">
        <w:t>ESG</w:t>
      </w:r>
      <w:r w:rsidR="000805F3" w:rsidRPr="00662906">
        <w:t xml:space="preserve"> </w:t>
      </w:r>
      <w:r w:rsidR="27088C86" w:rsidRPr="00662906">
        <w:t>aspects of the oil an</w:t>
      </w:r>
      <w:r w:rsidR="204ED5F0" w:rsidRPr="00662906">
        <w:t>d gas industry</w:t>
      </w:r>
      <w:r w:rsidR="007E38BA" w:rsidRPr="00662906">
        <w:t xml:space="preserve"> to ensure that NOCs and IOCs honour sustainability protocols of the oil and gas producing countries.</w:t>
      </w:r>
    </w:p>
    <w:p w14:paraId="6555F365" w14:textId="6B904400" w:rsidR="0ED2C88A" w:rsidRPr="00662906" w:rsidRDefault="57AE6C5C" w:rsidP="00E678F4">
      <w:pPr>
        <w:rPr>
          <w:rFonts w:eastAsia="Arial" w:cs="Arial"/>
        </w:rPr>
      </w:pPr>
      <w:r w:rsidRPr="00662906">
        <w:t xml:space="preserve">In line with the above, the </w:t>
      </w:r>
      <w:r w:rsidR="00871B69" w:rsidRPr="00662906">
        <w:t>proposed Strategic Objective of the oil and gas subsector is t</w:t>
      </w:r>
      <w:r w:rsidR="00E447AB" w:rsidRPr="00662906">
        <w:t>o</w:t>
      </w:r>
      <w:r w:rsidR="00871B69" w:rsidRPr="00662906">
        <w:t xml:space="preserve"> </w:t>
      </w:r>
      <w:r w:rsidR="00871B69" w:rsidRPr="00662906">
        <w:rPr>
          <w:b/>
          <w:bCs/>
        </w:rPr>
        <w:t xml:space="preserve">Optimize oil and gas </w:t>
      </w:r>
      <w:r w:rsidR="00B61FC0" w:rsidRPr="00662906">
        <w:rPr>
          <w:b/>
          <w:bCs/>
        </w:rPr>
        <w:t xml:space="preserve">sector </w:t>
      </w:r>
      <w:r w:rsidR="000A0BF3" w:rsidRPr="00662906">
        <w:rPr>
          <w:b/>
          <w:bCs/>
        </w:rPr>
        <w:t>transition,</w:t>
      </w:r>
      <w:r w:rsidR="7BA7CB1B" w:rsidRPr="00662906">
        <w:rPr>
          <w:b/>
          <w:bCs/>
        </w:rPr>
        <w:t xml:space="preserve"> </w:t>
      </w:r>
      <w:r w:rsidR="7BA7CB1B" w:rsidRPr="00662906">
        <w:t>consequently a strategic shift of this nature could unlock significant value for the continent while reducing the risks of climate change and help to secure a greener and more prosperous future for all Africans.</w:t>
      </w:r>
      <w:r w:rsidR="3F84662C" w:rsidRPr="00662906">
        <w:t xml:space="preserve"> </w:t>
      </w:r>
    </w:p>
    <w:p w14:paraId="1C0D478A" w14:textId="0B616251" w:rsidR="007734A4" w:rsidRPr="00662906" w:rsidRDefault="635AB1D9" w:rsidP="00290085">
      <w:r w:rsidRPr="00662906">
        <w:t xml:space="preserve">The Strategic interventions for the oil and gas to achieve </w:t>
      </w:r>
      <w:r w:rsidR="00F346CC" w:rsidRPr="00662906">
        <w:t>both oil</w:t>
      </w:r>
      <w:r w:rsidRPr="00662906">
        <w:t xml:space="preserve"> and gas </w:t>
      </w:r>
      <w:r w:rsidR="00E366C7" w:rsidRPr="00662906">
        <w:t>and</w:t>
      </w:r>
      <w:r w:rsidR="4B9B85E2" w:rsidRPr="00662906">
        <w:t xml:space="preserve"> Climate </w:t>
      </w:r>
      <w:r w:rsidRPr="00662906">
        <w:t>transition</w:t>
      </w:r>
      <w:r w:rsidR="10794748" w:rsidRPr="00662906">
        <w:t>s</w:t>
      </w:r>
      <w:r w:rsidRPr="00662906">
        <w:t xml:space="preserve"> are:</w:t>
      </w:r>
    </w:p>
    <w:p w14:paraId="4A071B7B" w14:textId="610648E1" w:rsidR="13F6F6F9" w:rsidRPr="00662906" w:rsidRDefault="2F394AC6" w:rsidP="00E320DD">
      <w:pPr>
        <w:pStyle w:val="Bullets"/>
        <w:rPr>
          <w:lang w:val="en-GB"/>
        </w:rPr>
      </w:pPr>
      <w:r w:rsidRPr="00662906">
        <w:rPr>
          <w:lang w:val="en-GB"/>
        </w:rPr>
        <w:t>Strategic Intervention 1: Sustainable supply of natural gas on the continent</w:t>
      </w:r>
    </w:p>
    <w:p w14:paraId="2801E405" w14:textId="188D9FAD" w:rsidR="13F6F6F9" w:rsidRPr="00662906" w:rsidRDefault="2F394AC6" w:rsidP="00E320DD">
      <w:pPr>
        <w:pStyle w:val="Bullets"/>
        <w:rPr>
          <w:lang w:val="en-GB"/>
        </w:rPr>
      </w:pPr>
      <w:r w:rsidRPr="00662906">
        <w:rPr>
          <w:lang w:val="en-GB"/>
        </w:rPr>
        <w:t xml:space="preserve">Strategic Intervention 2: </w:t>
      </w:r>
      <w:r w:rsidR="0023250B" w:rsidRPr="00662906">
        <w:rPr>
          <w:lang w:val="en-GB"/>
        </w:rPr>
        <w:t>Promote economic and technical efficiency in the production, transport, and use of oil and gas</w:t>
      </w:r>
      <w:r w:rsidR="0023250B" w:rsidRPr="00662906" w:rsidDel="0023250B">
        <w:rPr>
          <w:lang w:val="en-GB"/>
        </w:rPr>
        <w:t xml:space="preserve"> </w:t>
      </w:r>
    </w:p>
    <w:p w14:paraId="7C98583B" w14:textId="247F1E7F" w:rsidR="00E95EB9" w:rsidRPr="00662906" w:rsidRDefault="5C6D0FAB" w:rsidP="0011366B">
      <w:pPr>
        <w:pStyle w:val="Bullets"/>
        <w:rPr>
          <w:lang w:val="en-GB"/>
        </w:rPr>
      </w:pPr>
      <w:r w:rsidRPr="00662906">
        <w:rPr>
          <w:lang w:val="en-GB"/>
        </w:rPr>
        <w:t>Strategic Intervention 3: ESG Sustainability</w:t>
      </w:r>
      <w:r w:rsidR="2479189D" w:rsidRPr="00662906">
        <w:rPr>
          <w:lang w:val="en-GB"/>
        </w:rPr>
        <w:t xml:space="preserve"> enhanced</w:t>
      </w:r>
    </w:p>
    <w:p w14:paraId="18D3DD5D" w14:textId="77777777" w:rsidR="001A25D2" w:rsidRPr="00662906" w:rsidRDefault="00E447AB" w:rsidP="0011366B">
      <w:pPr>
        <w:pStyle w:val="Bullets"/>
        <w:numPr>
          <w:ilvl w:val="0"/>
          <w:numId w:val="0"/>
        </w:numPr>
        <w:rPr>
          <w:lang w:val="en-GB"/>
        </w:rPr>
      </w:pPr>
      <w:r w:rsidRPr="00662906">
        <w:rPr>
          <w:lang w:val="en-GB"/>
        </w:rPr>
        <w:t xml:space="preserve"> </w:t>
      </w:r>
    </w:p>
    <w:p w14:paraId="2BA4C709" w14:textId="58EE7285" w:rsidR="00D41C50" w:rsidRPr="00662906" w:rsidRDefault="17F9CC93" w:rsidP="0011366B">
      <w:pPr>
        <w:pStyle w:val="Bullets"/>
        <w:numPr>
          <w:ilvl w:val="0"/>
          <w:numId w:val="0"/>
        </w:numPr>
        <w:rPr>
          <w:lang w:val="en-GB"/>
        </w:rPr>
        <w:sectPr w:rsidR="00D41C50" w:rsidRPr="00662906" w:rsidSect="00D41C50">
          <w:pgSz w:w="11906" w:h="16838"/>
          <w:pgMar w:top="1440" w:right="1440" w:bottom="1440" w:left="1440" w:header="720" w:footer="720" w:gutter="0"/>
          <w:cols w:space="720"/>
          <w:titlePg/>
          <w:docGrid w:linePitch="360"/>
        </w:sectPr>
      </w:pPr>
      <w:r w:rsidRPr="00662906">
        <w:rPr>
          <w:lang w:val="en-GB"/>
        </w:rPr>
        <w:t xml:space="preserve">The Action Plans for these Strategic Interventions are in </w:t>
      </w:r>
      <w:r w:rsidR="559B4EFD" w:rsidRPr="00662906">
        <w:rPr>
          <w:lang w:val="en-GB"/>
        </w:rPr>
        <w:t xml:space="preserve">Table </w:t>
      </w:r>
      <w:r w:rsidR="003C4B5B" w:rsidRPr="00662906">
        <w:rPr>
          <w:lang w:val="en-GB"/>
        </w:rPr>
        <w:t>26-28</w:t>
      </w:r>
      <w:r w:rsidR="2AA17737" w:rsidRPr="00662906">
        <w:rPr>
          <w:lang w:val="en-GB"/>
        </w:rPr>
        <w:t xml:space="preserve"> below.</w:t>
      </w:r>
    </w:p>
    <w:p w14:paraId="4A68DCB9" w14:textId="0C336413" w:rsidR="001A25D2" w:rsidRPr="00662906" w:rsidRDefault="001A25D2" w:rsidP="0011366B">
      <w:pPr>
        <w:pStyle w:val="Bullets"/>
        <w:numPr>
          <w:ilvl w:val="0"/>
          <w:numId w:val="0"/>
        </w:numPr>
        <w:rPr>
          <w:lang w:val="en-GB"/>
        </w:rPr>
      </w:pPr>
    </w:p>
    <w:p w14:paraId="00021C68" w14:textId="6B4ECFFD" w:rsidR="00E95EB9" w:rsidRPr="00662906" w:rsidRDefault="568D03AD" w:rsidP="000F5509">
      <w:pPr>
        <w:pStyle w:val="Caption"/>
      </w:pPr>
      <w:bookmarkStart w:id="661" w:name="_Toc171955598"/>
      <w:bookmarkStart w:id="662" w:name="_Toc176430327"/>
      <w:bookmarkStart w:id="663" w:name="_Toc197433914"/>
      <w:r w:rsidRPr="00662906">
        <w:t xml:space="preserve">Table </w:t>
      </w:r>
      <w:fldSimple w:instr=" SEQ Table \* ARABIC ">
        <w:r w:rsidR="00610F61">
          <w:rPr>
            <w:noProof/>
          </w:rPr>
          <w:t>26</w:t>
        </w:r>
      </w:fldSimple>
      <w:r w:rsidR="0564AFA2" w:rsidRPr="00662906">
        <w:t>: Strategic</w:t>
      </w:r>
      <w:r w:rsidR="4A9BF454" w:rsidRPr="00662906">
        <w:t xml:space="preserve"> Intervention 1: Sustainable supply of natural gas on the continent</w:t>
      </w:r>
      <w:bookmarkEnd w:id="661"/>
      <w:bookmarkEnd w:id="662"/>
      <w:bookmarkEnd w:id="663"/>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9A4E42" w:rsidRPr="00662906" w14:paraId="3012F045" w14:textId="77777777" w:rsidTr="00982692">
        <w:trPr>
          <w:trHeight w:val="360"/>
        </w:trPr>
        <w:tc>
          <w:tcPr>
            <w:tcW w:w="14456" w:type="dxa"/>
            <w:gridSpan w:val="10"/>
            <w:shd w:val="clear" w:color="auto" w:fill="B4A269"/>
          </w:tcPr>
          <w:p w14:paraId="7A5BD54D" w14:textId="168C7DDD" w:rsidR="009A4E42" w:rsidRPr="00662906" w:rsidRDefault="009A4E42" w:rsidP="00982692">
            <w:pPr>
              <w:spacing w:before="60" w:after="60"/>
              <w:ind w:left="-57" w:right="-57"/>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bCs/>
                <w:color w:val="FFFFFF"/>
                <w:sz w:val="16"/>
                <w:szCs w:val="16"/>
              </w:rPr>
              <w:t>Natural gas will remain a key transitional fuel in Africa, supporting power generation, clean cooking, and industrial growth. To meet rising demand, this intervention focuses on strengthening natural gas infrastructure, harmonizing network codes, and planning interconnections that can eventually be repurposed for hydrogen. By establishing regulatory frameworks for product quality and pricing, the pathway ensures sustainable and secure natural gas supply, enabling trade across borders while laying the groundwork for a hydrogen-based energy future.</w:t>
            </w:r>
          </w:p>
        </w:tc>
      </w:tr>
      <w:tr w:rsidR="00F9588F" w:rsidRPr="00662906" w14:paraId="38E4EE0B" w14:textId="77777777" w:rsidTr="00982692">
        <w:trPr>
          <w:trHeight w:val="699"/>
        </w:trPr>
        <w:tc>
          <w:tcPr>
            <w:tcW w:w="1415" w:type="dxa"/>
            <w:gridSpan w:val="2"/>
            <w:shd w:val="clear" w:color="auto" w:fill="B4A269"/>
            <w:tcMar>
              <w:left w:w="57" w:type="dxa"/>
              <w:right w:w="57" w:type="dxa"/>
            </w:tcMar>
            <w:vAlign w:val="center"/>
          </w:tcPr>
          <w:p w14:paraId="6198664C"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2E996CA5" w14:textId="77777777" w:rsidR="009A4E42" w:rsidRPr="00662906" w:rsidRDefault="009A4E42" w:rsidP="00982692">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4EE9B328"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768AEEBA"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4AF556AC"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410ADD20"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58D1E9E4"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0806C4CC"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06B867FB" w14:textId="77777777" w:rsidR="009A4E42" w:rsidRPr="00662906" w:rsidRDefault="009A4E42"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C30468" w:rsidRPr="00662906" w14:paraId="494D5F64" w14:textId="77777777" w:rsidTr="007E6C89">
        <w:trPr>
          <w:trHeight w:val="1413"/>
        </w:trPr>
        <w:tc>
          <w:tcPr>
            <w:tcW w:w="167" w:type="dxa"/>
            <w:shd w:val="clear" w:color="auto" w:fill="FFFFFF"/>
            <w:tcMar>
              <w:left w:w="57" w:type="dxa"/>
              <w:right w:w="57" w:type="dxa"/>
            </w:tcMar>
          </w:tcPr>
          <w:p w14:paraId="38B68D58" w14:textId="77777777" w:rsidR="00C30468" w:rsidRPr="00662906" w:rsidRDefault="00C30468"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4E592C07" w14:textId="661E5C40"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Promote the supply and utilization of NG across the continent</w:t>
            </w:r>
          </w:p>
        </w:tc>
        <w:tc>
          <w:tcPr>
            <w:tcW w:w="3260" w:type="dxa"/>
            <w:tcBorders>
              <w:bottom w:val="single" w:sz="2" w:space="0" w:color="9F2241"/>
            </w:tcBorders>
            <w:shd w:val="clear" w:color="auto" w:fill="FFFFFF"/>
            <w:tcMar>
              <w:left w:w="57" w:type="dxa"/>
              <w:right w:w="57" w:type="dxa"/>
            </w:tcMar>
          </w:tcPr>
          <w:p w14:paraId="7DF080B6" w14:textId="6D84F9EB" w:rsidR="00C30468" w:rsidRPr="00662906" w:rsidRDefault="00C30468" w:rsidP="007E6C89">
            <w:pPr>
              <w:pStyle w:val="ListParagraph"/>
              <w:numPr>
                <w:ilvl w:val="0"/>
                <w:numId w:val="119"/>
              </w:numPr>
              <w:spacing w:before="0" w:after="0"/>
              <w:ind w:left="367"/>
              <w:jc w:val="center"/>
              <w:rPr>
                <w:rFonts w:cs="Arial"/>
                <w:sz w:val="16"/>
                <w:szCs w:val="16"/>
              </w:rPr>
            </w:pPr>
            <w:r w:rsidRPr="00662906">
              <w:rPr>
                <w:rFonts w:cs="Arial"/>
                <w:sz w:val="16"/>
                <w:szCs w:val="16"/>
              </w:rPr>
              <w:t>Conduct outreach campaigns targeting non-producing AU Member States to highlight benefits of NG in power generation, clean cooking, and industry</w:t>
            </w:r>
          </w:p>
          <w:p w14:paraId="0E86D04A" w14:textId="7BA787BB" w:rsidR="00C30468" w:rsidRPr="00662906" w:rsidRDefault="00C30468" w:rsidP="007E6C89">
            <w:pPr>
              <w:pStyle w:val="ListParagraph"/>
              <w:numPr>
                <w:ilvl w:val="0"/>
                <w:numId w:val="119"/>
              </w:numPr>
              <w:spacing w:before="0" w:after="0"/>
              <w:ind w:left="367"/>
              <w:jc w:val="center"/>
              <w:rPr>
                <w:rFonts w:cs="Arial"/>
                <w:sz w:val="16"/>
                <w:szCs w:val="16"/>
              </w:rPr>
            </w:pPr>
            <w:r w:rsidRPr="00662906">
              <w:rPr>
                <w:rFonts w:cs="Arial"/>
                <w:sz w:val="16"/>
                <w:szCs w:val="16"/>
              </w:rPr>
              <w:t>Provide technical assistance on NG project scoping, feasibility studies, and infrastructure development</w:t>
            </w:r>
          </w:p>
          <w:p w14:paraId="4B756285" w14:textId="4342460B" w:rsidR="00C30468" w:rsidRPr="00662906" w:rsidRDefault="00C30468" w:rsidP="007E6C89">
            <w:pPr>
              <w:pStyle w:val="ListParagraph"/>
              <w:numPr>
                <w:ilvl w:val="0"/>
                <w:numId w:val="119"/>
              </w:numPr>
              <w:spacing w:before="0" w:after="0"/>
              <w:ind w:left="367"/>
              <w:jc w:val="center"/>
              <w:rPr>
                <w:rFonts w:cs="Arial"/>
                <w:sz w:val="16"/>
                <w:szCs w:val="16"/>
              </w:rPr>
            </w:pPr>
            <w:r w:rsidRPr="00662906">
              <w:rPr>
                <w:rFonts w:cs="Arial"/>
                <w:sz w:val="16"/>
                <w:szCs w:val="16"/>
              </w:rPr>
              <w:t>Facilitate multi-stakeholder forums (governments, private sector, financiers) to encourage investment in NG value chains</w:t>
            </w:r>
          </w:p>
        </w:tc>
        <w:tc>
          <w:tcPr>
            <w:tcW w:w="1276" w:type="dxa"/>
            <w:shd w:val="clear" w:color="auto" w:fill="FFFFFF"/>
            <w:tcMar>
              <w:left w:w="57" w:type="dxa"/>
              <w:right w:w="57" w:type="dxa"/>
            </w:tcMar>
          </w:tcPr>
          <w:p w14:paraId="71515F28" w14:textId="12EC651F"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59BC6F60" w14:textId="11F01AAD"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59CD273F" w14:textId="77777777" w:rsidR="00C30468" w:rsidRPr="00662906" w:rsidRDefault="00C30468" w:rsidP="007E6C89">
            <w:pPr>
              <w:spacing w:before="40" w:after="40"/>
              <w:jc w:val="center"/>
              <w:rPr>
                <w:rFonts w:cs="Arial"/>
                <w:sz w:val="16"/>
                <w:szCs w:val="16"/>
              </w:rPr>
            </w:pPr>
            <w:r w:rsidRPr="00662906">
              <w:rPr>
                <w:rFonts w:cs="Arial"/>
                <w:sz w:val="16"/>
                <w:szCs w:val="16"/>
              </w:rPr>
              <w:t>Regional and National Energy Regulators, RECs</w:t>
            </w:r>
          </w:p>
          <w:p w14:paraId="2D099ACE" w14:textId="3EE5F831" w:rsidR="00853368" w:rsidRPr="00662906" w:rsidRDefault="00853368" w:rsidP="007E6C89">
            <w:pPr>
              <w:spacing w:before="40" w:after="40"/>
              <w:jc w:val="center"/>
              <w:rPr>
                <w:rFonts w:eastAsia="Arial" w:cs="Arial"/>
                <w:color w:val="53575A"/>
                <w:sz w:val="16"/>
                <w:szCs w:val="16"/>
              </w:rPr>
            </w:pPr>
            <w:r w:rsidRPr="00662906">
              <w:rPr>
                <w:rFonts w:cs="Arial"/>
                <w:sz w:val="16"/>
                <w:szCs w:val="16"/>
              </w:rPr>
              <w:t>Oil companies</w:t>
            </w:r>
          </w:p>
        </w:tc>
        <w:tc>
          <w:tcPr>
            <w:tcW w:w="851" w:type="dxa"/>
            <w:shd w:val="clear" w:color="auto" w:fill="FFFFFF"/>
            <w:tcMar>
              <w:left w:w="57" w:type="dxa"/>
              <w:right w:w="57" w:type="dxa"/>
            </w:tcMar>
          </w:tcPr>
          <w:p w14:paraId="64849E03" w14:textId="71A9368E"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4ED40CC3" w14:textId="601E014B"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Outreach materials and workshop reports</w:t>
            </w:r>
          </w:p>
          <w:p w14:paraId="37FA73A0" w14:textId="5A2FF513"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assistance toolkits</w:t>
            </w:r>
          </w:p>
          <w:p w14:paraId="0D51C6B7" w14:textId="24607644"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Investment prospectus for non-producing states</w:t>
            </w:r>
          </w:p>
        </w:tc>
        <w:tc>
          <w:tcPr>
            <w:tcW w:w="1701" w:type="dxa"/>
            <w:shd w:val="clear" w:color="auto" w:fill="FFFFFF"/>
          </w:tcPr>
          <w:p w14:paraId="15411394" w14:textId="4A24ED7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 xml:space="preserve">Expanded NG consumption </w:t>
            </w:r>
            <w:r w:rsidR="00853368" w:rsidRPr="00662906">
              <w:rPr>
                <w:rFonts w:cs="Arial"/>
                <w:sz w:val="16"/>
                <w:szCs w:val="16"/>
              </w:rPr>
              <w:t xml:space="preserve">and demand </w:t>
            </w:r>
            <w:r w:rsidRPr="00662906">
              <w:rPr>
                <w:rFonts w:cs="Arial"/>
                <w:sz w:val="16"/>
                <w:szCs w:val="16"/>
              </w:rPr>
              <w:t xml:space="preserve">replacing coal and oil, leading to cleaner energy mixes and more reliable supply across </w:t>
            </w:r>
            <w:r w:rsidR="00853368" w:rsidRPr="00662906">
              <w:rPr>
                <w:rFonts w:cs="Arial"/>
                <w:sz w:val="16"/>
                <w:szCs w:val="16"/>
              </w:rPr>
              <w:t>AU-MS</w:t>
            </w:r>
          </w:p>
        </w:tc>
        <w:tc>
          <w:tcPr>
            <w:tcW w:w="1843" w:type="dxa"/>
            <w:shd w:val="clear" w:color="auto" w:fill="FFFFFF"/>
          </w:tcPr>
          <w:p w14:paraId="07A46899" w14:textId="39B6EE9B" w:rsidR="00C30468" w:rsidRPr="00662906" w:rsidRDefault="00C30468"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Investment commitments for NG projects (Yes/No)</w:t>
            </w:r>
          </w:p>
        </w:tc>
      </w:tr>
      <w:tr w:rsidR="00C30468" w:rsidRPr="00662906" w14:paraId="40E51492" w14:textId="77777777" w:rsidTr="007E6C89">
        <w:trPr>
          <w:trHeight w:val="300"/>
        </w:trPr>
        <w:tc>
          <w:tcPr>
            <w:tcW w:w="167" w:type="dxa"/>
            <w:shd w:val="clear" w:color="auto" w:fill="FFFFFF"/>
            <w:tcMar>
              <w:left w:w="57" w:type="dxa"/>
              <w:right w:w="57" w:type="dxa"/>
            </w:tcMar>
          </w:tcPr>
          <w:p w14:paraId="385166CE" w14:textId="77777777" w:rsidR="00C30468" w:rsidRPr="00662906" w:rsidRDefault="00C30468"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25E1C0C2" w14:textId="26EC79F5"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Develop a Continental Gas Master Plan and cross-border NG network codes/standards</w:t>
            </w:r>
          </w:p>
        </w:tc>
        <w:tc>
          <w:tcPr>
            <w:tcW w:w="3260" w:type="dxa"/>
            <w:tcBorders>
              <w:bottom w:val="single" w:sz="4" w:space="0" w:color="9F2241"/>
            </w:tcBorders>
            <w:shd w:val="clear" w:color="auto" w:fill="FFFFFF"/>
            <w:tcMar>
              <w:left w:w="57" w:type="dxa"/>
              <w:right w:w="57" w:type="dxa"/>
            </w:tcMar>
          </w:tcPr>
          <w:p w14:paraId="1DFA0F94" w14:textId="107B3A08" w:rsidR="00C30468" w:rsidRPr="00662906" w:rsidRDefault="00C30468" w:rsidP="007E6C89">
            <w:pPr>
              <w:pStyle w:val="ListParagraph"/>
              <w:numPr>
                <w:ilvl w:val="0"/>
                <w:numId w:val="120"/>
              </w:numPr>
              <w:spacing w:before="40" w:after="40"/>
              <w:ind w:left="367"/>
              <w:jc w:val="center"/>
              <w:rPr>
                <w:rFonts w:eastAsia="Arial" w:cs="Arial"/>
                <w:color w:val="394A58"/>
                <w:sz w:val="16"/>
                <w:szCs w:val="16"/>
              </w:rPr>
            </w:pPr>
            <w:r w:rsidRPr="00662906">
              <w:rPr>
                <w:rFonts w:eastAsia="Arial" w:cs="Arial"/>
                <w:color w:val="394A58"/>
                <w:sz w:val="16"/>
                <w:szCs w:val="16"/>
              </w:rPr>
              <w:t>Consolidate data on existing gas reserves, pipelines, and infrastructure in all AU Member States</w:t>
            </w:r>
          </w:p>
          <w:p w14:paraId="1D346BB2" w14:textId="1D671FE0" w:rsidR="00C30468" w:rsidRPr="00662906" w:rsidRDefault="00C30468" w:rsidP="007E6C89">
            <w:pPr>
              <w:pStyle w:val="ListParagraph"/>
              <w:numPr>
                <w:ilvl w:val="0"/>
                <w:numId w:val="120"/>
              </w:numPr>
              <w:spacing w:before="40" w:after="40"/>
              <w:ind w:left="367"/>
              <w:jc w:val="center"/>
              <w:rPr>
                <w:rFonts w:eastAsia="Arial" w:cs="Arial"/>
                <w:color w:val="394A58"/>
                <w:sz w:val="16"/>
                <w:szCs w:val="16"/>
              </w:rPr>
            </w:pPr>
            <w:r w:rsidRPr="00662906">
              <w:rPr>
                <w:rFonts w:eastAsia="Arial" w:cs="Arial"/>
                <w:color w:val="394A58"/>
                <w:sz w:val="16"/>
                <w:szCs w:val="16"/>
              </w:rPr>
              <w:t>Draft a Continental Gas Master Plan setting targets for production, trade, and interconnectivity</w:t>
            </w:r>
          </w:p>
          <w:p w14:paraId="7F1457B6" w14:textId="20FCC186" w:rsidR="00C30468" w:rsidRPr="00662906" w:rsidRDefault="00C30468" w:rsidP="007E6C89">
            <w:pPr>
              <w:pStyle w:val="ListParagraph"/>
              <w:numPr>
                <w:ilvl w:val="0"/>
                <w:numId w:val="120"/>
              </w:numPr>
              <w:spacing w:before="40" w:after="40"/>
              <w:ind w:left="367"/>
              <w:jc w:val="center"/>
              <w:rPr>
                <w:rFonts w:eastAsia="Arial" w:cs="Arial"/>
                <w:color w:val="394A58"/>
                <w:sz w:val="16"/>
                <w:szCs w:val="16"/>
              </w:rPr>
            </w:pPr>
            <w:r w:rsidRPr="00662906">
              <w:rPr>
                <w:rFonts w:eastAsia="Arial" w:cs="Arial"/>
                <w:color w:val="394A58"/>
                <w:sz w:val="16"/>
                <w:szCs w:val="16"/>
              </w:rPr>
              <w:t>Create or harmonize technical and safety codes for cross-border pipelines</w:t>
            </w:r>
          </w:p>
          <w:p w14:paraId="3D14A6C9" w14:textId="4AA5B867" w:rsidR="00C30468" w:rsidRPr="00662906" w:rsidRDefault="00C30468" w:rsidP="007E6C89">
            <w:pPr>
              <w:pStyle w:val="ListParagraph"/>
              <w:numPr>
                <w:ilvl w:val="0"/>
                <w:numId w:val="120"/>
              </w:numPr>
              <w:spacing w:before="40" w:after="40"/>
              <w:ind w:left="367"/>
              <w:jc w:val="center"/>
              <w:rPr>
                <w:rFonts w:eastAsia="Arial" w:cs="Arial"/>
                <w:color w:val="394A58"/>
                <w:sz w:val="16"/>
                <w:szCs w:val="16"/>
              </w:rPr>
            </w:pPr>
            <w:r w:rsidRPr="00662906">
              <w:rPr>
                <w:rFonts w:eastAsia="Arial" w:cs="Arial"/>
                <w:color w:val="394A58"/>
                <w:sz w:val="16"/>
                <w:szCs w:val="16"/>
              </w:rPr>
              <w:t>Engage policymakers and industry stakeholders to finalize and adopt the plan</w:t>
            </w:r>
          </w:p>
        </w:tc>
        <w:tc>
          <w:tcPr>
            <w:tcW w:w="1276" w:type="dxa"/>
            <w:shd w:val="clear" w:color="auto" w:fill="FFFFFF"/>
            <w:tcMar>
              <w:left w:w="57" w:type="dxa"/>
              <w:right w:w="57" w:type="dxa"/>
            </w:tcMar>
          </w:tcPr>
          <w:p w14:paraId="5C4F498E" w14:textId="039EE21F"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68C5B2F0" w14:textId="01556E8C"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AFREC/AUDA-NEPAD</w:t>
            </w:r>
          </w:p>
        </w:tc>
        <w:tc>
          <w:tcPr>
            <w:tcW w:w="1198" w:type="dxa"/>
            <w:shd w:val="clear" w:color="auto" w:fill="FFFFFF"/>
            <w:tcMar>
              <w:left w:w="57" w:type="dxa"/>
              <w:right w:w="57" w:type="dxa"/>
            </w:tcMar>
          </w:tcPr>
          <w:p w14:paraId="080FC145" w14:textId="77777777" w:rsidR="00C30468" w:rsidRPr="00662906" w:rsidRDefault="00C30468" w:rsidP="007E6C89">
            <w:pPr>
              <w:spacing w:before="40" w:after="40"/>
              <w:jc w:val="center"/>
              <w:rPr>
                <w:rFonts w:cs="Arial"/>
                <w:sz w:val="16"/>
                <w:szCs w:val="16"/>
              </w:rPr>
            </w:pPr>
            <w:r w:rsidRPr="00662906">
              <w:rPr>
                <w:rFonts w:cs="Arial"/>
                <w:sz w:val="16"/>
                <w:szCs w:val="16"/>
              </w:rPr>
              <w:t>RECs, Regional Energy Directorates, Ministries in charge of Energy/Petroleum</w:t>
            </w:r>
          </w:p>
          <w:p w14:paraId="036E7FAD" w14:textId="6CD547F5" w:rsidR="00952C5A" w:rsidRPr="00662906" w:rsidRDefault="00952C5A" w:rsidP="007E6C89">
            <w:pPr>
              <w:spacing w:before="40" w:after="40"/>
              <w:jc w:val="center"/>
              <w:rPr>
                <w:rFonts w:eastAsia="Arial" w:cs="Arial"/>
                <w:color w:val="53575A"/>
                <w:sz w:val="16"/>
                <w:szCs w:val="16"/>
              </w:rPr>
            </w:pPr>
            <w:r w:rsidRPr="00662906">
              <w:rPr>
                <w:rFonts w:cs="Arial"/>
                <w:sz w:val="16"/>
                <w:szCs w:val="16"/>
              </w:rPr>
              <w:t>Oil and NG producing companies</w:t>
            </w:r>
          </w:p>
        </w:tc>
        <w:tc>
          <w:tcPr>
            <w:tcW w:w="851" w:type="dxa"/>
            <w:shd w:val="clear" w:color="auto" w:fill="FFFFFF"/>
            <w:tcMar>
              <w:left w:w="57" w:type="dxa"/>
              <w:right w:w="57" w:type="dxa"/>
            </w:tcMar>
          </w:tcPr>
          <w:p w14:paraId="4124C532" w14:textId="243D0265"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6B5CD519" w14:textId="6DFE8181"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Continental Gas Master Plan</w:t>
            </w:r>
          </w:p>
          <w:p w14:paraId="63680FCC" w14:textId="60EAC70E"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Harmonized cross-border pipeline codes</w:t>
            </w:r>
          </w:p>
          <w:p w14:paraId="085AB94B" w14:textId="41BE78B2"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Policy dialogue outcomes</w:t>
            </w:r>
          </w:p>
        </w:tc>
        <w:tc>
          <w:tcPr>
            <w:tcW w:w="1701" w:type="dxa"/>
            <w:shd w:val="clear" w:color="auto" w:fill="FFFFFF"/>
          </w:tcPr>
          <w:p w14:paraId="1B8332B0" w14:textId="1213B64F"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Robust gas infrastructure and well-coordinated policy frameworks enabling seamless trade, secure supply, and readiness for future hydrogen integration</w:t>
            </w:r>
          </w:p>
        </w:tc>
        <w:tc>
          <w:tcPr>
            <w:tcW w:w="1843" w:type="dxa"/>
            <w:shd w:val="clear" w:color="auto" w:fill="FFFFFF"/>
          </w:tcPr>
          <w:p w14:paraId="5342B34B" w14:textId="39F83047" w:rsidR="00C30468" w:rsidRPr="00662906" w:rsidRDefault="00952C5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Investment ready </w:t>
            </w:r>
            <w:r w:rsidR="00C30468" w:rsidRPr="00662906">
              <w:rPr>
                <w:rFonts w:eastAsia="Arial" w:cs="Arial"/>
                <w:color w:val="53575A"/>
                <w:sz w:val="16"/>
                <w:szCs w:val="16"/>
              </w:rPr>
              <w:t xml:space="preserve">Gas Master Plan </w:t>
            </w:r>
            <w:r w:rsidRPr="00662906">
              <w:rPr>
                <w:rFonts w:eastAsia="Arial" w:cs="Arial"/>
                <w:color w:val="53575A"/>
                <w:sz w:val="16"/>
                <w:szCs w:val="16"/>
              </w:rPr>
              <w:t xml:space="preserve"> and infrastructure and fuel quality </w:t>
            </w:r>
            <w:r w:rsidR="00FA7109" w:rsidRPr="00662906">
              <w:rPr>
                <w:rFonts w:eastAsia="Arial" w:cs="Arial"/>
                <w:color w:val="53575A"/>
                <w:sz w:val="16"/>
                <w:szCs w:val="16"/>
              </w:rPr>
              <w:t>standards</w:t>
            </w:r>
            <w:r w:rsidRPr="00662906">
              <w:rPr>
                <w:rFonts w:eastAsia="Arial" w:cs="Arial"/>
                <w:color w:val="53575A"/>
                <w:sz w:val="16"/>
                <w:szCs w:val="16"/>
              </w:rPr>
              <w:t xml:space="preserve"> and codes</w:t>
            </w:r>
            <w:r w:rsidR="00F37486" w:rsidRPr="00662906">
              <w:rPr>
                <w:rFonts w:eastAsia="Arial" w:cs="Arial"/>
                <w:color w:val="53575A"/>
                <w:sz w:val="16"/>
                <w:szCs w:val="16"/>
              </w:rPr>
              <w:t xml:space="preserve"> </w:t>
            </w:r>
            <w:r w:rsidR="00C30468" w:rsidRPr="00662906">
              <w:rPr>
                <w:rFonts w:eastAsia="Arial" w:cs="Arial"/>
                <w:color w:val="53575A"/>
                <w:sz w:val="16"/>
                <w:szCs w:val="16"/>
              </w:rPr>
              <w:t>published (Yes/No)</w:t>
            </w:r>
          </w:p>
        </w:tc>
      </w:tr>
      <w:tr w:rsidR="00C30468" w:rsidRPr="00662906" w14:paraId="090BAD78" w14:textId="77777777" w:rsidTr="007E6C89">
        <w:trPr>
          <w:trHeight w:val="300"/>
        </w:trPr>
        <w:tc>
          <w:tcPr>
            <w:tcW w:w="167" w:type="dxa"/>
            <w:shd w:val="clear" w:color="auto" w:fill="FFFFFF"/>
            <w:tcMar>
              <w:left w:w="57" w:type="dxa"/>
              <w:right w:w="57" w:type="dxa"/>
            </w:tcMar>
          </w:tcPr>
          <w:p w14:paraId="2F52F417" w14:textId="77777777" w:rsidR="00C30468" w:rsidRPr="00662906" w:rsidRDefault="00C30468"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1C6AE209" w14:textId="590F6120"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Develop continental refined products (including synthetic fuels) standards and pricing mechanisms</w:t>
            </w:r>
          </w:p>
        </w:tc>
        <w:tc>
          <w:tcPr>
            <w:tcW w:w="3260" w:type="dxa"/>
            <w:tcBorders>
              <w:top w:val="single" w:sz="4" w:space="0" w:color="9F2241"/>
              <w:left w:val="nil"/>
              <w:bottom w:val="single" w:sz="4" w:space="0" w:color="9F2241"/>
              <w:right w:val="nil"/>
            </w:tcBorders>
            <w:tcMar>
              <w:left w:w="57" w:type="dxa"/>
              <w:right w:w="57" w:type="dxa"/>
            </w:tcMar>
          </w:tcPr>
          <w:p w14:paraId="6024D9E3" w14:textId="320857EA" w:rsidR="00C30468" w:rsidRPr="00662906" w:rsidRDefault="00C30468" w:rsidP="007E6C89">
            <w:pPr>
              <w:pStyle w:val="ListParagraph"/>
              <w:numPr>
                <w:ilvl w:val="0"/>
                <w:numId w:val="121"/>
              </w:numPr>
              <w:spacing w:before="40" w:after="40"/>
              <w:ind w:left="367"/>
              <w:jc w:val="center"/>
              <w:rPr>
                <w:rFonts w:eastAsia="Arial" w:cs="Arial"/>
                <w:color w:val="394A58"/>
                <w:sz w:val="16"/>
                <w:szCs w:val="16"/>
              </w:rPr>
            </w:pPr>
            <w:r w:rsidRPr="00662906">
              <w:rPr>
                <w:rFonts w:eastAsia="Arial" w:cs="Arial"/>
                <w:color w:val="394A58"/>
                <w:sz w:val="16"/>
                <w:szCs w:val="16"/>
              </w:rPr>
              <w:t>Assess existing refinery capacity and synthetic fuel production capabilities</w:t>
            </w:r>
            <w:r w:rsidR="00952C5A" w:rsidRPr="00662906">
              <w:rPr>
                <w:rFonts w:eastAsia="Arial" w:cs="Arial"/>
                <w:color w:val="394A58"/>
                <w:sz w:val="16"/>
                <w:szCs w:val="16"/>
              </w:rPr>
              <w:t xml:space="preserve"> and quality standards</w:t>
            </w:r>
          </w:p>
          <w:p w14:paraId="00C7C345" w14:textId="0D340F77" w:rsidR="00C30468" w:rsidRPr="00662906" w:rsidRDefault="00C30468" w:rsidP="007E6C89">
            <w:pPr>
              <w:pStyle w:val="ListParagraph"/>
              <w:numPr>
                <w:ilvl w:val="0"/>
                <w:numId w:val="121"/>
              </w:numPr>
              <w:spacing w:before="40" w:after="40"/>
              <w:ind w:left="367"/>
              <w:jc w:val="center"/>
              <w:rPr>
                <w:rFonts w:eastAsia="Arial" w:cs="Arial"/>
                <w:color w:val="394A58"/>
                <w:sz w:val="16"/>
                <w:szCs w:val="16"/>
              </w:rPr>
            </w:pPr>
            <w:r w:rsidRPr="00662906">
              <w:rPr>
                <w:rFonts w:eastAsia="Arial" w:cs="Arial"/>
                <w:color w:val="394A58"/>
                <w:sz w:val="16"/>
                <w:szCs w:val="16"/>
              </w:rPr>
              <w:t>Draft standardized quality specifications and pricing guidelines for refined products</w:t>
            </w:r>
          </w:p>
          <w:p w14:paraId="0A9AD8EE" w14:textId="6DC89E3E" w:rsidR="00C30468" w:rsidRPr="00662906" w:rsidRDefault="00C30468" w:rsidP="007E6C89">
            <w:pPr>
              <w:pStyle w:val="ListParagraph"/>
              <w:numPr>
                <w:ilvl w:val="0"/>
                <w:numId w:val="121"/>
              </w:numPr>
              <w:spacing w:before="40" w:after="40"/>
              <w:ind w:left="367"/>
              <w:jc w:val="center"/>
              <w:rPr>
                <w:rFonts w:eastAsia="Arial" w:cs="Arial"/>
                <w:color w:val="394A58"/>
                <w:sz w:val="16"/>
                <w:szCs w:val="16"/>
              </w:rPr>
            </w:pPr>
            <w:r w:rsidRPr="00662906">
              <w:rPr>
                <w:rFonts w:eastAsia="Arial" w:cs="Arial"/>
                <w:color w:val="394A58"/>
                <w:sz w:val="16"/>
                <w:szCs w:val="16"/>
              </w:rPr>
              <w:t>Host validation workshops with regional/national authorities and</w:t>
            </w:r>
            <w:r w:rsidR="00B4701B" w:rsidRPr="00662906">
              <w:t xml:space="preserve"> </w:t>
            </w:r>
            <w:r w:rsidR="00B4701B" w:rsidRPr="00662906">
              <w:rPr>
                <w:rFonts w:eastAsia="Arial" w:cs="Arial"/>
                <w:color w:val="394A58"/>
                <w:sz w:val="16"/>
                <w:szCs w:val="16"/>
              </w:rPr>
              <w:t>African Refiners &amp; Distributors Association (</w:t>
            </w:r>
            <w:r w:rsidRPr="00662906">
              <w:rPr>
                <w:rFonts w:eastAsia="Arial" w:cs="Arial"/>
                <w:color w:val="394A58"/>
                <w:sz w:val="16"/>
                <w:szCs w:val="16"/>
              </w:rPr>
              <w:t>ARDA</w:t>
            </w:r>
            <w:r w:rsidR="00B4701B" w:rsidRPr="00662906">
              <w:rPr>
                <w:rFonts w:eastAsia="Arial" w:cs="Arial"/>
                <w:color w:val="394A58"/>
                <w:sz w:val="16"/>
                <w:szCs w:val="16"/>
              </w:rPr>
              <w:t>)</w:t>
            </w:r>
          </w:p>
          <w:p w14:paraId="51C9C641" w14:textId="40AFB22E" w:rsidR="00C30468" w:rsidRPr="00662906" w:rsidRDefault="00C30468" w:rsidP="007E6C89">
            <w:pPr>
              <w:pStyle w:val="ListParagraph"/>
              <w:numPr>
                <w:ilvl w:val="0"/>
                <w:numId w:val="121"/>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Publish final standards and promote adoption across Member States</w:t>
            </w:r>
          </w:p>
        </w:tc>
        <w:tc>
          <w:tcPr>
            <w:tcW w:w="1276" w:type="dxa"/>
            <w:shd w:val="clear" w:color="auto" w:fill="FFFFFF"/>
            <w:tcMar>
              <w:left w:w="57" w:type="dxa"/>
              <w:right w:w="57" w:type="dxa"/>
            </w:tcMar>
          </w:tcPr>
          <w:p w14:paraId="44C784C7" w14:textId="5391A166" w:rsidR="00C30468" w:rsidRPr="00662906" w:rsidRDefault="00C30468" w:rsidP="007E6C89">
            <w:pPr>
              <w:spacing w:before="40" w:after="40"/>
              <w:jc w:val="center"/>
              <w:rPr>
                <w:rFonts w:eastAsia="Arial" w:cs="Arial"/>
                <w:color w:val="53575A"/>
                <w:sz w:val="16"/>
                <w:szCs w:val="16"/>
              </w:rPr>
            </w:pPr>
            <w:r w:rsidRPr="00662906">
              <w:rPr>
                <w:rFonts w:cs="Arial"/>
                <w:sz w:val="16"/>
                <w:szCs w:val="16"/>
              </w:rPr>
              <w:lastRenderedPageBreak/>
              <w:t>Continental</w:t>
            </w:r>
          </w:p>
        </w:tc>
        <w:tc>
          <w:tcPr>
            <w:tcW w:w="1070" w:type="dxa"/>
            <w:shd w:val="clear" w:color="auto" w:fill="FFFFFF"/>
            <w:tcMar>
              <w:left w:w="57" w:type="dxa"/>
              <w:right w:w="57" w:type="dxa"/>
            </w:tcMar>
          </w:tcPr>
          <w:p w14:paraId="353DA5FA" w14:textId="14E9B58D"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AFUR</w:t>
            </w:r>
          </w:p>
        </w:tc>
        <w:tc>
          <w:tcPr>
            <w:tcW w:w="1198" w:type="dxa"/>
            <w:shd w:val="clear" w:color="auto" w:fill="FFFFFF"/>
            <w:tcMar>
              <w:left w:w="57" w:type="dxa"/>
              <w:right w:w="57" w:type="dxa"/>
            </w:tcMar>
          </w:tcPr>
          <w:p w14:paraId="509F1DF4" w14:textId="371AD1D1" w:rsidR="00C30468" w:rsidRPr="00662906" w:rsidRDefault="00952C5A" w:rsidP="007E6C89">
            <w:pPr>
              <w:spacing w:before="40" w:after="40"/>
              <w:jc w:val="center"/>
              <w:rPr>
                <w:rFonts w:cs="Arial"/>
                <w:sz w:val="16"/>
                <w:szCs w:val="16"/>
              </w:rPr>
            </w:pPr>
            <w:r w:rsidRPr="00662906">
              <w:rPr>
                <w:rFonts w:cs="Arial"/>
                <w:sz w:val="16"/>
                <w:szCs w:val="16"/>
              </w:rPr>
              <w:t>AFSEC/ARSO</w:t>
            </w:r>
            <w:r w:rsidR="001B08A4" w:rsidRPr="00662906">
              <w:rPr>
                <w:rFonts w:cs="Arial"/>
                <w:sz w:val="16"/>
                <w:szCs w:val="16"/>
              </w:rPr>
              <w:t xml:space="preserve"> </w:t>
            </w:r>
            <w:r w:rsidR="00C30468" w:rsidRPr="00662906">
              <w:rPr>
                <w:rFonts w:cs="Arial"/>
                <w:sz w:val="16"/>
                <w:szCs w:val="16"/>
              </w:rPr>
              <w:t>AFREC, Regional Energy Directorates, Ministries in charge of Energy/Petroleum, ARDA</w:t>
            </w:r>
          </w:p>
          <w:p w14:paraId="19153FF0" w14:textId="7D00732C" w:rsidR="00952C5A" w:rsidRPr="00662906" w:rsidRDefault="00952C5A" w:rsidP="007E6C89">
            <w:pPr>
              <w:spacing w:before="40" w:after="40"/>
              <w:jc w:val="center"/>
              <w:rPr>
                <w:rFonts w:eastAsia="Arial" w:cs="Arial"/>
                <w:color w:val="53575A"/>
                <w:sz w:val="16"/>
                <w:szCs w:val="16"/>
              </w:rPr>
            </w:pPr>
            <w:r w:rsidRPr="00662906">
              <w:rPr>
                <w:rFonts w:cs="Arial"/>
                <w:sz w:val="16"/>
                <w:szCs w:val="16"/>
              </w:rPr>
              <w:lastRenderedPageBreak/>
              <w:t>Oil and NG companies</w:t>
            </w:r>
          </w:p>
        </w:tc>
        <w:tc>
          <w:tcPr>
            <w:tcW w:w="851" w:type="dxa"/>
            <w:shd w:val="clear" w:color="auto" w:fill="FFFFFF"/>
            <w:tcMar>
              <w:left w:w="57" w:type="dxa"/>
              <w:right w:w="57" w:type="dxa"/>
            </w:tcMar>
          </w:tcPr>
          <w:p w14:paraId="5F42A50A" w14:textId="7EA7B31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lastRenderedPageBreak/>
              <w:t>Short Term</w:t>
            </w:r>
          </w:p>
        </w:tc>
        <w:tc>
          <w:tcPr>
            <w:tcW w:w="1842" w:type="dxa"/>
            <w:shd w:val="clear" w:color="auto" w:fill="FFFFFF"/>
          </w:tcPr>
          <w:p w14:paraId="496987CD" w14:textId="38A19233"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Refinery capacity </w:t>
            </w:r>
            <w:r w:rsidR="00952C5A" w:rsidRPr="00662906">
              <w:rPr>
                <w:rFonts w:eastAsia="Arial" w:cs="Arial"/>
                <w:color w:val="53575A"/>
                <w:sz w:val="16"/>
                <w:szCs w:val="16"/>
              </w:rPr>
              <w:t xml:space="preserve">and quality standards </w:t>
            </w:r>
            <w:r w:rsidRPr="00662906">
              <w:rPr>
                <w:rFonts w:eastAsia="Arial" w:cs="Arial"/>
                <w:color w:val="53575A"/>
                <w:sz w:val="16"/>
                <w:szCs w:val="16"/>
              </w:rPr>
              <w:t>assessment report</w:t>
            </w:r>
          </w:p>
          <w:p w14:paraId="708B9C09" w14:textId="5B5607F1"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refined product standards and pricing guidelines</w:t>
            </w:r>
          </w:p>
          <w:p w14:paraId="71468F2E" w14:textId="729FBE59" w:rsidR="00C30468" w:rsidRPr="00662906" w:rsidRDefault="00F9588F"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w:t>
            </w:r>
            <w:r w:rsidR="00C30468" w:rsidRPr="00662906">
              <w:rPr>
                <w:rFonts w:eastAsia="Arial" w:cs="Arial"/>
                <w:color w:val="53575A"/>
                <w:sz w:val="16"/>
                <w:szCs w:val="16"/>
              </w:rPr>
              <w:t xml:space="preserve">orkshop proceedings and </w:t>
            </w:r>
            <w:r w:rsidR="00C30468" w:rsidRPr="00662906">
              <w:rPr>
                <w:rFonts w:eastAsia="Arial" w:cs="Arial"/>
                <w:color w:val="53575A"/>
                <w:sz w:val="16"/>
                <w:szCs w:val="16"/>
              </w:rPr>
              <w:lastRenderedPageBreak/>
              <w:t>finalized standards</w:t>
            </w:r>
          </w:p>
        </w:tc>
        <w:tc>
          <w:tcPr>
            <w:tcW w:w="1701" w:type="dxa"/>
            <w:shd w:val="clear" w:color="auto" w:fill="FFFFFF"/>
          </w:tcPr>
          <w:p w14:paraId="3AEFD79D" w14:textId="1945BAC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lastRenderedPageBreak/>
              <w:t>Transparent, predictable pricing and quality standards for refined products and synthetic fuels, ensuring reliability for both domestic markets and cross-border trade</w:t>
            </w:r>
          </w:p>
        </w:tc>
        <w:tc>
          <w:tcPr>
            <w:tcW w:w="1843" w:type="dxa"/>
            <w:shd w:val="clear" w:color="auto" w:fill="FFFFFF"/>
          </w:tcPr>
          <w:p w14:paraId="495C605C" w14:textId="6A73C5F2" w:rsidR="00952C5A" w:rsidRPr="00662906" w:rsidRDefault="00952C5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Adoption of Harmonized continental </w:t>
            </w:r>
            <w:r w:rsidR="00C30468" w:rsidRPr="00662906">
              <w:rPr>
                <w:rFonts w:eastAsia="Arial" w:cs="Arial"/>
                <w:color w:val="53575A"/>
                <w:sz w:val="16"/>
                <w:szCs w:val="16"/>
              </w:rPr>
              <w:t xml:space="preserve">standards </w:t>
            </w:r>
            <w:r w:rsidRPr="00662906">
              <w:rPr>
                <w:rFonts w:eastAsia="Arial" w:cs="Arial"/>
                <w:color w:val="53575A"/>
                <w:sz w:val="16"/>
                <w:szCs w:val="16"/>
              </w:rPr>
              <w:t>and pricing for the refined products produced and traded on the continent</w:t>
            </w:r>
          </w:p>
          <w:p w14:paraId="62871ADC" w14:textId="4E846D27" w:rsidR="00C30468" w:rsidRPr="00662906" w:rsidRDefault="00C30468"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(Yes/No)</w:t>
            </w:r>
          </w:p>
          <w:p w14:paraId="2C7E6C40" w14:textId="4CCEFC6F" w:rsidR="00C30468" w:rsidRPr="00662906" w:rsidRDefault="00C30468" w:rsidP="007E6C89">
            <w:pPr>
              <w:spacing w:before="40" w:after="40"/>
              <w:jc w:val="center"/>
              <w:rPr>
                <w:rFonts w:eastAsia="Arial" w:cs="Arial"/>
                <w:color w:val="53575A"/>
                <w:sz w:val="16"/>
                <w:szCs w:val="16"/>
              </w:rPr>
            </w:pPr>
          </w:p>
        </w:tc>
      </w:tr>
      <w:tr w:rsidR="00C30468" w:rsidRPr="00662906" w14:paraId="76D78FAF" w14:textId="77777777" w:rsidTr="007E6C89">
        <w:trPr>
          <w:trHeight w:val="300"/>
        </w:trPr>
        <w:tc>
          <w:tcPr>
            <w:tcW w:w="167" w:type="dxa"/>
            <w:shd w:val="clear" w:color="auto" w:fill="FFFFFF"/>
            <w:tcMar>
              <w:left w:w="57" w:type="dxa"/>
              <w:right w:w="57" w:type="dxa"/>
            </w:tcMar>
          </w:tcPr>
          <w:p w14:paraId="200A7C62" w14:textId="77777777" w:rsidR="00C30468" w:rsidRPr="00662906" w:rsidRDefault="00C30468"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4D528063" w14:textId="3E0E008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Harmonize gas regulations for trade (fuel standards, pricing)</w:t>
            </w:r>
          </w:p>
        </w:tc>
        <w:tc>
          <w:tcPr>
            <w:tcW w:w="3260" w:type="dxa"/>
            <w:tcBorders>
              <w:top w:val="single" w:sz="4" w:space="0" w:color="9F2241"/>
              <w:left w:val="nil"/>
              <w:bottom w:val="single" w:sz="4" w:space="0" w:color="9F2241"/>
              <w:right w:val="nil"/>
            </w:tcBorders>
            <w:tcMar>
              <w:left w:w="57" w:type="dxa"/>
              <w:right w:w="57" w:type="dxa"/>
            </w:tcMar>
          </w:tcPr>
          <w:p w14:paraId="2621279C" w14:textId="3E36C569" w:rsidR="00C30468" w:rsidRPr="00662906" w:rsidRDefault="00C30468" w:rsidP="007E6C89">
            <w:pPr>
              <w:pStyle w:val="ListParagraph"/>
              <w:numPr>
                <w:ilvl w:val="0"/>
                <w:numId w:val="122"/>
              </w:numPr>
              <w:spacing w:before="40" w:after="40"/>
              <w:ind w:left="367"/>
              <w:jc w:val="center"/>
              <w:rPr>
                <w:rFonts w:eastAsia="Arial" w:cs="Arial"/>
                <w:color w:val="394A58"/>
                <w:sz w:val="16"/>
                <w:szCs w:val="16"/>
              </w:rPr>
            </w:pPr>
            <w:r w:rsidRPr="00662906">
              <w:rPr>
                <w:rFonts w:eastAsia="Arial" w:cs="Arial"/>
                <w:color w:val="394A58"/>
                <w:sz w:val="16"/>
                <w:szCs w:val="16"/>
              </w:rPr>
              <w:t>Conduct benchmarking studies on international gas price indices and quality requirements</w:t>
            </w:r>
          </w:p>
          <w:p w14:paraId="60F94930" w14:textId="1DB123DB" w:rsidR="00C30468" w:rsidRPr="00662906" w:rsidRDefault="00C30468" w:rsidP="007E6C89">
            <w:pPr>
              <w:pStyle w:val="ListParagraph"/>
              <w:numPr>
                <w:ilvl w:val="0"/>
                <w:numId w:val="122"/>
              </w:numPr>
              <w:spacing w:before="40" w:after="40"/>
              <w:ind w:left="367"/>
              <w:jc w:val="center"/>
              <w:rPr>
                <w:rFonts w:eastAsia="Arial" w:cs="Arial"/>
                <w:color w:val="394A58"/>
                <w:sz w:val="16"/>
                <w:szCs w:val="16"/>
              </w:rPr>
            </w:pPr>
            <w:r w:rsidRPr="00662906">
              <w:rPr>
                <w:rFonts w:eastAsia="Arial" w:cs="Arial"/>
                <w:color w:val="394A58"/>
                <w:sz w:val="16"/>
                <w:szCs w:val="16"/>
              </w:rPr>
              <w:t>Draft guidelines aligning African gas trade with global best practices</w:t>
            </w:r>
          </w:p>
          <w:p w14:paraId="56799525" w14:textId="741C7BCB" w:rsidR="00C30468" w:rsidRPr="00662906" w:rsidRDefault="00C30468" w:rsidP="007E6C89">
            <w:pPr>
              <w:pStyle w:val="ListParagraph"/>
              <w:numPr>
                <w:ilvl w:val="0"/>
                <w:numId w:val="122"/>
              </w:numPr>
              <w:spacing w:before="40" w:after="40"/>
              <w:ind w:left="367"/>
              <w:jc w:val="center"/>
              <w:rPr>
                <w:rFonts w:eastAsia="Arial" w:cs="Arial"/>
                <w:color w:val="394A58"/>
                <w:sz w:val="16"/>
                <w:szCs w:val="16"/>
              </w:rPr>
            </w:pPr>
            <w:r w:rsidRPr="00662906">
              <w:rPr>
                <w:rFonts w:eastAsia="Arial" w:cs="Arial"/>
                <w:color w:val="394A58"/>
                <w:sz w:val="16"/>
                <w:szCs w:val="16"/>
              </w:rPr>
              <w:t>Organize training sessions for regulators on new standards</w:t>
            </w:r>
          </w:p>
          <w:p w14:paraId="36E965D5" w14:textId="485FA509" w:rsidR="00C30468" w:rsidRPr="00662906" w:rsidRDefault="00C30468" w:rsidP="007E6C89">
            <w:pPr>
              <w:pStyle w:val="ListParagraph"/>
              <w:numPr>
                <w:ilvl w:val="0"/>
                <w:numId w:val="122"/>
              </w:numPr>
              <w:spacing w:before="40" w:after="40"/>
              <w:ind w:left="367"/>
              <w:jc w:val="center"/>
              <w:rPr>
                <w:rFonts w:eastAsia="Arial" w:cs="Arial"/>
                <w:color w:val="394A58"/>
                <w:sz w:val="16"/>
                <w:szCs w:val="16"/>
              </w:rPr>
            </w:pPr>
            <w:r w:rsidRPr="00662906">
              <w:rPr>
                <w:rFonts w:eastAsia="Arial" w:cs="Arial"/>
                <w:color w:val="394A58"/>
                <w:sz w:val="16"/>
                <w:szCs w:val="16"/>
              </w:rPr>
              <w:t>Establish monitoring and reporting mechanisms for compliance</w:t>
            </w:r>
          </w:p>
        </w:tc>
        <w:tc>
          <w:tcPr>
            <w:tcW w:w="1276" w:type="dxa"/>
            <w:shd w:val="clear" w:color="auto" w:fill="FFFFFF"/>
            <w:tcMar>
              <w:left w:w="57" w:type="dxa"/>
              <w:right w:w="57" w:type="dxa"/>
            </w:tcMar>
          </w:tcPr>
          <w:p w14:paraId="32F46044" w14:textId="028DCDAD"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641DD9E8" w14:textId="15181D5F"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AFUR</w:t>
            </w:r>
          </w:p>
        </w:tc>
        <w:tc>
          <w:tcPr>
            <w:tcW w:w="1198" w:type="dxa"/>
            <w:shd w:val="clear" w:color="auto" w:fill="FFFFFF"/>
            <w:tcMar>
              <w:left w:w="57" w:type="dxa"/>
              <w:right w:w="57" w:type="dxa"/>
            </w:tcMar>
          </w:tcPr>
          <w:p w14:paraId="3BB76238" w14:textId="77777777" w:rsidR="00C30468" w:rsidRPr="00662906" w:rsidRDefault="00C30468" w:rsidP="007E6C89">
            <w:pPr>
              <w:spacing w:before="40" w:after="40"/>
              <w:jc w:val="center"/>
              <w:rPr>
                <w:rFonts w:cs="Arial"/>
                <w:sz w:val="16"/>
                <w:szCs w:val="16"/>
              </w:rPr>
            </w:pPr>
            <w:r w:rsidRPr="00662906">
              <w:rPr>
                <w:rFonts w:cs="Arial"/>
                <w:sz w:val="16"/>
                <w:szCs w:val="16"/>
              </w:rPr>
              <w:t>AFSEC, Regional/National Energy Regulators</w:t>
            </w:r>
          </w:p>
          <w:p w14:paraId="683D84E0" w14:textId="0EB35D87" w:rsidR="00952C5A" w:rsidRPr="00662906" w:rsidRDefault="00952C5A" w:rsidP="007E6C89">
            <w:pPr>
              <w:spacing w:before="40" w:after="40"/>
              <w:jc w:val="center"/>
              <w:rPr>
                <w:rFonts w:eastAsia="Arial" w:cs="Arial"/>
                <w:color w:val="53575A"/>
                <w:sz w:val="16"/>
                <w:szCs w:val="16"/>
              </w:rPr>
            </w:pPr>
            <w:r w:rsidRPr="00662906">
              <w:rPr>
                <w:rFonts w:cs="Arial"/>
                <w:sz w:val="16"/>
                <w:szCs w:val="16"/>
              </w:rPr>
              <w:t>Oil and NG companies</w:t>
            </w:r>
          </w:p>
        </w:tc>
        <w:tc>
          <w:tcPr>
            <w:tcW w:w="851" w:type="dxa"/>
            <w:shd w:val="clear" w:color="auto" w:fill="FFFFFF"/>
            <w:tcMar>
              <w:left w:w="57" w:type="dxa"/>
              <w:right w:w="57" w:type="dxa"/>
            </w:tcMar>
          </w:tcPr>
          <w:p w14:paraId="1B1F7F49" w14:textId="773A232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51215BAC" w14:textId="75AAEC40"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Comparative study of gas price/quality benchmarks</w:t>
            </w:r>
          </w:p>
          <w:p w14:paraId="07C6ADFA" w14:textId="6B6D4AAD"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Gas trading guidelines</w:t>
            </w:r>
          </w:p>
          <w:p w14:paraId="72182675" w14:textId="6CE75D5B"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Regulator training materials</w:t>
            </w:r>
          </w:p>
        </w:tc>
        <w:tc>
          <w:tcPr>
            <w:tcW w:w="1701" w:type="dxa"/>
            <w:shd w:val="clear" w:color="auto" w:fill="FFFFFF"/>
          </w:tcPr>
          <w:p w14:paraId="23883D88" w14:textId="231A77F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Unified African gas market that adheres to global standards, boosting investor confidence and ensuring competitive gas pricing for industrial and residential users</w:t>
            </w:r>
          </w:p>
        </w:tc>
        <w:tc>
          <w:tcPr>
            <w:tcW w:w="1843" w:type="dxa"/>
            <w:shd w:val="clear" w:color="auto" w:fill="FFFFFF"/>
          </w:tcPr>
          <w:p w14:paraId="18E07AE6" w14:textId="5B16206D" w:rsidR="00C30468" w:rsidRPr="00662906" w:rsidRDefault="00952C5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Regulated and monitored NG market Guidelines aligned to best practice, </w:t>
            </w:r>
            <w:r w:rsidR="00C30468" w:rsidRPr="00662906">
              <w:rPr>
                <w:rFonts w:eastAsia="Arial" w:cs="Arial"/>
                <w:color w:val="53575A"/>
                <w:sz w:val="16"/>
                <w:szCs w:val="16"/>
              </w:rPr>
              <w:t>finalized (Yes/No)</w:t>
            </w:r>
          </w:p>
        </w:tc>
      </w:tr>
      <w:tr w:rsidR="00C30468" w:rsidRPr="00662906" w14:paraId="601499E7" w14:textId="77777777" w:rsidTr="007E6C89">
        <w:trPr>
          <w:trHeight w:val="300"/>
        </w:trPr>
        <w:tc>
          <w:tcPr>
            <w:tcW w:w="167" w:type="dxa"/>
            <w:shd w:val="clear" w:color="auto" w:fill="FFFFFF"/>
            <w:tcMar>
              <w:left w:w="57" w:type="dxa"/>
              <w:right w:w="57" w:type="dxa"/>
            </w:tcMar>
          </w:tcPr>
          <w:p w14:paraId="46B02D60" w14:textId="77777777" w:rsidR="00C30468" w:rsidRPr="00662906" w:rsidRDefault="00C30468"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6FC99F01" w14:textId="3A366D0B"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Establish harmonized regulatory and institutional framework</w:t>
            </w:r>
          </w:p>
        </w:tc>
        <w:tc>
          <w:tcPr>
            <w:tcW w:w="3260" w:type="dxa"/>
            <w:tcBorders>
              <w:top w:val="single" w:sz="4" w:space="0" w:color="9F2241"/>
              <w:left w:val="nil"/>
              <w:bottom w:val="single" w:sz="4" w:space="0" w:color="9F2241"/>
              <w:right w:val="nil"/>
            </w:tcBorders>
            <w:tcMar>
              <w:left w:w="57" w:type="dxa"/>
              <w:right w:w="57" w:type="dxa"/>
            </w:tcMar>
          </w:tcPr>
          <w:p w14:paraId="3BE3BD22" w14:textId="11D14774" w:rsidR="00C30468" w:rsidRPr="00662906" w:rsidRDefault="00C30468" w:rsidP="007E6C89">
            <w:pPr>
              <w:pStyle w:val="ListParagraph"/>
              <w:numPr>
                <w:ilvl w:val="0"/>
                <w:numId w:val="123"/>
              </w:numPr>
              <w:spacing w:before="40" w:after="40"/>
              <w:ind w:left="367"/>
              <w:jc w:val="center"/>
              <w:rPr>
                <w:rFonts w:eastAsia="Arial" w:cs="Arial"/>
                <w:color w:val="394A58"/>
                <w:sz w:val="16"/>
                <w:szCs w:val="16"/>
              </w:rPr>
            </w:pPr>
            <w:r w:rsidRPr="00662906">
              <w:rPr>
                <w:rFonts w:eastAsia="Arial" w:cs="Arial"/>
                <w:color w:val="394A58"/>
                <w:sz w:val="16"/>
                <w:szCs w:val="16"/>
              </w:rPr>
              <w:t>Identify existing agencies or institutions regulating energy/petroleum</w:t>
            </w:r>
          </w:p>
          <w:p w14:paraId="2ADB9C51" w14:textId="08D04518" w:rsidR="00C30468" w:rsidRPr="00662906" w:rsidRDefault="00C30468" w:rsidP="007E6C89">
            <w:pPr>
              <w:pStyle w:val="ListParagraph"/>
              <w:numPr>
                <w:ilvl w:val="0"/>
                <w:numId w:val="123"/>
              </w:numPr>
              <w:spacing w:before="40" w:after="40"/>
              <w:ind w:left="367"/>
              <w:jc w:val="center"/>
              <w:rPr>
                <w:rFonts w:eastAsia="Arial" w:cs="Arial"/>
                <w:color w:val="394A58"/>
                <w:sz w:val="16"/>
                <w:szCs w:val="16"/>
              </w:rPr>
            </w:pPr>
            <w:r w:rsidRPr="00662906">
              <w:rPr>
                <w:rFonts w:eastAsia="Arial" w:cs="Arial"/>
                <w:color w:val="394A58"/>
                <w:sz w:val="16"/>
                <w:szCs w:val="16"/>
              </w:rPr>
              <w:t>Draft mandates and legal frameworks to expand regulation into NG (including licensing, oversight, dispute resolution)</w:t>
            </w:r>
          </w:p>
          <w:p w14:paraId="14E5B910" w14:textId="44A94C8E" w:rsidR="00C30468" w:rsidRPr="00662906" w:rsidRDefault="00C30468" w:rsidP="007E6C89">
            <w:pPr>
              <w:pStyle w:val="ListParagraph"/>
              <w:numPr>
                <w:ilvl w:val="0"/>
                <w:numId w:val="123"/>
              </w:numPr>
              <w:spacing w:before="40" w:after="40"/>
              <w:ind w:left="367"/>
              <w:jc w:val="center"/>
              <w:rPr>
                <w:rFonts w:eastAsia="Arial" w:cs="Arial"/>
                <w:color w:val="394A58"/>
                <w:sz w:val="16"/>
                <w:szCs w:val="16"/>
              </w:rPr>
            </w:pPr>
            <w:r w:rsidRPr="00662906">
              <w:rPr>
                <w:rFonts w:eastAsia="Arial" w:cs="Arial"/>
                <w:color w:val="394A58"/>
                <w:sz w:val="16"/>
                <w:szCs w:val="16"/>
              </w:rPr>
              <w:t>Train institutional personnel on new NG regulatory processes</w:t>
            </w:r>
          </w:p>
        </w:tc>
        <w:tc>
          <w:tcPr>
            <w:tcW w:w="1276" w:type="dxa"/>
            <w:shd w:val="clear" w:color="auto" w:fill="FFFFFF"/>
            <w:tcMar>
              <w:left w:w="57" w:type="dxa"/>
              <w:right w:w="57" w:type="dxa"/>
            </w:tcMar>
          </w:tcPr>
          <w:p w14:paraId="4BF94FA3" w14:textId="0C62F579"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3670FC3A" w14:textId="6C5EF426" w:rsidR="00C30468" w:rsidRPr="00662906" w:rsidRDefault="008B32FA"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2157B9E1" w14:textId="77777777" w:rsidR="00C30468" w:rsidRPr="00662906" w:rsidRDefault="00C30468" w:rsidP="007E6C89">
            <w:pPr>
              <w:spacing w:before="40" w:after="40"/>
              <w:jc w:val="center"/>
              <w:rPr>
                <w:rFonts w:cs="Arial"/>
                <w:sz w:val="16"/>
                <w:szCs w:val="16"/>
              </w:rPr>
            </w:pPr>
            <w:r w:rsidRPr="00662906">
              <w:rPr>
                <w:rFonts w:cs="Arial"/>
                <w:sz w:val="16"/>
                <w:szCs w:val="16"/>
              </w:rPr>
              <w:t>A</w:t>
            </w:r>
            <w:r w:rsidR="008B32FA" w:rsidRPr="00662906">
              <w:rPr>
                <w:rFonts w:cs="Arial"/>
                <w:sz w:val="16"/>
                <w:szCs w:val="16"/>
              </w:rPr>
              <w:t>FUR, A</w:t>
            </w:r>
            <w:r w:rsidRPr="00662906">
              <w:rPr>
                <w:rFonts w:cs="Arial"/>
                <w:sz w:val="16"/>
                <w:szCs w:val="16"/>
              </w:rPr>
              <w:t>FREC, Regional Energy Regulators, National Energy Regulators</w:t>
            </w:r>
          </w:p>
          <w:p w14:paraId="27891902" w14:textId="34E375BD" w:rsidR="008B32FA" w:rsidRPr="00662906" w:rsidRDefault="008B32FA" w:rsidP="007E6C89">
            <w:pPr>
              <w:spacing w:before="40" w:after="40"/>
              <w:jc w:val="center"/>
              <w:rPr>
                <w:rFonts w:eastAsia="Arial" w:cs="Arial"/>
                <w:color w:val="53575A"/>
                <w:sz w:val="16"/>
                <w:szCs w:val="16"/>
              </w:rPr>
            </w:pPr>
            <w:r w:rsidRPr="00662906">
              <w:rPr>
                <w:rFonts w:cs="Arial"/>
                <w:sz w:val="16"/>
                <w:szCs w:val="16"/>
              </w:rPr>
              <w:t>Oil/NG companies and associations</w:t>
            </w:r>
          </w:p>
        </w:tc>
        <w:tc>
          <w:tcPr>
            <w:tcW w:w="851" w:type="dxa"/>
            <w:shd w:val="clear" w:color="auto" w:fill="FFFFFF"/>
            <w:tcMar>
              <w:left w:w="57" w:type="dxa"/>
              <w:right w:w="57" w:type="dxa"/>
            </w:tcMar>
          </w:tcPr>
          <w:p w14:paraId="519136B2" w14:textId="736929DC"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75462C08" w14:textId="28948AC4"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Regulatory framework documents</w:t>
            </w:r>
          </w:p>
          <w:p w14:paraId="2014187C" w14:textId="20412362"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regulatory staff</w:t>
            </w:r>
          </w:p>
          <w:p w14:paraId="72AF5040" w14:textId="225FF404"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Mandate expansions for relevant institutions</w:t>
            </w:r>
          </w:p>
        </w:tc>
        <w:tc>
          <w:tcPr>
            <w:tcW w:w="1701" w:type="dxa"/>
            <w:shd w:val="clear" w:color="auto" w:fill="FFFFFF"/>
          </w:tcPr>
          <w:p w14:paraId="4AA69817" w14:textId="49786617"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Robust governance enabling effective negotiations with international oil/gas companies, ensuring fair terms and efficient licensing for NG projects</w:t>
            </w:r>
          </w:p>
        </w:tc>
        <w:tc>
          <w:tcPr>
            <w:tcW w:w="1843" w:type="dxa"/>
            <w:shd w:val="clear" w:color="auto" w:fill="FFFFFF"/>
          </w:tcPr>
          <w:p w14:paraId="2B4DBB3B" w14:textId="7CBA600A" w:rsidR="00C30468" w:rsidRPr="00662906" w:rsidRDefault="008B32F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Mandated Governance structures for NG supply chains in place</w:t>
            </w:r>
            <w:r w:rsidR="00C30468" w:rsidRPr="00662906">
              <w:rPr>
                <w:rFonts w:eastAsia="Arial" w:cs="Arial"/>
                <w:color w:val="53575A"/>
                <w:sz w:val="16"/>
                <w:szCs w:val="16"/>
              </w:rPr>
              <w:t xml:space="preserve"> (Yes/No)</w:t>
            </w:r>
          </w:p>
        </w:tc>
      </w:tr>
      <w:tr w:rsidR="00C30468" w:rsidRPr="00662906" w14:paraId="2626BDB4" w14:textId="77777777" w:rsidTr="007E6C89">
        <w:trPr>
          <w:trHeight w:val="300"/>
        </w:trPr>
        <w:tc>
          <w:tcPr>
            <w:tcW w:w="167" w:type="dxa"/>
            <w:shd w:val="clear" w:color="auto" w:fill="FFFFFF"/>
            <w:tcMar>
              <w:left w:w="57" w:type="dxa"/>
              <w:right w:w="57" w:type="dxa"/>
            </w:tcMar>
          </w:tcPr>
          <w:p w14:paraId="11611A19" w14:textId="77777777" w:rsidR="00C30468" w:rsidRPr="00662906" w:rsidRDefault="00C30468"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5532E921" w14:textId="55021576"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Build capacity for negotiations and regulation</w:t>
            </w:r>
          </w:p>
        </w:tc>
        <w:tc>
          <w:tcPr>
            <w:tcW w:w="3260" w:type="dxa"/>
            <w:tcBorders>
              <w:top w:val="single" w:sz="4" w:space="0" w:color="9F2241"/>
              <w:left w:val="nil"/>
              <w:bottom w:val="single" w:sz="4" w:space="0" w:color="9F2241"/>
              <w:right w:val="nil"/>
            </w:tcBorders>
            <w:tcMar>
              <w:left w:w="57" w:type="dxa"/>
              <w:right w:w="57" w:type="dxa"/>
            </w:tcMar>
          </w:tcPr>
          <w:p w14:paraId="377DB7E1" w14:textId="3A373FCF" w:rsidR="00C30468" w:rsidRPr="00662906" w:rsidRDefault="00C30468" w:rsidP="007E6C89">
            <w:pPr>
              <w:pStyle w:val="ListParagraph"/>
              <w:numPr>
                <w:ilvl w:val="0"/>
                <w:numId w:val="124"/>
              </w:numPr>
              <w:spacing w:before="40" w:after="40"/>
              <w:ind w:left="367"/>
              <w:jc w:val="center"/>
              <w:rPr>
                <w:rFonts w:eastAsia="Arial" w:cs="Arial"/>
                <w:color w:val="394A58"/>
                <w:sz w:val="16"/>
                <w:szCs w:val="16"/>
              </w:rPr>
            </w:pPr>
            <w:r w:rsidRPr="00662906">
              <w:rPr>
                <w:rFonts w:eastAsia="Arial" w:cs="Arial"/>
                <w:color w:val="394A58"/>
                <w:sz w:val="16"/>
                <w:szCs w:val="16"/>
              </w:rPr>
              <w:t>Develop specialized curricula for energy/petroleum negotiation (contract law, pricing strategies, risk mitigation)</w:t>
            </w:r>
          </w:p>
          <w:p w14:paraId="6D040322" w14:textId="2F83001F" w:rsidR="00C30468" w:rsidRPr="00662906" w:rsidRDefault="00C30468" w:rsidP="007E6C89">
            <w:pPr>
              <w:pStyle w:val="ListParagraph"/>
              <w:numPr>
                <w:ilvl w:val="0"/>
                <w:numId w:val="124"/>
              </w:numPr>
              <w:spacing w:before="40" w:after="40"/>
              <w:ind w:left="367"/>
              <w:jc w:val="center"/>
              <w:rPr>
                <w:rFonts w:eastAsia="Arial" w:cs="Arial"/>
                <w:color w:val="394A58"/>
                <w:sz w:val="16"/>
                <w:szCs w:val="16"/>
              </w:rPr>
            </w:pPr>
            <w:r w:rsidRPr="00662906">
              <w:rPr>
                <w:rFonts w:eastAsia="Arial" w:cs="Arial"/>
                <w:color w:val="394A58"/>
                <w:sz w:val="16"/>
                <w:szCs w:val="16"/>
              </w:rPr>
              <w:t>Conduct regional workshops and on-the-job training for regulatory authorities</w:t>
            </w:r>
          </w:p>
          <w:p w14:paraId="7E89C1F3" w14:textId="22E1E308" w:rsidR="00C30468" w:rsidRPr="00662906" w:rsidRDefault="00C30468" w:rsidP="007E6C89">
            <w:pPr>
              <w:pStyle w:val="ListParagraph"/>
              <w:numPr>
                <w:ilvl w:val="0"/>
                <w:numId w:val="124"/>
              </w:numPr>
              <w:spacing w:before="40" w:after="40"/>
              <w:ind w:left="367"/>
              <w:jc w:val="center"/>
              <w:rPr>
                <w:rFonts w:eastAsia="Arial" w:cs="Arial"/>
                <w:color w:val="394A58"/>
                <w:sz w:val="16"/>
                <w:szCs w:val="16"/>
              </w:rPr>
            </w:pPr>
            <w:r w:rsidRPr="00662906">
              <w:rPr>
                <w:rFonts w:eastAsia="Arial" w:cs="Arial"/>
                <w:color w:val="394A58"/>
                <w:sz w:val="16"/>
                <w:szCs w:val="16"/>
              </w:rPr>
              <w:t>Facilitate peer learning platforms for knowledge exchange among Member States</w:t>
            </w:r>
          </w:p>
        </w:tc>
        <w:tc>
          <w:tcPr>
            <w:tcW w:w="1276" w:type="dxa"/>
            <w:shd w:val="clear" w:color="auto" w:fill="FFFFFF"/>
            <w:tcMar>
              <w:left w:w="57" w:type="dxa"/>
              <w:right w:w="57" w:type="dxa"/>
            </w:tcMar>
          </w:tcPr>
          <w:p w14:paraId="05E282B0" w14:textId="2477E48B"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5DBC53B5" w14:textId="268779A5"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United Nations Economic Commission for Africa (UNECA)</w:t>
            </w:r>
          </w:p>
        </w:tc>
        <w:tc>
          <w:tcPr>
            <w:tcW w:w="1198" w:type="dxa"/>
            <w:shd w:val="clear" w:color="auto" w:fill="FFFFFF"/>
            <w:tcMar>
              <w:left w:w="57" w:type="dxa"/>
              <w:right w:w="57" w:type="dxa"/>
            </w:tcMar>
          </w:tcPr>
          <w:p w14:paraId="4DEDB13D" w14:textId="3E93FE40" w:rsidR="00C30468" w:rsidRPr="00662906" w:rsidRDefault="00C30468" w:rsidP="007E6C89">
            <w:pPr>
              <w:spacing w:before="40" w:after="40"/>
              <w:jc w:val="center"/>
              <w:rPr>
                <w:rFonts w:cs="Arial"/>
                <w:sz w:val="16"/>
                <w:szCs w:val="16"/>
              </w:rPr>
            </w:pPr>
            <w:r w:rsidRPr="00662906">
              <w:rPr>
                <w:rFonts w:cs="Arial"/>
                <w:sz w:val="16"/>
                <w:szCs w:val="16"/>
              </w:rPr>
              <w:t>Regional and National Energy Regulators, MEs</w:t>
            </w:r>
          </w:p>
          <w:p w14:paraId="1CE42252" w14:textId="66C34434" w:rsidR="008B32FA" w:rsidRPr="00662906" w:rsidRDefault="008B32FA" w:rsidP="007E6C89">
            <w:pPr>
              <w:spacing w:before="40" w:after="40"/>
              <w:jc w:val="center"/>
              <w:rPr>
                <w:rFonts w:eastAsia="Arial" w:cs="Arial"/>
                <w:color w:val="53575A"/>
                <w:sz w:val="16"/>
                <w:szCs w:val="16"/>
              </w:rPr>
            </w:pPr>
            <w:r w:rsidRPr="00662906">
              <w:rPr>
                <w:rFonts w:cs="Arial"/>
                <w:sz w:val="16"/>
                <w:szCs w:val="16"/>
              </w:rPr>
              <w:t>Oil companies</w:t>
            </w:r>
          </w:p>
        </w:tc>
        <w:tc>
          <w:tcPr>
            <w:tcW w:w="851" w:type="dxa"/>
            <w:shd w:val="clear" w:color="auto" w:fill="FFFFFF"/>
            <w:tcMar>
              <w:left w:w="57" w:type="dxa"/>
              <w:right w:w="57" w:type="dxa"/>
            </w:tcMar>
          </w:tcPr>
          <w:p w14:paraId="770555EA" w14:textId="15B56515"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45933506" w14:textId="74C86AD2"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Negotiation training modules</w:t>
            </w:r>
          </w:p>
          <w:p w14:paraId="3B660225" w14:textId="7147F259"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Regional workshops and peer-learning sessions</w:t>
            </w:r>
          </w:p>
          <w:p w14:paraId="37236C48" w14:textId="0D86199B"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Database of trained negotiators</w:t>
            </w:r>
          </w:p>
        </w:tc>
        <w:tc>
          <w:tcPr>
            <w:tcW w:w="1701" w:type="dxa"/>
            <w:shd w:val="clear" w:color="auto" w:fill="FFFFFF"/>
          </w:tcPr>
          <w:p w14:paraId="64FDC492" w14:textId="2AF15EC4"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Enhanced expertise among regulators and policymakers to negotiate equitable contracts with IOCs, securing better deals and investment terms for NG projects</w:t>
            </w:r>
          </w:p>
        </w:tc>
        <w:tc>
          <w:tcPr>
            <w:tcW w:w="1843" w:type="dxa"/>
            <w:shd w:val="clear" w:color="auto" w:fill="FFFFFF"/>
          </w:tcPr>
          <w:p w14:paraId="02342972" w14:textId="4A8C7F78" w:rsidR="00C30468" w:rsidRPr="00662906" w:rsidRDefault="008B32F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Adequate expertise of oil/NG regulators matching IOCs in negotiations.</w:t>
            </w:r>
            <w:r w:rsidR="00C30468" w:rsidRPr="00662906">
              <w:rPr>
                <w:rFonts w:eastAsia="Arial" w:cs="Arial"/>
                <w:color w:val="53575A"/>
                <w:sz w:val="16"/>
                <w:szCs w:val="16"/>
              </w:rPr>
              <w:t xml:space="preserve"> (Yes/No)</w:t>
            </w:r>
          </w:p>
        </w:tc>
      </w:tr>
      <w:tr w:rsidR="00C30468" w:rsidRPr="00662906" w14:paraId="63AA054C" w14:textId="77777777" w:rsidTr="007E6C89">
        <w:trPr>
          <w:trHeight w:val="300"/>
        </w:trPr>
        <w:tc>
          <w:tcPr>
            <w:tcW w:w="167" w:type="dxa"/>
            <w:shd w:val="clear" w:color="auto" w:fill="FFFFFF"/>
            <w:tcMar>
              <w:left w:w="57" w:type="dxa"/>
              <w:right w:w="57" w:type="dxa"/>
            </w:tcMar>
          </w:tcPr>
          <w:p w14:paraId="374865B6" w14:textId="77777777" w:rsidR="00C30468" w:rsidRPr="00662906" w:rsidRDefault="00C30468"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6F72D4F6" w14:textId="0205778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Plan for hydrogen-ready gas infrastructure</w:t>
            </w:r>
          </w:p>
        </w:tc>
        <w:tc>
          <w:tcPr>
            <w:tcW w:w="3260" w:type="dxa"/>
            <w:tcBorders>
              <w:top w:val="single" w:sz="4" w:space="0" w:color="9F2241"/>
              <w:left w:val="nil"/>
              <w:bottom w:val="single" w:sz="4" w:space="0" w:color="9F2241"/>
              <w:right w:val="nil"/>
            </w:tcBorders>
            <w:tcMar>
              <w:left w:w="57" w:type="dxa"/>
              <w:right w:w="57" w:type="dxa"/>
            </w:tcMar>
          </w:tcPr>
          <w:p w14:paraId="1409CCE2" w14:textId="71ED366C" w:rsidR="00C30468" w:rsidRPr="00662906" w:rsidRDefault="00C30468" w:rsidP="007E6C89">
            <w:pPr>
              <w:pStyle w:val="ListParagraph"/>
              <w:numPr>
                <w:ilvl w:val="0"/>
                <w:numId w:val="125"/>
              </w:numPr>
              <w:spacing w:before="40" w:after="40"/>
              <w:ind w:left="367"/>
              <w:jc w:val="center"/>
              <w:rPr>
                <w:rFonts w:eastAsia="Arial" w:cs="Arial"/>
                <w:color w:val="394A58"/>
                <w:sz w:val="16"/>
                <w:szCs w:val="16"/>
              </w:rPr>
            </w:pPr>
            <w:r w:rsidRPr="00662906">
              <w:rPr>
                <w:rFonts w:eastAsia="Arial" w:cs="Arial"/>
                <w:color w:val="394A58"/>
                <w:sz w:val="16"/>
                <w:szCs w:val="16"/>
              </w:rPr>
              <w:t>Conduct feasibility studies on repurposing existing NG pipelines and facilities for hydrogen blending or conversion</w:t>
            </w:r>
          </w:p>
          <w:p w14:paraId="5705B811" w14:textId="77BBD3D0" w:rsidR="00C30468" w:rsidRPr="00662906" w:rsidRDefault="00C30468" w:rsidP="007E6C89">
            <w:pPr>
              <w:pStyle w:val="ListParagraph"/>
              <w:numPr>
                <w:ilvl w:val="0"/>
                <w:numId w:val="125"/>
              </w:numPr>
              <w:spacing w:before="40" w:after="40"/>
              <w:ind w:left="367"/>
              <w:jc w:val="center"/>
              <w:rPr>
                <w:rFonts w:eastAsia="Arial" w:cs="Arial"/>
                <w:color w:val="394A58"/>
                <w:sz w:val="16"/>
                <w:szCs w:val="16"/>
              </w:rPr>
            </w:pPr>
            <w:r w:rsidRPr="00662906">
              <w:rPr>
                <w:rFonts w:eastAsia="Arial" w:cs="Arial"/>
                <w:color w:val="394A58"/>
                <w:sz w:val="16"/>
                <w:szCs w:val="16"/>
              </w:rPr>
              <w:t>Develop technical guidelines and safety standards for hydrogen-ready infrastructure</w:t>
            </w:r>
          </w:p>
          <w:p w14:paraId="611377D7" w14:textId="6924B272" w:rsidR="00C30468" w:rsidRPr="00662906" w:rsidRDefault="00C30468" w:rsidP="007E6C89">
            <w:pPr>
              <w:pStyle w:val="ListParagraph"/>
              <w:numPr>
                <w:ilvl w:val="0"/>
                <w:numId w:val="125"/>
              </w:numPr>
              <w:spacing w:before="40" w:after="40"/>
              <w:ind w:left="367"/>
              <w:jc w:val="center"/>
              <w:rPr>
                <w:rFonts w:eastAsia="Arial" w:cs="Arial"/>
                <w:color w:val="394A58"/>
                <w:sz w:val="16"/>
                <w:szCs w:val="16"/>
              </w:rPr>
            </w:pPr>
            <w:r w:rsidRPr="00662906">
              <w:rPr>
                <w:rFonts w:eastAsia="Arial" w:cs="Arial"/>
                <w:color w:val="394A58"/>
                <w:sz w:val="16"/>
                <w:szCs w:val="16"/>
              </w:rPr>
              <w:t>Engage public and private stakeholders to encourage co-investments in dual-purpose pipelines</w:t>
            </w:r>
          </w:p>
        </w:tc>
        <w:tc>
          <w:tcPr>
            <w:tcW w:w="1276" w:type="dxa"/>
            <w:shd w:val="clear" w:color="auto" w:fill="FFFFFF"/>
            <w:tcMar>
              <w:left w:w="57" w:type="dxa"/>
              <w:right w:w="57" w:type="dxa"/>
            </w:tcMar>
          </w:tcPr>
          <w:p w14:paraId="42E95B68" w14:textId="6AF39FC2"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0D6478A1" w14:textId="1F44BA1C"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627475C7" w14:textId="2BAD64E2"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 xml:space="preserve">AUC-DIE, Regional Energy Regulators, </w:t>
            </w:r>
            <w:r w:rsidR="008B32FA" w:rsidRPr="00662906">
              <w:rPr>
                <w:rFonts w:cs="Arial"/>
                <w:sz w:val="16"/>
                <w:szCs w:val="16"/>
              </w:rPr>
              <w:t xml:space="preserve">oil/ng </w:t>
            </w:r>
            <w:r w:rsidRPr="00662906">
              <w:rPr>
                <w:rFonts w:cs="Arial"/>
                <w:sz w:val="16"/>
                <w:szCs w:val="16"/>
              </w:rPr>
              <w:t>Industry Associations</w:t>
            </w:r>
          </w:p>
        </w:tc>
        <w:tc>
          <w:tcPr>
            <w:tcW w:w="851" w:type="dxa"/>
            <w:shd w:val="clear" w:color="auto" w:fill="FFFFFF"/>
            <w:tcMar>
              <w:left w:w="57" w:type="dxa"/>
              <w:right w:w="57" w:type="dxa"/>
            </w:tcMar>
          </w:tcPr>
          <w:p w14:paraId="28D74376" w14:textId="023E709A"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0BD5562D" w14:textId="1BA7DC21"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Feasibility study on hydrogen repurposing</w:t>
            </w:r>
          </w:p>
          <w:p w14:paraId="1257C3AF" w14:textId="660DB7E6"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guidelines for dual-use pipelines</w:t>
            </w:r>
          </w:p>
          <w:p w14:paraId="5F7F09B0" w14:textId="270C3AD6" w:rsidR="00C30468" w:rsidRPr="00662906" w:rsidRDefault="00C30468"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roundtable proceedings</w:t>
            </w:r>
          </w:p>
        </w:tc>
        <w:tc>
          <w:tcPr>
            <w:tcW w:w="1701" w:type="dxa"/>
            <w:shd w:val="clear" w:color="auto" w:fill="FFFFFF"/>
          </w:tcPr>
          <w:p w14:paraId="27A38991" w14:textId="08CD59F3" w:rsidR="00C30468" w:rsidRPr="00662906" w:rsidRDefault="00C30468" w:rsidP="007E6C89">
            <w:pPr>
              <w:spacing w:before="40" w:after="40"/>
              <w:jc w:val="center"/>
              <w:rPr>
                <w:rFonts w:eastAsia="Arial" w:cs="Arial"/>
                <w:color w:val="53575A"/>
                <w:sz w:val="16"/>
                <w:szCs w:val="16"/>
              </w:rPr>
            </w:pPr>
            <w:r w:rsidRPr="00662906">
              <w:rPr>
                <w:rFonts w:cs="Arial"/>
                <w:sz w:val="16"/>
                <w:szCs w:val="16"/>
              </w:rPr>
              <w:t>Future-proofed gas infrastructure positioned to shift toward hydrogen markets, facilitating smoother decarbonization pathways across the continent</w:t>
            </w:r>
          </w:p>
        </w:tc>
        <w:tc>
          <w:tcPr>
            <w:tcW w:w="1843" w:type="dxa"/>
            <w:shd w:val="clear" w:color="auto" w:fill="FFFFFF"/>
          </w:tcPr>
          <w:p w14:paraId="045C4AB0" w14:textId="494BDBD0" w:rsidR="00C30468" w:rsidRPr="00662906" w:rsidRDefault="008B32F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Approved </w:t>
            </w:r>
            <w:r w:rsidR="00C30468" w:rsidRPr="00662906">
              <w:rPr>
                <w:rFonts w:eastAsia="Arial" w:cs="Arial"/>
                <w:color w:val="53575A"/>
                <w:sz w:val="16"/>
                <w:szCs w:val="16"/>
              </w:rPr>
              <w:t>feasibility study</w:t>
            </w:r>
            <w:r w:rsidRPr="00662906">
              <w:rPr>
                <w:rFonts w:eastAsia="Arial" w:cs="Arial"/>
                <w:color w:val="53575A"/>
                <w:sz w:val="16"/>
                <w:szCs w:val="16"/>
              </w:rPr>
              <w:t xml:space="preserve"> and Guidelines for design and implementation of NG that can be repurposed for hydrogen supply in place</w:t>
            </w:r>
            <w:r w:rsidR="00C30468" w:rsidRPr="00662906">
              <w:rPr>
                <w:rFonts w:eastAsia="Arial" w:cs="Arial"/>
                <w:color w:val="53575A"/>
                <w:sz w:val="16"/>
                <w:szCs w:val="16"/>
              </w:rPr>
              <w:t xml:space="preserve"> (Yes/No)</w:t>
            </w:r>
          </w:p>
        </w:tc>
      </w:tr>
    </w:tbl>
    <w:p w14:paraId="2898A2E8" w14:textId="33C7EFCA" w:rsidR="0055224F" w:rsidRPr="00662906" w:rsidRDefault="00FB73FB" w:rsidP="34896C4D">
      <w:pPr>
        <w:rPr>
          <w:i/>
          <w:iCs/>
          <w:color w:val="B4A269" w:themeColor="text2"/>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r w:rsidR="00992177" w:rsidRPr="00662906">
        <w:rPr>
          <w:i/>
          <w:iCs/>
          <w:color w:val="B4A269" w:themeColor="text2"/>
          <w:sz w:val="16"/>
          <w:szCs w:val="16"/>
        </w:rPr>
        <w:t xml:space="preserve"> </w:t>
      </w:r>
    </w:p>
    <w:p w14:paraId="2E722285" w14:textId="7825E364" w:rsidR="007734A4" w:rsidRPr="00662906" w:rsidRDefault="568D03AD" w:rsidP="75BD6BB8">
      <w:pPr>
        <w:pStyle w:val="Caption"/>
      </w:pPr>
      <w:bookmarkStart w:id="664" w:name="_Toc171955599"/>
      <w:bookmarkStart w:id="665" w:name="_Toc176430328"/>
      <w:bookmarkStart w:id="666" w:name="_Toc197433915"/>
      <w:r w:rsidRPr="00662906">
        <w:t xml:space="preserve">Table </w:t>
      </w:r>
      <w:fldSimple w:instr=" SEQ Table \* ARABIC ">
        <w:r w:rsidR="00610F61">
          <w:rPr>
            <w:noProof/>
          </w:rPr>
          <w:t>27</w:t>
        </w:r>
      </w:fldSimple>
      <w:r w:rsidR="42C36FDA" w:rsidRPr="00662906">
        <w:t xml:space="preserve">: Strategic Intervention 2: </w:t>
      </w:r>
      <w:bookmarkEnd w:id="664"/>
      <w:bookmarkEnd w:id="665"/>
      <w:r w:rsidR="0023250B" w:rsidRPr="00662906">
        <w:t>Promote economic and technical efficiency in the production, transport, and use of oil and gas</w:t>
      </w:r>
      <w:bookmarkEnd w:id="666"/>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835E97" w:rsidRPr="00662906" w14:paraId="78EFD187" w14:textId="77777777" w:rsidTr="00982692">
        <w:trPr>
          <w:trHeight w:val="360"/>
        </w:trPr>
        <w:tc>
          <w:tcPr>
            <w:tcW w:w="14456" w:type="dxa"/>
            <w:gridSpan w:val="10"/>
            <w:shd w:val="clear" w:color="auto" w:fill="B4A269"/>
          </w:tcPr>
          <w:p w14:paraId="35FEB39A" w14:textId="59A2164A" w:rsidR="00835E97" w:rsidRPr="00662906" w:rsidRDefault="004B3D40" w:rsidP="00982692">
            <w:pPr>
              <w:spacing w:before="60" w:after="60"/>
              <w:ind w:left="-57" w:right="-57"/>
              <w:rPr>
                <w:rFonts w:eastAsia="Arial" w:cs="Arial"/>
                <w:b/>
                <w:color w:val="FFFFFF"/>
                <w:sz w:val="16"/>
                <w:szCs w:val="16"/>
              </w:rPr>
            </w:pPr>
            <w:r w:rsidRPr="00662906">
              <w:rPr>
                <w:rFonts w:cs="Arial"/>
                <w:b/>
                <w:bCs/>
                <w:color w:val="FFFFFF" w:themeColor="background2"/>
                <w:sz w:val="16"/>
                <w:szCs w:val="16"/>
              </w:rPr>
              <w:lastRenderedPageBreak/>
              <w:t>Pathway to Change:</w:t>
            </w:r>
            <w:r w:rsidRPr="00662906">
              <w:rPr>
                <w:rFonts w:cs="Arial"/>
                <w:color w:val="FFFFFF" w:themeColor="background2"/>
                <w:sz w:val="16"/>
                <w:szCs w:val="16"/>
              </w:rPr>
              <w:t xml:space="preserve"> Ensuring affordable natural gas prices while maintaining investor interest is critical for Africa’s energy future. This intervention promotes balanced subsidy frameworks, sound public financial management, and attractive investment conditions. By safeguarding public company finances and fostering private sector participation, the pathway creates an environment where natural gas can sustainably meet the continent’s energy needs without imposing undue financial burdens on consumers or governments.</w:t>
            </w:r>
          </w:p>
        </w:tc>
      </w:tr>
      <w:tr w:rsidR="00835E97" w:rsidRPr="00662906" w14:paraId="7FB08847" w14:textId="77777777" w:rsidTr="00982692">
        <w:trPr>
          <w:trHeight w:val="699"/>
        </w:trPr>
        <w:tc>
          <w:tcPr>
            <w:tcW w:w="1415" w:type="dxa"/>
            <w:gridSpan w:val="2"/>
            <w:shd w:val="clear" w:color="auto" w:fill="B4A269"/>
            <w:tcMar>
              <w:left w:w="57" w:type="dxa"/>
              <w:right w:w="57" w:type="dxa"/>
            </w:tcMar>
            <w:vAlign w:val="center"/>
          </w:tcPr>
          <w:p w14:paraId="476B017F"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6F253083" w14:textId="77777777" w:rsidR="00835E97" w:rsidRPr="00662906" w:rsidRDefault="00835E97" w:rsidP="00982692">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00C30775"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5501BC57"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3EA32F39"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155765F1"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54EE85EC"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5D94917D"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279E51B0" w14:textId="77777777" w:rsidR="00835E97" w:rsidRPr="00662906" w:rsidRDefault="00835E97" w:rsidP="00982692">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D10B25" w:rsidRPr="00662906" w14:paraId="4C6AB0B6" w14:textId="77777777" w:rsidTr="007E6C89">
        <w:trPr>
          <w:trHeight w:val="1413"/>
        </w:trPr>
        <w:tc>
          <w:tcPr>
            <w:tcW w:w="167" w:type="dxa"/>
            <w:shd w:val="clear" w:color="auto" w:fill="FFFFFF"/>
            <w:tcMar>
              <w:left w:w="57" w:type="dxa"/>
              <w:right w:w="57" w:type="dxa"/>
            </w:tcMar>
          </w:tcPr>
          <w:p w14:paraId="3269069A" w14:textId="77777777" w:rsidR="00D10B25" w:rsidRPr="00662906" w:rsidRDefault="00D10B25"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022F10B3" w14:textId="1911CFD6"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Conduct NG energy price affordability analysis and adoption</w:t>
            </w:r>
          </w:p>
        </w:tc>
        <w:tc>
          <w:tcPr>
            <w:tcW w:w="3260" w:type="dxa"/>
            <w:tcBorders>
              <w:bottom w:val="single" w:sz="2" w:space="0" w:color="9F2241"/>
            </w:tcBorders>
            <w:shd w:val="clear" w:color="auto" w:fill="FFFFFF"/>
            <w:tcMar>
              <w:left w:w="57" w:type="dxa"/>
              <w:right w:w="57" w:type="dxa"/>
            </w:tcMar>
          </w:tcPr>
          <w:p w14:paraId="2B939869" w14:textId="344DD169" w:rsidR="00D10B25" w:rsidRPr="00662906" w:rsidRDefault="00D10B25" w:rsidP="007E6C89">
            <w:pPr>
              <w:pStyle w:val="ListParagraph"/>
              <w:numPr>
                <w:ilvl w:val="0"/>
                <w:numId w:val="126"/>
              </w:numPr>
              <w:spacing w:before="0" w:after="0"/>
              <w:ind w:left="367"/>
              <w:jc w:val="center"/>
              <w:rPr>
                <w:rFonts w:cs="Arial"/>
                <w:sz w:val="16"/>
                <w:szCs w:val="16"/>
              </w:rPr>
            </w:pPr>
            <w:r w:rsidRPr="00662906">
              <w:rPr>
                <w:rFonts w:cs="Arial"/>
                <w:sz w:val="16"/>
                <w:szCs w:val="16"/>
              </w:rPr>
              <w:t>Gather data on global and regional NG price trends</w:t>
            </w:r>
          </w:p>
          <w:p w14:paraId="584AC118" w14:textId="28676C82" w:rsidR="00D10B25" w:rsidRPr="00662906" w:rsidRDefault="00D10B25" w:rsidP="007E6C89">
            <w:pPr>
              <w:pStyle w:val="ListParagraph"/>
              <w:numPr>
                <w:ilvl w:val="0"/>
                <w:numId w:val="126"/>
              </w:numPr>
              <w:spacing w:before="0" w:after="0"/>
              <w:ind w:left="367"/>
              <w:jc w:val="center"/>
              <w:rPr>
                <w:rFonts w:cs="Arial"/>
                <w:sz w:val="16"/>
                <w:szCs w:val="16"/>
              </w:rPr>
            </w:pPr>
            <w:r w:rsidRPr="00662906">
              <w:rPr>
                <w:rFonts w:cs="Arial"/>
                <w:sz w:val="16"/>
                <w:szCs w:val="16"/>
              </w:rPr>
              <w:t>Model scenarios for cost-reflective vs. subsidized pricing in African contexts</w:t>
            </w:r>
          </w:p>
          <w:p w14:paraId="46DEA476" w14:textId="22BA7605" w:rsidR="00D10B25" w:rsidRPr="00662906" w:rsidRDefault="00D10B25" w:rsidP="007E6C89">
            <w:pPr>
              <w:pStyle w:val="ListParagraph"/>
              <w:numPr>
                <w:ilvl w:val="0"/>
                <w:numId w:val="126"/>
              </w:numPr>
              <w:spacing w:before="0" w:after="0"/>
              <w:ind w:left="367"/>
              <w:jc w:val="center"/>
              <w:rPr>
                <w:rFonts w:cs="Arial"/>
                <w:sz w:val="16"/>
                <w:szCs w:val="16"/>
              </w:rPr>
            </w:pPr>
            <w:r w:rsidRPr="00662906">
              <w:rPr>
                <w:rFonts w:cs="Arial"/>
                <w:sz w:val="16"/>
                <w:szCs w:val="16"/>
              </w:rPr>
              <w:t>Draft a recommended pricing framework, including potential targeted subsidies</w:t>
            </w:r>
          </w:p>
          <w:p w14:paraId="195A8786" w14:textId="24AE5B2A" w:rsidR="00D10B25" w:rsidRPr="00662906" w:rsidRDefault="00D10B25" w:rsidP="007E6C89">
            <w:pPr>
              <w:pStyle w:val="ListParagraph"/>
              <w:numPr>
                <w:ilvl w:val="0"/>
                <w:numId w:val="126"/>
              </w:numPr>
              <w:spacing w:before="0" w:after="0"/>
              <w:ind w:left="367"/>
              <w:jc w:val="center"/>
              <w:rPr>
                <w:rFonts w:cs="Arial"/>
                <w:sz w:val="16"/>
                <w:szCs w:val="16"/>
              </w:rPr>
            </w:pPr>
            <w:r w:rsidRPr="00662906">
              <w:rPr>
                <w:rFonts w:cs="Arial"/>
                <w:sz w:val="16"/>
                <w:szCs w:val="16"/>
              </w:rPr>
              <w:t>Validate framework with key stakeholders (governments, private sector, civil society)</w:t>
            </w:r>
          </w:p>
        </w:tc>
        <w:tc>
          <w:tcPr>
            <w:tcW w:w="1276" w:type="dxa"/>
            <w:shd w:val="clear" w:color="auto" w:fill="FFFFFF"/>
            <w:tcMar>
              <w:left w:w="57" w:type="dxa"/>
              <w:right w:w="57" w:type="dxa"/>
            </w:tcMar>
          </w:tcPr>
          <w:p w14:paraId="410DD27B" w14:textId="27037F5F"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4A50985E" w14:textId="4C3A2C2A"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UNECA</w:t>
            </w:r>
          </w:p>
        </w:tc>
        <w:tc>
          <w:tcPr>
            <w:tcW w:w="1198" w:type="dxa"/>
            <w:shd w:val="clear" w:color="auto" w:fill="FFFFFF"/>
            <w:tcMar>
              <w:left w:w="57" w:type="dxa"/>
              <w:right w:w="57" w:type="dxa"/>
            </w:tcMar>
          </w:tcPr>
          <w:p w14:paraId="7073FCF4" w14:textId="77777777" w:rsidR="00D10B25" w:rsidRPr="00662906" w:rsidRDefault="00D10B25" w:rsidP="007E6C89">
            <w:pPr>
              <w:spacing w:before="40" w:after="40"/>
              <w:jc w:val="center"/>
              <w:rPr>
                <w:rFonts w:cs="Arial"/>
                <w:sz w:val="16"/>
                <w:szCs w:val="16"/>
              </w:rPr>
            </w:pPr>
            <w:r w:rsidRPr="00662906">
              <w:rPr>
                <w:rFonts w:cs="Arial"/>
                <w:sz w:val="16"/>
                <w:szCs w:val="16"/>
              </w:rPr>
              <w:t>AFREC, Regional Directorates of Energy, Ministries of Energy and Finance</w:t>
            </w:r>
          </w:p>
          <w:p w14:paraId="10F22644" w14:textId="1EA100C8" w:rsidR="004B3D40" w:rsidRPr="00662906" w:rsidRDefault="004B3D40" w:rsidP="007E6C89">
            <w:pPr>
              <w:spacing w:before="40" w:after="40"/>
              <w:jc w:val="center"/>
              <w:rPr>
                <w:rFonts w:eastAsia="Arial" w:cs="Arial"/>
                <w:color w:val="53575A"/>
                <w:sz w:val="16"/>
                <w:szCs w:val="16"/>
              </w:rPr>
            </w:pPr>
            <w:r w:rsidRPr="00662906">
              <w:rPr>
                <w:rFonts w:cs="Arial"/>
                <w:sz w:val="16"/>
                <w:szCs w:val="16"/>
              </w:rPr>
              <w:t>Oil/NG Companies</w:t>
            </w:r>
          </w:p>
        </w:tc>
        <w:tc>
          <w:tcPr>
            <w:tcW w:w="851" w:type="dxa"/>
            <w:shd w:val="clear" w:color="auto" w:fill="FFFFFF"/>
            <w:tcMar>
              <w:left w:w="57" w:type="dxa"/>
              <w:right w:w="57" w:type="dxa"/>
            </w:tcMar>
          </w:tcPr>
          <w:p w14:paraId="34B2C98F" w14:textId="67A039C7"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507EE508" w14:textId="5C872F52"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NG price benchmarking report</w:t>
            </w:r>
          </w:p>
          <w:p w14:paraId="2F254889" w14:textId="797071AA"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pricing/subsidy framework</w:t>
            </w:r>
          </w:p>
          <w:p w14:paraId="01CA65C4" w14:textId="615C0101"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validation workshop outcomes</w:t>
            </w:r>
          </w:p>
        </w:tc>
        <w:tc>
          <w:tcPr>
            <w:tcW w:w="1701" w:type="dxa"/>
            <w:shd w:val="clear" w:color="auto" w:fill="FFFFFF"/>
          </w:tcPr>
          <w:p w14:paraId="4CAEC361" w14:textId="0CD72631"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Balanced and transparent NG pricing models that ensure affordability for consumers while retaining investor interest, reducing financial strain on public budgets</w:t>
            </w:r>
          </w:p>
        </w:tc>
        <w:tc>
          <w:tcPr>
            <w:tcW w:w="1843" w:type="dxa"/>
            <w:shd w:val="clear" w:color="auto" w:fill="FFFFFF"/>
          </w:tcPr>
          <w:p w14:paraId="4522357C" w14:textId="7A5E7E28" w:rsidR="00D10B25" w:rsidRPr="00662906" w:rsidRDefault="004B3D40"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Harmonized continental NG pricing regime in place</w:t>
            </w:r>
            <w:r w:rsidR="00D10B25" w:rsidRPr="00662906">
              <w:rPr>
                <w:rFonts w:eastAsia="Arial" w:cs="Arial"/>
                <w:color w:val="53575A"/>
                <w:sz w:val="16"/>
                <w:szCs w:val="16"/>
              </w:rPr>
              <w:t xml:space="preserve"> </w:t>
            </w:r>
            <w:r w:rsidRPr="00662906">
              <w:rPr>
                <w:rFonts w:eastAsia="Arial" w:cs="Arial"/>
                <w:color w:val="53575A"/>
                <w:sz w:val="16"/>
                <w:szCs w:val="16"/>
              </w:rPr>
              <w:t>and being adopted</w:t>
            </w:r>
            <w:r w:rsidR="00F37486" w:rsidRPr="00662906">
              <w:rPr>
                <w:rFonts w:eastAsia="Arial" w:cs="Arial"/>
                <w:color w:val="53575A"/>
                <w:sz w:val="16"/>
                <w:szCs w:val="16"/>
              </w:rPr>
              <w:t xml:space="preserve"> </w:t>
            </w:r>
            <w:r w:rsidR="00D10B25" w:rsidRPr="00662906">
              <w:rPr>
                <w:rFonts w:eastAsia="Arial" w:cs="Arial"/>
                <w:color w:val="53575A"/>
                <w:sz w:val="16"/>
                <w:szCs w:val="16"/>
              </w:rPr>
              <w:t>(Yes/No)</w:t>
            </w:r>
          </w:p>
        </w:tc>
      </w:tr>
      <w:tr w:rsidR="00D10B25" w:rsidRPr="00662906" w14:paraId="3FD2B3E1" w14:textId="77777777" w:rsidTr="007E6C89">
        <w:trPr>
          <w:trHeight w:val="300"/>
        </w:trPr>
        <w:tc>
          <w:tcPr>
            <w:tcW w:w="167" w:type="dxa"/>
            <w:shd w:val="clear" w:color="auto" w:fill="FFFFFF"/>
            <w:tcMar>
              <w:left w:w="57" w:type="dxa"/>
              <w:right w:w="57" w:type="dxa"/>
            </w:tcMar>
          </w:tcPr>
          <w:p w14:paraId="340A07B7" w14:textId="77777777" w:rsidR="00D10B25" w:rsidRPr="00662906" w:rsidRDefault="00D10B25"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7FD6C9E6" w14:textId="5B5F05DB"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Ensure better financial stability for public companies (NOCs and other state-owned enterprises)</w:t>
            </w:r>
          </w:p>
        </w:tc>
        <w:tc>
          <w:tcPr>
            <w:tcW w:w="3260" w:type="dxa"/>
            <w:tcBorders>
              <w:bottom w:val="single" w:sz="4" w:space="0" w:color="9F2241"/>
            </w:tcBorders>
            <w:shd w:val="clear" w:color="auto" w:fill="FFFFFF"/>
            <w:tcMar>
              <w:left w:w="57" w:type="dxa"/>
              <w:right w:w="57" w:type="dxa"/>
            </w:tcMar>
          </w:tcPr>
          <w:p w14:paraId="347E6E96" w14:textId="4A46617E" w:rsidR="00D10B25" w:rsidRPr="00662906" w:rsidRDefault="00D10B25" w:rsidP="007E6C89">
            <w:pPr>
              <w:pStyle w:val="ListParagraph"/>
              <w:numPr>
                <w:ilvl w:val="0"/>
                <w:numId w:val="127"/>
              </w:numPr>
              <w:spacing w:before="40" w:after="40"/>
              <w:ind w:left="367"/>
              <w:jc w:val="center"/>
              <w:rPr>
                <w:rFonts w:eastAsia="Arial" w:cs="Arial"/>
                <w:color w:val="394A58"/>
                <w:sz w:val="16"/>
                <w:szCs w:val="16"/>
              </w:rPr>
            </w:pPr>
            <w:r w:rsidRPr="00662906">
              <w:rPr>
                <w:rFonts w:eastAsia="Arial" w:cs="Arial"/>
                <w:color w:val="394A58"/>
                <w:sz w:val="16"/>
                <w:szCs w:val="16"/>
              </w:rPr>
              <w:t>Analy</w:t>
            </w:r>
            <w:r w:rsidR="00FA7109" w:rsidRPr="00662906">
              <w:rPr>
                <w:rFonts w:eastAsia="Arial" w:cs="Arial"/>
                <w:color w:val="394A58"/>
                <w:sz w:val="16"/>
                <w:szCs w:val="16"/>
              </w:rPr>
              <w:t>s</w:t>
            </w:r>
            <w:r w:rsidRPr="00662906">
              <w:rPr>
                <w:rFonts w:eastAsia="Arial" w:cs="Arial"/>
                <w:color w:val="394A58"/>
                <w:sz w:val="16"/>
                <w:szCs w:val="16"/>
              </w:rPr>
              <w:t>e current financial health and risk profiles of national oil and gas companies</w:t>
            </w:r>
          </w:p>
          <w:p w14:paraId="716541F0" w14:textId="37C32A97" w:rsidR="00D10B25" w:rsidRPr="00662906" w:rsidRDefault="00D10B25" w:rsidP="007E6C89">
            <w:pPr>
              <w:pStyle w:val="ListParagraph"/>
              <w:numPr>
                <w:ilvl w:val="0"/>
                <w:numId w:val="127"/>
              </w:numPr>
              <w:spacing w:before="40" w:after="40"/>
              <w:ind w:left="367"/>
              <w:jc w:val="center"/>
              <w:rPr>
                <w:rFonts w:eastAsia="Arial" w:cs="Arial"/>
                <w:color w:val="394A58"/>
                <w:sz w:val="16"/>
                <w:szCs w:val="16"/>
              </w:rPr>
            </w:pPr>
            <w:r w:rsidRPr="00662906">
              <w:rPr>
                <w:rFonts w:eastAsia="Arial" w:cs="Arial"/>
                <w:color w:val="394A58"/>
                <w:sz w:val="16"/>
                <w:szCs w:val="16"/>
              </w:rPr>
              <w:t>Identify incentive mechanisms (tax relief, guarantee schemes) to strengthen capital structures</w:t>
            </w:r>
          </w:p>
          <w:p w14:paraId="549F7F09" w14:textId="664E5988" w:rsidR="00D10B25" w:rsidRPr="00662906" w:rsidRDefault="00D10B25" w:rsidP="007E6C89">
            <w:pPr>
              <w:pStyle w:val="ListParagraph"/>
              <w:numPr>
                <w:ilvl w:val="0"/>
                <w:numId w:val="127"/>
              </w:numPr>
              <w:spacing w:before="40" w:after="40"/>
              <w:ind w:left="367"/>
              <w:jc w:val="center"/>
              <w:rPr>
                <w:rFonts w:eastAsia="Arial" w:cs="Arial"/>
                <w:color w:val="394A58"/>
                <w:sz w:val="16"/>
                <w:szCs w:val="16"/>
              </w:rPr>
            </w:pPr>
            <w:r w:rsidRPr="00662906">
              <w:rPr>
                <w:rFonts w:eastAsia="Arial" w:cs="Arial"/>
                <w:color w:val="394A58"/>
                <w:sz w:val="16"/>
                <w:szCs w:val="16"/>
              </w:rPr>
              <w:t>Develop performance metrics and accountability frameworks</w:t>
            </w:r>
          </w:p>
          <w:p w14:paraId="4E4330F3" w14:textId="41818B8D" w:rsidR="00D10B25" w:rsidRPr="00662906" w:rsidRDefault="00D10B25" w:rsidP="007E6C89">
            <w:pPr>
              <w:pStyle w:val="ListParagraph"/>
              <w:numPr>
                <w:ilvl w:val="0"/>
                <w:numId w:val="127"/>
              </w:numPr>
              <w:spacing w:before="40" w:after="40"/>
              <w:ind w:left="367"/>
              <w:jc w:val="center"/>
              <w:rPr>
                <w:rFonts w:eastAsia="Arial" w:cs="Arial"/>
                <w:color w:val="394A58"/>
                <w:sz w:val="16"/>
                <w:szCs w:val="16"/>
              </w:rPr>
            </w:pPr>
            <w:r w:rsidRPr="00662906">
              <w:rPr>
                <w:rFonts w:eastAsia="Arial" w:cs="Arial"/>
                <w:color w:val="394A58"/>
                <w:sz w:val="16"/>
                <w:szCs w:val="16"/>
              </w:rPr>
              <w:t>Provide capacity-building sessions on best financial management practices</w:t>
            </w:r>
          </w:p>
        </w:tc>
        <w:tc>
          <w:tcPr>
            <w:tcW w:w="1276" w:type="dxa"/>
            <w:shd w:val="clear" w:color="auto" w:fill="FFFFFF"/>
            <w:tcMar>
              <w:left w:w="57" w:type="dxa"/>
              <w:right w:w="57" w:type="dxa"/>
            </w:tcMar>
          </w:tcPr>
          <w:p w14:paraId="02B9B026" w14:textId="08D586C0"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28A75B6D" w14:textId="029F261B"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376B323A" w14:textId="6E2266B2"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Ministries of Finance, AFREC, Regional/National Development Banks, Commercial Banks</w:t>
            </w:r>
            <w:r w:rsidR="004B3D40" w:rsidRPr="00662906">
              <w:rPr>
                <w:rFonts w:cs="Arial"/>
                <w:sz w:val="16"/>
                <w:szCs w:val="16"/>
              </w:rPr>
              <w:t>, national oil companies and associations</w:t>
            </w:r>
          </w:p>
        </w:tc>
        <w:tc>
          <w:tcPr>
            <w:tcW w:w="851" w:type="dxa"/>
            <w:shd w:val="clear" w:color="auto" w:fill="FFFFFF"/>
            <w:tcMar>
              <w:left w:w="57" w:type="dxa"/>
              <w:right w:w="57" w:type="dxa"/>
            </w:tcMar>
          </w:tcPr>
          <w:p w14:paraId="2672AC72" w14:textId="54E5F70E"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16EB3CCB" w14:textId="286B1282"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Financial stability assessment reports</w:t>
            </w:r>
          </w:p>
          <w:p w14:paraId="5987EDFE" w14:textId="5B4243F0"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Incentive packages and accountability frameworks</w:t>
            </w:r>
          </w:p>
          <w:p w14:paraId="471C653D" w14:textId="3DA341DF"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financial managers in NOCs</w:t>
            </w:r>
          </w:p>
        </w:tc>
        <w:tc>
          <w:tcPr>
            <w:tcW w:w="1701" w:type="dxa"/>
            <w:shd w:val="clear" w:color="auto" w:fill="FFFFFF"/>
          </w:tcPr>
          <w:p w14:paraId="2764AF3A" w14:textId="34E0DD66"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Stronger NOCs with robust governance and liquidity, ensuring efficient service delivery and resilience to market fluctuations</w:t>
            </w:r>
          </w:p>
        </w:tc>
        <w:tc>
          <w:tcPr>
            <w:tcW w:w="1843" w:type="dxa"/>
            <w:shd w:val="clear" w:color="auto" w:fill="FFFFFF"/>
          </w:tcPr>
          <w:p w14:paraId="0AC19736" w14:textId="6EC2FD77" w:rsidR="00D10B25" w:rsidRPr="00662906" w:rsidRDefault="004B3D40"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Evidence of Well financed and capacitated NOCs</w:t>
            </w:r>
            <w:r w:rsidR="000D70E1" w:rsidRPr="00662906">
              <w:rPr>
                <w:rFonts w:eastAsia="Arial" w:cs="Arial"/>
                <w:color w:val="53575A"/>
                <w:sz w:val="16"/>
                <w:szCs w:val="16"/>
              </w:rPr>
              <w:t xml:space="preserve"> published</w:t>
            </w:r>
            <w:r w:rsidRPr="00662906">
              <w:rPr>
                <w:rFonts w:eastAsia="Arial" w:cs="Arial"/>
                <w:color w:val="53575A"/>
                <w:sz w:val="16"/>
                <w:szCs w:val="16"/>
              </w:rPr>
              <w:t xml:space="preserve"> in AU-MS</w:t>
            </w:r>
            <w:r w:rsidR="00F37486" w:rsidRPr="00662906">
              <w:rPr>
                <w:rFonts w:eastAsia="Arial" w:cs="Arial"/>
                <w:color w:val="53575A"/>
                <w:sz w:val="16"/>
                <w:szCs w:val="16"/>
              </w:rPr>
              <w:t xml:space="preserve"> (Yes/No)</w:t>
            </w:r>
          </w:p>
        </w:tc>
      </w:tr>
      <w:tr w:rsidR="00D10B25" w:rsidRPr="00662906" w14:paraId="64415F82" w14:textId="77777777" w:rsidTr="007E6C89">
        <w:trPr>
          <w:trHeight w:val="300"/>
        </w:trPr>
        <w:tc>
          <w:tcPr>
            <w:tcW w:w="167" w:type="dxa"/>
            <w:shd w:val="clear" w:color="auto" w:fill="FFFFFF"/>
            <w:tcMar>
              <w:left w:w="57" w:type="dxa"/>
              <w:right w:w="57" w:type="dxa"/>
            </w:tcMar>
          </w:tcPr>
          <w:p w14:paraId="114BA099" w14:textId="77777777" w:rsidR="00D10B25" w:rsidRPr="00662906" w:rsidRDefault="00D10B25"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1D5CC99A" w14:textId="08837472"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Promote private sector involvement and PPPs in oil and gas</w:t>
            </w:r>
          </w:p>
        </w:tc>
        <w:tc>
          <w:tcPr>
            <w:tcW w:w="3260" w:type="dxa"/>
            <w:tcBorders>
              <w:top w:val="single" w:sz="4" w:space="0" w:color="9F2241"/>
              <w:left w:val="nil"/>
              <w:bottom w:val="single" w:sz="4" w:space="0" w:color="9F2241"/>
              <w:right w:val="nil"/>
            </w:tcBorders>
            <w:tcMar>
              <w:left w:w="57" w:type="dxa"/>
              <w:right w:w="57" w:type="dxa"/>
            </w:tcMar>
          </w:tcPr>
          <w:p w14:paraId="37512F0A" w14:textId="66CDADB1" w:rsidR="00D10B25" w:rsidRPr="00662906" w:rsidRDefault="00D10B25" w:rsidP="007E6C89">
            <w:pPr>
              <w:pStyle w:val="ListParagraph"/>
              <w:numPr>
                <w:ilvl w:val="0"/>
                <w:numId w:val="128"/>
              </w:numPr>
              <w:spacing w:before="40" w:after="40"/>
              <w:ind w:left="367"/>
              <w:jc w:val="center"/>
              <w:rPr>
                <w:rFonts w:eastAsia="Arial" w:cs="Arial"/>
                <w:color w:val="394A58"/>
                <w:sz w:val="16"/>
                <w:szCs w:val="16"/>
              </w:rPr>
            </w:pPr>
            <w:r w:rsidRPr="00662906">
              <w:rPr>
                <w:rFonts w:eastAsia="Arial" w:cs="Arial"/>
                <w:color w:val="394A58"/>
                <w:sz w:val="16"/>
                <w:szCs w:val="16"/>
              </w:rPr>
              <w:t>Organize regular forums for NOCs, IOCs, and private investors to explore collaboration</w:t>
            </w:r>
          </w:p>
          <w:p w14:paraId="408662BB" w14:textId="199B2645" w:rsidR="00D10B25" w:rsidRPr="00662906" w:rsidRDefault="00D10B25" w:rsidP="007E6C89">
            <w:pPr>
              <w:pStyle w:val="ListParagraph"/>
              <w:numPr>
                <w:ilvl w:val="0"/>
                <w:numId w:val="128"/>
              </w:numPr>
              <w:spacing w:before="40" w:after="40"/>
              <w:ind w:left="367"/>
              <w:jc w:val="center"/>
              <w:rPr>
                <w:rFonts w:eastAsia="Arial" w:cs="Arial"/>
                <w:color w:val="394A58"/>
                <w:sz w:val="16"/>
                <w:szCs w:val="16"/>
              </w:rPr>
            </w:pPr>
            <w:r w:rsidRPr="00662906">
              <w:rPr>
                <w:rFonts w:eastAsia="Arial" w:cs="Arial"/>
                <w:color w:val="394A58"/>
                <w:sz w:val="16"/>
                <w:szCs w:val="16"/>
              </w:rPr>
              <w:t>Compile a pipeline of investable O&amp;G projects (upstream, midstream, downstream) for potential partnerships</w:t>
            </w:r>
          </w:p>
          <w:p w14:paraId="6FBADD02" w14:textId="034434AE" w:rsidR="00D10B25" w:rsidRPr="00662906" w:rsidRDefault="00D10B25" w:rsidP="007E6C89">
            <w:pPr>
              <w:pStyle w:val="ListParagraph"/>
              <w:numPr>
                <w:ilvl w:val="0"/>
                <w:numId w:val="128"/>
              </w:numPr>
              <w:spacing w:before="40" w:after="40"/>
              <w:ind w:left="367"/>
              <w:jc w:val="center"/>
              <w:rPr>
                <w:rFonts w:eastAsia="Arial" w:cs="Arial"/>
                <w:color w:val="394A58"/>
                <w:sz w:val="16"/>
                <w:szCs w:val="16"/>
              </w:rPr>
            </w:pPr>
            <w:r w:rsidRPr="00662906">
              <w:rPr>
                <w:rFonts w:eastAsia="Arial" w:cs="Arial"/>
                <w:color w:val="394A58"/>
                <w:sz w:val="16"/>
                <w:szCs w:val="16"/>
              </w:rPr>
              <w:t>Develop guidelines on equitable risk-sharing and contractual obligations</w:t>
            </w:r>
          </w:p>
        </w:tc>
        <w:tc>
          <w:tcPr>
            <w:tcW w:w="1276" w:type="dxa"/>
            <w:shd w:val="clear" w:color="auto" w:fill="FFFFFF"/>
            <w:tcMar>
              <w:left w:w="57" w:type="dxa"/>
              <w:right w:w="57" w:type="dxa"/>
            </w:tcMar>
          </w:tcPr>
          <w:p w14:paraId="6EBD7F39" w14:textId="1543B3B3"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6C6A451" w14:textId="615184CF"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1198" w:type="dxa"/>
            <w:shd w:val="clear" w:color="auto" w:fill="FFFFFF"/>
            <w:tcMar>
              <w:left w:w="57" w:type="dxa"/>
              <w:right w:w="57" w:type="dxa"/>
            </w:tcMar>
          </w:tcPr>
          <w:p w14:paraId="610160CF" w14:textId="3DF6D29B" w:rsidR="00D10B25" w:rsidRPr="00662906" w:rsidRDefault="00D10B25" w:rsidP="007E6C89">
            <w:pPr>
              <w:spacing w:before="40" w:after="40"/>
              <w:jc w:val="center"/>
              <w:rPr>
                <w:rFonts w:cs="Arial"/>
                <w:sz w:val="16"/>
                <w:szCs w:val="16"/>
              </w:rPr>
            </w:pPr>
            <w:r w:rsidRPr="00662906">
              <w:rPr>
                <w:rFonts w:cs="Arial"/>
                <w:sz w:val="16"/>
                <w:szCs w:val="16"/>
              </w:rPr>
              <w:t>UNECA, AFREC, National Business Association</w:t>
            </w:r>
            <w:r w:rsidR="007730E1" w:rsidRPr="00662906">
              <w:rPr>
                <w:rFonts w:cs="Arial"/>
                <w:sz w:val="16"/>
                <w:szCs w:val="16"/>
              </w:rPr>
              <w:t>s</w:t>
            </w:r>
          </w:p>
          <w:p w14:paraId="3D9AA5F2" w14:textId="15077039" w:rsidR="007730E1" w:rsidRPr="00662906" w:rsidRDefault="007730E1" w:rsidP="007E6C89">
            <w:pPr>
              <w:spacing w:before="40" w:after="40"/>
              <w:jc w:val="center"/>
              <w:rPr>
                <w:rFonts w:eastAsia="Arial" w:cs="Arial"/>
                <w:color w:val="53575A"/>
                <w:sz w:val="16"/>
                <w:szCs w:val="16"/>
              </w:rPr>
            </w:pPr>
            <w:r w:rsidRPr="00662906">
              <w:rPr>
                <w:rFonts w:cs="Arial"/>
                <w:sz w:val="16"/>
                <w:szCs w:val="16"/>
              </w:rPr>
              <w:t>NOCs/IOCs</w:t>
            </w:r>
          </w:p>
        </w:tc>
        <w:tc>
          <w:tcPr>
            <w:tcW w:w="851" w:type="dxa"/>
            <w:shd w:val="clear" w:color="auto" w:fill="FFFFFF"/>
            <w:tcMar>
              <w:left w:w="57" w:type="dxa"/>
              <w:right w:w="57" w:type="dxa"/>
            </w:tcMar>
          </w:tcPr>
          <w:p w14:paraId="70DD0BC1" w14:textId="14ABE8D8"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33474D15" w14:textId="52A65450"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Forum proceedings and partnership agreements</w:t>
            </w:r>
          </w:p>
          <w:p w14:paraId="5164DB9F" w14:textId="344EC117"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Project pipeline database</w:t>
            </w:r>
          </w:p>
          <w:p w14:paraId="6F318513" w14:textId="4152BE97"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PPP guideline documents</w:t>
            </w:r>
          </w:p>
        </w:tc>
        <w:tc>
          <w:tcPr>
            <w:tcW w:w="1701" w:type="dxa"/>
            <w:shd w:val="clear" w:color="auto" w:fill="FFFFFF"/>
          </w:tcPr>
          <w:p w14:paraId="59CB0E28" w14:textId="319A635A"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A broader investment base in the oil and gas sector, fostering technology transfer, cost-sharing, and innovative financing structures that expand market opportunities</w:t>
            </w:r>
          </w:p>
        </w:tc>
        <w:tc>
          <w:tcPr>
            <w:tcW w:w="1843" w:type="dxa"/>
            <w:shd w:val="clear" w:color="auto" w:fill="FFFFFF"/>
          </w:tcPr>
          <w:p w14:paraId="5B6FDE13" w14:textId="7B8D3FBB" w:rsidR="00D10B25" w:rsidRPr="00662906" w:rsidRDefault="007730E1"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Collaboration projects pipeline of NOCS and IOCs</w:t>
            </w:r>
          </w:p>
          <w:p w14:paraId="56A71E47" w14:textId="29E22DC9" w:rsidR="00D10B25" w:rsidRPr="00662906" w:rsidRDefault="00D10B25" w:rsidP="007E6C89">
            <w:pPr>
              <w:pStyle w:val="ListParagraph"/>
              <w:numPr>
                <w:ilvl w:val="0"/>
                <w:numId w:val="0"/>
              </w:numPr>
              <w:spacing w:before="40" w:after="40"/>
              <w:ind w:left="321"/>
              <w:jc w:val="center"/>
              <w:rPr>
                <w:rFonts w:eastAsia="Arial" w:cs="Arial"/>
                <w:color w:val="53575A"/>
                <w:sz w:val="16"/>
                <w:szCs w:val="16"/>
              </w:rPr>
            </w:pPr>
            <w:r w:rsidRPr="00662906">
              <w:rPr>
                <w:rFonts w:eastAsia="Arial" w:cs="Arial"/>
                <w:color w:val="53575A"/>
                <w:sz w:val="16"/>
                <w:szCs w:val="16"/>
              </w:rPr>
              <w:t>(Yes/No)</w:t>
            </w:r>
          </w:p>
        </w:tc>
      </w:tr>
      <w:tr w:rsidR="00D10B25" w:rsidRPr="00662906" w14:paraId="0A495A36" w14:textId="77777777" w:rsidTr="007E6C89">
        <w:trPr>
          <w:trHeight w:val="300"/>
        </w:trPr>
        <w:tc>
          <w:tcPr>
            <w:tcW w:w="167" w:type="dxa"/>
            <w:shd w:val="clear" w:color="auto" w:fill="FFFFFF"/>
            <w:tcMar>
              <w:left w:w="57" w:type="dxa"/>
              <w:right w:w="57" w:type="dxa"/>
            </w:tcMar>
          </w:tcPr>
          <w:p w14:paraId="3AF9F6A3" w14:textId="77777777" w:rsidR="00D10B25" w:rsidRPr="00662906" w:rsidRDefault="00D10B25"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2277A116" w14:textId="607E10F1"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 xml:space="preserve">Ensure wide access to clean NG energy through </w:t>
            </w:r>
            <w:r w:rsidRPr="00662906">
              <w:rPr>
                <w:rFonts w:cs="Arial"/>
                <w:sz w:val="16"/>
                <w:szCs w:val="16"/>
              </w:rPr>
              <w:lastRenderedPageBreak/>
              <w:t>targeted subsidies and network expansion</w:t>
            </w:r>
          </w:p>
        </w:tc>
        <w:tc>
          <w:tcPr>
            <w:tcW w:w="3260" w:type="dxa"/>
            <w:tcBorders>
              <w:top w:val="single" w:sz="4" w:space="0" w:color="9F2241"/>
              <w:left w:val="nil"/>
              <w:bottom w:val="single" w:sz="4" w:space="0" w:color="9F2241"/>
              <w:right w:val="nil"/>
            </w:tcBorders>
            <w:tcMar>
              <w:left w:w="57" w:type="dxa"/>
              <w:right w:w="57" w:type="dxa"/>
            </w:tcMar>
          </w:tcPr>
          <w:p w14:paraId="4ADB7946" w14:textId="32514034" w:rsidR="00D10B25" w:rsidRPr="00662906" w:rsidRDefault="00D10B25" w:rsidP="007E6C89">
            <w:pPr>
              <w:pStyle w:val="ListParagraph"/>
              <w:numPr>
                <w:ilvl w:val="0"/>
                <w:numId w:val="129"/>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Design policy measures for pro-poor NG subsidies tied to household income thresholds</w:t>
            </w:r>
          </w:p>
          <w:p w14:paraId="60C84479" w14:textId="32FD365A" w:rsidR="00D10B25" w:rsidRPr="00662906" w:rsidRDefault="00D10B25" w:rsidP="007E6C89">
            <w:pPr>
              <w:pStyle w:val="ListParagraph"/>
              <w:numPr>
                <w:ilvl w:val="0"/>
                <w:numId w:val="129"/>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Outline infrastructure rollout plans (pipelines, distribution nodes) in underserved areas</w:t>
            </w:r>
          </w:p>
          <w:p w14:paraId="00DE1A93" w14:textId="0AA6DB50" w:rsidR="00D10B25" w:rsidRPr="00662906" w:rsidRDefault="00D10B25" w:rsidP="007E6C89">
            <w:pPr>
              <w:pStyle w:val="ListParagraph"/>
              <w:numPr>
                <w:ilvl w:val="0"/>
                <w:numId w:val="129"/>
              </w:numPr>
              <w:spacing w:before="40" w:after="40"/>
              <w:ind w:left="367"/>
              <w:jc w:val="center"/>
              <w:rPr>
                <w:rFonts w:eastAsia="Arial" w:cs="Arial"/>
                <w:color w:val="394A58"/>
                <w:sz w:val="16"/>
                <w:szCs w:val="16"/>
              </w:rPr>
            </w:pPr>
            <w:r w:rsidRPr="00662906">
              <w:rPr>
                <w:rFonts w:eastAsia="Arial" w:cs="Arial"/>
                <w:color w:val="394A58"/>
                <w:sz w:val="16"/>
                <w:szCs w:val="16"/>
              </w:rPr>
              <w:t>Monitor and evaluate subsidy efficacy to minimize fiscal strain</w:t>
            </w:r>
          </w:p>
        </w:tc>
        <w:tc>
          <w:tcPr>
            <w:tcW w:w="1276" w:type="dxa"/>
            <w:shd w:val="clear" w:color="auto" w:fill="FFFFFF"/>
            <w:tcMar>
              <w:left w:w="57" w:type="dxa"/>
              <w:right w:w="57" w:type="dxa"/>
            </w:tcMar>
          </w:tcPr>
          <w:p w14:paraId="63AE3112" w14:textId="22106F9A" w:rsidR="00D10B25" w:rsidRPr="00662906" w:rsidRDefault="00D10B25"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2C9D7E2C" w14:textId="6B962535"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Ministries in charge of Energy and Petroleum</w:t>
            </w:r>
          </w:p>
        </w:tc>
        <w:tc>
          <w:tcPr>
            <w:tcW w:w="1198" w:type="dxa"/>
            <w:shd w:val="clear" w:color="auto" w:fill="FFFFFF"/>
            <w:tcMar>
              <w:left w:w="57" w:type="dxa"/>
              <w:right w:w="57" w:type="dxa"/>
            </w:tcMar>
          </w:tcPr>
          <w:p w14:paraId="7D8DF77E" w14:textId="77777777" w:rsidR="00D10B25" w:rsidRPr="00662906" w:rsidRDefault="00D10B25" w:rsidP="007E6C89">
            <w:pPr>
              <w:spacing w:before="40" w:after="40"/>
              <w:jc w:val="center"/>
              <w:rPr>
                <w:rFonts w:cs="Arial"/>
                <w:sz w:val="16"/>
                <w:szCs w:val="16"/>
              </w:rPr>
            </w:pPr>
            <w:r w:rsidRPr="00662906">
              <w:rPr>
                <w:rFonts w:cs="Arial"/>
                <w:sz w:val="16"/>
                <w:szCs w:val="16"/>
              </w:rPr>
              <w:t>UNECA, Ministries in charge of Finance</w:t>
            </w:r>
          </w:p>
          <w:p w14:paraId="30FE1BE0" w14:textId="3D4112DE" w:rsidR="007730E1" w:rsidRPr="00662906" w:rsidRDefault="007730E1" w:rsidP="007E6C89">
            <w:pPr>
              <w:spacing w:before="40" w:after="40"/>
              <w:jc w:val="center"/>
              <w:rPr>
                <w:rFonts w:eastAsia="Arial" w:cs="Arial"/>
                <w:color w:val="53575A"/>
                <w:sz w:val="16"/>
                <w:szCs w:val="16"/>
              </w:rPr>
            </w:pPr>
            <w:r w:rsidRPr="00662906">
              <w:rPr>
                <w:rFonts w:cs="Arial"/>
                <w:sz w:val="16"/>
                <w:szCs w:val="16"/>
              </w:rPr>
              <w:lastRenderedPageBreak/>
              <w:t>Private sector NG suppliers</w:t>
            </w:r>
          </w:p>
        </w:tc>
        <w:tc>
          <w:tcPr>
            <w:tcW w:w="851" w:type="dxa"/>
            <w:shd w:val="clear" w:color="auto" w:fill="FFFFFF"/>
            <w:tcMar>
              <w:left w:w="57" w:type="dxa"/>
              <w:right w:w="57" w:type="dxa"/>
            </w:tcMar>
          </w:tcPr>
          <w:p w14:paraId="1F803B91" w14:textId="7A609813" w:rsidR="00D10B25" w:rsidRPr="00662906" w:rsidRDefault="00D10B25" w:rsidP="007E6C89">
            <w:pPr>
              <w:spacing w:before="40" w:after="40"/>
              <w:jc w:val="center"/>
              <w:rPr>
                <w:rFonts w:eastAsia="Arial" w:cs="Arial"/>
                <w:color w:val="53575A"/>
                <w:sz w:val="16"/>
                <w:szCs w:val="16"/>
              </w:rPr>
            </w:pPr>
            <w:r w:rsidRPr="00662906">
              <w:rPr>
                <w:rFonts w:cs="Arial"/>
                <w:sz w:val="16"/>
                <w:szCs w:val="16"/>
              </w:rPr>
              <w:lastRenderedPageBreak/>
              <w:t>Medium-Long Term</w:t>
            </w:r>
          </w:p>
        </w:tc>
        <w:tc>
          <w:tcPr>
            <w:tcW w:w="1842" w:type="dxa"/>
            <w:shd w:val="clear" w:color="auto" w:fill="FFFFFF"/>
          </w:tcPr>
          <w:p w14:paraId="14A7FEEE" w14:textId="6C363962"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Policy documents on pro-poor subsidies</w:t>
            </w:r>
          </w:p>
          <w:p w14:paraId="0BEBA032" w14:textId="712329DF"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Infrastructure expansion plans</w:t>
            </w:r>
          </w:p>
          <w:p w14:paraId="6BDBFA52" w14:textId="57928DFA"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Annual subsidy impact evaluation</w:t>
            </w:r>
          </w:p>
        </w:tc>
        <w:tc>
          <w:tcPr>
            <w:tcW w:w="1701" w:type="dxa"/>
            <w:shd w:val="clear" w:color="auto" w:fill="FFFFFF"/>
          </w:tcPr>
          <w:p w14:paraId="711F1B64" w14:textId="0AE2509C" w:rsidR="00D10B25" w:rsidRPr="00662906" w:rsidRDefault="00D10B25" w:rsidP="007E6C89">
            <w:pPr>
              <w:spacing w:before="40" w:after="40"/>
              <w:jc w:val="center"/>
              <w:rPr>
                <w:rFonts w:eastAsia="Arial" w:cs="Arial"/>
                <w:color w:val="53575A"/>
                <w:sz w:val="16"/>
                <w:szCs w:val="16"/>
              </w:rPr>
            </w:pPr>
            <w:r w:rsidRPr="00662906">
              <w:rPr>
                <w:rFonts w:cs="Arial"/>
                <w:sz w:val="16"/>
                <w:szCs w:val="16"/>
              </w:rPr>
              <w:lastRenderedPageBreak/>
              <w:t xml:space="preserve">Improved affordability and accessibility of NG for lower-income </w:t>
            </w:r>
            <w:r w:rsidRPr="00662906">
              <w:rPr>
                <w:rFonts w:cs="Arial"/>
                <w:sz w:val="16"/>
                <w:szCs w:val="16"/>
              </w:rPr>
              <w:lastRenderedPageBreak/>
              <w:t>households, supporting equitable energy transitions and reducing reliance on harmful fuels</w:t>
            </w:r>
          </w:p>
        </w:tc>
        <w:tc>
          <w:tcPr>
            <w:tcW w:w="1843" w:type="dxa"/>
            <w:shd w:val="clear" w:color="auto" w:fill="FFFFFF"/>
          </w:tcPr>
          <w:p w14:paraId="6EF2C31C" w14:textId="0ED61ABA" w:rsidR="00D10B25" w:rsidRPr="00662906" w:rsidRDefault="007730E1"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AU-MS </w:t>
            </w:r>
            <w:r w:rsidR="00D10B25" w:rsidRPr="00662906">
              <w:rPr>
                <w:rFonts w:eastAsia="Arial" w:cs="Arial"/>
                <w:color w:val="53575A"/>
                <w:sz w:val="16"/>
                <w:szCs w:val="16"/>
              </w:rPr>
              <w:t>Subsidy policy</w:t>
            </w:r>
            <w:r w:rsidRPr="00662906">
              <w:rPr>
                <w:rFonts w:eastAsia="Arial" w:cs="Arial"/>
                <w:color w:val="53575A"/>
                <w:sz w:val="16"/>
                <w:szCs w:val="16"/>
              </w:rPr>
              <w:t xml:space="preserve">, infrastructure plans and impact </w:t>
            </w:r>
            <w:r w:rsidRPr="00662906">
              <w:rPr>
                <w:rFonts w:eastAsia="Arial" w:cs="Arial"/>
                <w:color w:val="53575A"/>
                <w:sz w:val="16"/>
                <w:szCs w:val="16"/>
              </w:rPr>
              <w:lastRenderedPageBreak/>
              <w:t>analysis results</w:t>
            </w:r>
            <w:r w:rsidR="00D10B25" w:rsidRPr="00662906">
              <w:rPr>
                <w:rFonts w:eastAsia="Arial" w:cs="Arial"/>
                <w:color w:val="53575A"/>
                <w:sz w:val="16"/>
                <w:szCs w:val="16"/>
              </w:rPr>
              <w:t xml:space="preserve"> </w:t>
            </w:r>
            <w:r w:rsidRPr="00662906">
              <w:rPr>
                <w:rFonts w:eastAsia="Arial" w:cs="Arial"/>
                <w:color w:val="53575A"/>
                <w:sz w:val="16"/>
                <w:szCs w:val="16"/>
              </w:rPr>
              <w:t xml:space="preserve">in place </w:t>
            </w:r>
            <w:r w:rsidR="00D10B25" w:rsidRPr="00662906">
              <w:rPr>
                <w:rFonts w:eastAsia="Arial" w:cs="Arial"/>
                <w:color w:val="53575A"/>
                <w:sz w:val="16"/>
                <w:szCs w:val="16"/>
              </w:rPr>
              <w:t>(Yes/No)</w:t>
            </w:r>
          </w:p>
          <w:p w14:paraId="27E7FFB4" w14:textId="65510D2F" w:rsidR="00D10B25" w:rsidRPr="00662906" w:rsidRDefault="00D10B25" w:rsidP="007E6C89">
            <w:pPr>
              <w:spacing w:before="40" w:after="40"/>
              <w:jc w:val="center"/>
              <w:rPr>
                <w:rFonts w:eastAsia="Arial" w:cs="Arial"/>
                <w:color w:val="53575A"/>
                <w:sz w:val="16"/>
                <w:szCs w:val="16"/>
              </w:rPr>
            </w:pPr>
          </w:p>
        </w:tc>
      </w:tr>
      <w:tr w:rsidR="00D10B25" w:rsidRPr="00662906" w14:paraId="181C186E" w14:textId="77777777" w:rsidTr="007E6C89">
        <w:trPr>
          <w:trHeight w:val="300"/>
        </w:trPr>
        <w:tc>
          <w:tcPr>
            <w:tcW w:w="167" w:type="dxa"/>
            <w:shd w:val="clear" w:color="auto" w:fill="FFFFFF"/>
            <w:tcMar>
              <w:left w:w="57" w:type="dxa"/>
              <w:right w:w="57" w:type="dxa"/>
            </w:tcMar>
          </w:tcPr>
          <w:p w14:paraId="3B167779" w14:textId="77777777" w:rsidR="00D10B25" w:rsidRPr="00662906" w:rsidRDefault="00D10B25"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5</w:t>
            </w:r>
          </w:p>
        </w:tc>
        <w:tc>
          <w:tcPr>
            <w:tcW w:w="1248" w:type="dxa"/>
            <w:shd w:val="clear" w:color="auto" w:fill="FFFFFF"/>
            <w:tcMar>
              <w:left w:w="57" w:type="dxa"/>
              <w:right w:w="57" w:type="dxa"/>
            </w:tcMar>
          </w:tcPr>
          <w:p w14:paraId="67F23D17" w14:textId="4149CB5E"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Enhance operational efficiency across O&amp;G supply chains</w:t>
            </w:r>
          </w:p>
        </w:tc>
        <w:tc>
          <w:tcPr>
            <w:tcW w:w="3260" w:type="dxa"/>
            <w:tcBorders>
              <w:top w:val="single" w:sz="4" w:space="0" w:color="9F2241"/>
              <w:left w:val="nil"/>
              <w:bottom w:val="single" w:sz="4" w:space="0" w:color="9F2241"/>
              <w:right w:val="nil"/>
            </w:tcBorders>
            <w:tcMar>
              <w:left w:w="57" w:type="dxa"/>
              <w:right w:w="57" w:type="dxa"/>
            </w:tcMar>
          </w:tcPr>
          <w:p w14:paraId="6A28D688" w14:textId="74D2E05E" w:rsidR="00D10B25" w:rsidRPr="00662906" w:rsidRDefault="00D10B25" w:rsidP="007E6C89">
            <w:pPr>
              <w:pStyle w:val="ListParagraph"/>
              <w:numPr>
                <w:ilvl w:val="0"/>
                <w:numId w:val="130"/>
              </w:numPr>
              <w:spacing w:before="40" w:after="40"/>
              <w:ind w:left="367"/>
              <w:jc w:val="center"/>
              <w:rPr>
                <w:rFonts w:eastAsia="Arial" w:cs="Arial"/>
                <w:color w:val="394A58"/>
                <w:sz w:val="16"/>
                <w:szCs w:val="16"/>
              </w:rPr>
            </w:pPr>
            <w:r w:rsidRPr="00662906">
              <w:rPr>
                <w:rFonts w:eastAsia="Arial" w:cs="Arial"/>
                <w:color w:val="394A58"/>
                <w:sz w:val="16"/>
                <w:szCs w:val="16"/>
              </w:rPr>
              <w:t>Implement advanced pipeline monitoring and leak detection systems</w:t>
            </w:r>
          </w:p>
          <w:p w14:paraId="3BBB1472" w14:textId="246EBD43" w:rsidR="00D10B25" w:rsidRPr="00662906" w:rsidRDefault="00D10B25" w:rsidP="007E6C89">
            <w:pPr>
              <w:pStyle w:val="ListParagraph"/>
              <w:numPr>
                <w:ilvl w:val="0"/>
                <w:numId w:val="130"/>
              </w:numPr>
              <w:spacing w:before="40" w:after="40"/>
              <w:ind w:left="367"/>
              <w:jc w:val="center"/>
              <w:rPr>
                <w:rFonts w:eastAsia="Arial" w:cs="Arial"/>
                <w:color w:val="394A58"/>
                <w:sz w:val="16"/>
                <w:szCs w:val="16"/>
              </w:rPr>
            </w:pPr>
            <w:r w:rsidRPr="00662906">
              <w:rPr>
                <w:rFonts w:eastAsia="Arial" w:cs="Arial"/>
                <w:color w:val="394A58"/>
                <w:sz w:val="16"/>
                <w:szCs w:val="16"/>
              </w:rPr>
              <w:t>Introduce digital solutions (IoT, real-time data analytics) for optimizing storage, transport, and distribution</w:t>
            </w:r>
          </w:p>
          <w:p w14:paraId="130C289E" w14:textId="58F664AB" w:rsidR="00D10B25" w:rsidRPr="00662906" w:rsidRDefault="00D10B25" w:rsidP="007E6C89">
            <w:pPr>
              <w:pStyle w:val="ListParagraph"/>
              <w:numPr>
                <w:ilvl w:val="0"/>
                <w:numId w:val="130"/>
              </w:numPr>
              <w:spacing w:before="40" w:after="40"/>
              <w:ind w:left="367"/>
              <w:jc w:val="center"/>
              <w:rPr>
                <w:rFonts w:eastAsia="Arial" w:cs="Arial"/>
                <w:color w:val="394A58"/>
                <w:sz w:val="16"/>
                <w:szCs w:val="16"/>
              </w:rPr>
            </w:pPr>
            <w:r w:rsidRPr="00662906">
              <w:rPr>
                <w:rFonts w:eastAsia="Arial" w:cs="Arial"/>
                <w:color w:val="394A58"/>
                <w:sz w:val="16"/>
                <w:szCs w:val="16"/>
              </w:rPr>
              <w:t>Provide training on modern logistics and asset management for O&amp;G personnel</w:t>
            </w:r>
          </w:p>
          <w:p w14:paraId="67E5FE9D" w14:textId="4635CC7D" w:rsidR="00D10B25" w:rsidRPr="00662906" w:rsidRDefault="00D10B25" w:rsidP="007E6C89">
            <w:pPr>
              <w:pStyle w:val="ListParagraph"/>
              <w:numPr>
                <w:ilvl w:val="0"/>
                <w:numId w:val="130"/>
              </w:numPr>
              <w:spacing w:before="40" w:after="40"/>
              <w:ind w:left="367"/>
              <w:jc w:val="center"/>
              <w:rPr>
                <w:rFonts w:eastAsia="Arial" w:cs="Arial"/>
                <w:color w:val="394A58"/>
                <w:sz w:val="16"/>
                <w:szCs w:val="16"/>
              </w:rPr>
            </w:pPr>
            <w:r w:rsidRPr="00662906">
              <w:rPr>
                <w:rFonts w:eastAsia="Arial" w:cs="Arial"/>
                <w:color w:val="394A58"/>
                <w:sz w:val="16"/>
                <w:szCs w:val="16"/>
              </w:rPr>
              <w:t>Foster cooperation among national regulators to harmonize operational standards</w:t>
            </w:r>
          </w:p>
        </w:tc>
        <w:tc>
          <w:tcPr>
            <w:tcW w:w="1276" w:type="dxa"/>
            <w:shd w:val="clear" w:color="auto" w:fill="FFFFFF"/>
            <w:tcMar>
              <w:left w:w="57" w:type="dxa"/>
              <w:right w:w="57" w:type="dxa"/>
            </w:tcMar>
          </w:tcPr>
          <w:p w14:paraId="7D65CA3D" w14:textId="66B6FCB9"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450C7401" w14:textId="150A2DBC"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Regional Directorates of Energy</w:t>
            </w:r>
          </w:p>
        </w:tc>
        <w:tc>
          <w:tcPr>
            <w:tcW w:w="1198" w:type="dxa"/>
            <w:shd w:val="clear" w:color="auto" w:fill="FFFFFF"/>
            <w:tcMar>
              <w:left w:w="57" w:type="dxa"/>
              <w:right w:w="57" w:type="dxa"/>
            </w:tcMar>
          </w:tcPr>
          <w:p w14:paraId="09CB2F4C" w14:textId="09723D77"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 xml:space="preserve">National </w:t>
            </w:r>
            <w:r w:rsidR="007730E1" w:rsidRPr="00662906">
              <w:rPr>
                <w:rFonts w:cs="Arial"/>
                <w:sz w:val="16"/>
                <w:szCs w:val="16"/>
              </w:rPr>
              <w:t xml:space="preserve">and regional </w:t>
            </w:r>
            <w:r w:rsidRPr="00662906">
              <w:rPr>
                <w:rFonts w:cs="Arial"/>
                <w:sz w:val="16"/>
                <w:szCs w:val="16"/>
              </w:rPr>
              <w:t>Energy Regulators, O&amp;G Companies, Ministries in charge of Energy</w:t>
            </w:r>
          </w:p>
        </w:tc>
        <w:tc>
          <w:tcPr>
            <w:tcW w:w="851" w:type="dxa"/>
            <w:shd w:val="clear" w:color="auto" w:fill="FFFFFF"/>
            <w:tcMar>
              <w:left w:w="57" w:type="dxa"/>
              <w:right w:w="57" w:type="dxa"/>
            </w:tcMar>
          </w:tcPr>
          <w:p w14:paraId="52E21D6C" w14:textId="278FDBDE"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0BDAE870" w14:textId="5139BCC0"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Deployment of digital monitoring and leak detection technologies</w:t>
            </w:r>
          </w:p>
          <w:p w14:paraId="6813B660" w14:textId="6B6341A4"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modules for O&amp;G logistics</w:t>
            </w:r>
          </w:p>
          <w:p w14:paraId="303A4BC3" w14:textId="583A861F" w:rsidR="00D10B25" w:rsidRPr="00662906" w:rsidRDefault="00D10B2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Harmonized operating standards/regulations</w:t>
            </w:r>
          </w:p>
        </w:tc>
        <w:tc>
          <w:tcPr>
            <w:tcW w:w="1701" w:type="dxa"/>
            <w:shd w:val="clear" w:color="auto" w:fill="FFFFFF"/>
          </w:tcPr>
          <w:p w14:paraId="4779574C" w14:textId="273B2D24" w:rsidR="00D10B25" w:rsidRPr="00662906" w:rsidRDefault="00D10B25" w:rsidP="007E6C89">
            <w:pPr>
              <w:spacing w:before="40" w:after="40"/>
              <w:jc w:val="center"/>
              <w:rPr>
                <w:rFonts w:eastAsia="Arial" w:cs="Arial"/>
                <w:color w:val="53575A"/>
                <w:sz w:val="16"/>
                <w:szCs w:val="16"/>
              </w:rPr>
            </w:pPr>
            <w:r w:rsidRPr="00662906">
              <w:rPr>
                <w:rFonts w:cs="Arial"/>
                <w:sz w:val="16"/>
                <w:szCs w:val="16"/>
              </w:rPr>
              <w:t>Reduced losses and environmental incidents in O&amp;G infrastructure, lowering operational costs and improving sustainability across the entire supply chain</w:t>
            </w:r>
          </w:p>
        </w:tc>
        <w:tc>
          <w:tcPr>
            <w:tcW w:w="1843" w:type="dxa"/>
            <w:shd w:val="clear" w:color="auto" w:fill="FFFFFF"/>
          </w:tcPr>
          <w:p w14:paraId="75214334" w14:textId="20AF63D8" w:rsidR="00D10B25" w:rsidRPr="00662906" w:rsidRDefault="007730E1"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Robust monitoring of implementation of </w:t>
            </w:r>
            <w:r w:rsidR="002266AA" w:rsidRPr="00662906">
              <w:rPr>
                <w:rFonts w:eastAsia="Arial" w:cs="Arial"/>
                <w:color w:val="53575A"/>
                <w:sz w:val="16"/>
                <w:szCs w:val="16"/>
              </w:rPr>
              <w:t>O</w:t>
            </w:r>
            <w:r w:rsidRPr="00662906">
              <w:rPr>
                <w:rFonts w:eastAsia="Arial" w:cs="Arial"/>
                <w:color w:val="53575A"/>
                <w:sz w:val="16"/>
                <w:szCs w:val="16"/>
              </w:rPr>
              <w:t>&amp;G leaks</w:t>
            </w:r>
            <w:r w:rsidR="002266AA" w:rsidRPr="00662906">
              <w:rPr>
                <w:rFonts w:eastAsia="Arial" w:cs="Arial"/>
                <w:color w:val="53575A"/>
                <w:sz w:val="16"/>
                <w:szCs w:val="16"/>
              </w:rPr>
              <w:t xml:space="preserve"> regulatory framework on full value chain.</w:t>
            </w:r>
            <w:r w:rsidR="00D10B25" w:rsidRPr="00662906">
              <w:rPr>
                <w:rFonts w:eastAsia="Arial" w:cs="Arial"/>
                <w:color w:val="53575A"/>
                <w:sz w:val="16"/>
                <w:szCs w:val="16"/>
              </w:rPr>
              <w:t xml:space="preserve"> (Yes/No)</w:t>
            </w:r>
          </w:p>
        </w:tc>
      </w:tr>
    </w:tbl>
    <w:p w14:paraId="6336B097" w14:textId="4FDCB4CB" w:rsidR="0041795F" w:rsidRPr="00662906" w:rsidRDefault="00C3663D" w:rsidP="34896C4D">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p>
    <w:p w14:paraId="59C28A1C" w14:textId="40034F2A" w:rsidR="007734A4" w:rsidRPr="00662906" w:rsidRDefault="3520A7FE" w:rsidP="00890F0C">
      <w:pPr>
        <w:pStyle w:val="Caption"/>
      </w:pPr>
      <w:bookmarkStart w:id="667" w:name="_Toc171955600"/>
      <w:bookmarkStart w:id="668" w:name="_Toc197433916"/>
      <w:r w:rsidRPr="00662906">
        <w:t xml:space="preserve">Table </w:t>
      </w:r>
      <w:fldSimple w:instr=" SEQ Table \* ARABIC ">
        <w:r w:rsidR="00610F61">
          <w:rPr>
            <w:noProof/>
          </w:rPr>
          <w:t>28</w:t>
        </w:r>
      </w:fldSimple>
      <w:r w:rsidRPr="00662906">
        <w:t xml:space="preserve">: </w:t>
      </w:r>
      <w:r w:rsidR="263C90F8" w:rsidRPr="00662906">
        <w:t>Strategic Intervention 3: Environmental, Social and Governance Sustainability</w:t>
      </w:r>
      <w:r w:rsidR="35D2F0A0" w:rsidRPr="00662906">
        <w:t xml:space="preserve"> enhanced</w:t>
      </w:r>
      <w:bookmarkEnd w:id="667"/>
      <w:bookmarkEnd w:id="668"/>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7E6C89" w:rsidRPr="00662906" w14:paraId="26CAB3AA" w14:textId="77777777" w:rsidTr="007E6C89">
        <w:trPr>
          <w:trHeight w:val="360"/>
        </w:trPr>
        <w:tc>
          <w:tcPr>
            <w:tcW w:w="14456" w:type="dxa"/>
            <w:gridSpan w:val="10"/>
            <w:shd w:val="clear" w:color="auto" w:fill="B4A269"/>
            <w:vAlign w:val="center"/>
          </w:tcPr>
          <w:p w14:paraId="4EB8E8E0"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bCs/>
                <w:color w:val="FFFFFF"/>
                <w:sz w:val="16"/>
                <w:szCs w:val="16"/>
              </w:rPr>
              <w:t>The oil and gas sector’s future depends on adherence to ESG protocols to maintain competitiveness and financial sustainability. This intervention focuses on building capacity among African stakeholders to negotiate and enforce ESG compliance, ensuring that both IOCs and NOCs adopt sustainable practices. By embedding ESG principles into regulations and operations, the pathway ensures environmental responsibility, workforce equity, and long-term sectoral resilience.</w:t>
            </w:r>
          </w:p>
        </w:tc>
      </w:tr>
      <w:tr w:rsidR="007E6C89" w:rsidRPr="00662906" w14:paraId="2F4CEB37" w14:textId="77777777" w:rsidTr="007E6C89">
        <w:trPr>
          <w:trHeight w:val="699"/>
        </w:trPr>
        <w:tc>
          <w:tcPr>
            <w:tcW w:w="1415" w:type="dxa"/>
            <w:gridSpan w:val="2"/>
            <w:shd w:val="clear" w:color="auto" w:fill="B4A269"/>
            <w:tcMar>
              <w:left w:w="57" w:type="dxa"/>
              <w:right w:w="57" w:type="dxa"/>
            </w:tcMar>
          </w:tcPr>
          <w:p w14:paraId="495B55E0" w14:textId="77777777" w:rsidR="007E6C89" w:rsidRPr="00662906" w:rsidRDefault="007E6C89" w:rsidP="00551CAC">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4FFA5967" w14:textId="77777777" w:rsidR="007E6C89" w:rsidRPr="00662906" w:rsidRDefault="007E6C89"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524494E4"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2C10CBD1"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1B67D45D"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794AB98A"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42BCE775"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640844F3"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2C4A0920" w14:textId="77777777" w:rsidR="007E6C89" w:rsidRPr="00662906" w:rsidRDefault="007E6C89"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7E6C89" w:rsidRPr="00662906" w14:paraId="2C67EDCE" w14:textId="77777777" w:rsidTr="00551CAC">
        <w:trPr>
          <w:trHeight w:val="1413"/>
        </w:trPr>
        <w:tc>
          <w:tcPr>
            <w:tcW w:w="167" w:type="dxa"/>
            <w:shd w:val="clear" w:color="auto" w:fill="FFFFFF"/>
            <w:tcMar>
              <w:left w:w="57" w:type="dxa"/>
              <w:right w:w="57" w:type="dxa"/>
            </w:tcMar>
          </w:tcPr>
          <w:p w14:paraId="34E8679C" w14:textId="77777777" w:rsidR="007E6C89" w:rsidRPr="00662906" w:rsidRDefault="007E6C89" w:rsidP="00551CAC">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52DBA237"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Establish ESG minimum guidelines for both IOCs and NOCs</w:t>
            </w:r>
          </w:p>
        </w:tc>
        <w:tc>
          <w:tcPr>
            <w:tcW w:w="3260" w:type="dxa"/>
            <w:tcBorders>
              <w:bottom w:val="single" w:sz="2" w:space="0" w:color="9F2241"/>
            </w:tcBorders>
            <w:shd w:val="clear" w:color="auto" w:fill="FFFFFF"/>
            <w:tcMar>
              <w:left w:w="57" w:type="dxa"/>
              <w:right w:w="57" w:type="dxa"/>
            </w:tcMar>
          </w:tcPr>
          <w:p w14:paraId="4EEAE9F4" w14:textId="77777777" w:rsidR="007E6C89" w:rsidRPr="00662906" w:rsidRDefault="007E6C89" w:rsidP="00551CAC">
            <w:pPr>
              <w:pStyle w:val="ListParagraph"/>
              <w:numPr>
                <w:ilvl w:val="0"/>
                <w:numId w:val="131"/>
              </w:numPr>
              <w:spacing w:before="0" w:after="0"/>
              <w:ind w:left="367"/>
              <w:jc w:val="center"/>
              <w:rPr>
                <w:rFonts w:cs="Arial"/>
                <w:sz w:val="16"/>
                <w:szCs w:val="16"/>
              </w:rPr>
            </w:pPr>
            <w:r w:rsidRPr="00662906">
              <w:rPr>
                <w:rFonts w:cs="Arial"/>
                <w:sz w:val="16"/>
                <w:szCs w:val="16"/>
              </w:rPr>
              <w:t>Draft ESG guidelines aligned with global best practices while reflecting African socioeconomic contexts</w:t>
            </w:r>
          </w:p>
          <w:p w14:paraId="251E048B" w14:textId="77777777" w:rsidR="007E6C89" w:rsidRPr="00662906" w:rsidRDefault="007E6C89" w:rsidP="00551CAC">
            <w:pPr>
              <w:pStyle w:val="ListParagraph"/>
              <w:numPr>
                <w:ilvl w:val="0"/>
                <w:numId w:val="131"/>
              </w:numPr>
              <w:spacing w:before="0" w:after="0"/>
              <w:ind w:left="367"/>
              <w:jc w:val="center"/>
              <w:rPr>
                <w:rFonts w:cs="Arial"/>
                <w:sz w:val="16"/>
                <w:szCs w:val="16"/>
              </w:rPr>
            </w:pPr>
            <w:r w:rsidRPr="00662906">
              <w:rPr>
                <w:rFonts w:cs="Arial"/>
                <w:sz w:val="16"/>
                <w:szCs w:val="16"/>
              </w:rPr>
              <w:t>Convene stakeholder consultations (IOCs, NOCs, civil society) for feedback</w:t>
            </w:r>
          </w:p>
          <w:p w14:paraId="0BA1063E" w14:textId="77777777" w:rsidR="007E6C89" w:rsidRPr="00662906" w:rsidRDefault="007E6C89" w:rsidP="00551CAC">
            <w:pPr>
              <w:pStyle w:val="ListParagraph"/>
              <w:numPr>
                <w:ilvl w:val="0"/>
                <w:numId w:val="131"/>
              </w:numPr>
              <w:spacing w:before="0" w:after="0"/>
              <w:ind w:left="367"/>
              <w:jc w:val="center"/>
              <w:rPr>
                <w:rFonts w:cs="Arial"/>
                <w:sz w:val="16"/>
                <w:szCs w:val="16"/>
              </w:rPr>
            </w:pPr>
            <w:r w:rsidRPr="00662906">
              <w:rPr>
                <w:rFonts w:cs="Arial"/>
                <w:sz w:val="16"/>
                <w:szCs w:val="16"/>
              </w:rPr>
              <w:t>Develop standardized monitoring and reporting templates for voluntary adoption</w:t>
            </w:r>
          </w:p>
          <w:p w14:paraId="3B791F69" w14:textId="77777777" w:rsidR="007E6C89" w:rsidRPr="00662906" w:rsidRDefault="007E6C89" w:rsidP="00551CAC">
            <w:pPr>
              <w:pStyle w:val="ListParagraph"/>
              <w:numPr>
                <w:ilvl w:val="0"/>
                <w:numId w:val="131"/>
              </w:numPr>
              <w:spacing w:before="0" w:after="0"/>
              <w:ind w:left="367"/>
              <w:jc w:val="center"/>
              <w:rPr>
                <w:rFonts w:cs="Arial"/>
                <w:sz w:val="16"/>
                <w:szCs w:val="16"/>
              </w:rPr>
            </w:pPr>
            <w:r w:rsidRPr="00662906">
              <w:rPr>
                <w:rFonts w:cs="Arial"/>
                <w:sz w:val="16"/>
                <w:szCs w:val="16"/>
              </w:rPr>
              <w:t>Finalize guidelines and circulate to Member States and industry actors</w:t>
            </w:r>
          </w:p>
        </w:tc>
        <w:tc>
          <w:tcPr>
            <w:tcW w:w="1276" w:type="dxa"/>
            <w:shd w:val="clear" w:color="auto" w:fill="FFFFFF"/>
            <w:tcMar>
              <w:left w:w="57" w:type="dxa"/>
              <w:right w:w="57" w:type="dxa"/>
            </w:tcMar>
          </w:tcPr>
          <w:p w14:paraId="30B6E36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733E9B3D"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43D67589"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UNECA, Regional Oil &amp; Gas Associations, Ministries in charge of Energy and Petroleum (MEP), Ministries in charge of Labour/Social Affairs (MoL/MSA)</w:t>
            </w:r>
          </w:p>
        </w:tc>
        <w:tc>
          <w:tcPr>
            <w:tcW w:w="851" w:type="dxa"/>
            <w:shd w:val="clear" w:color="auto" w:fill="FFFFFF"/>
            <w:tcMar>
              <w:left w:w="57" w:type="dxa"/>
              <w:right w:w="57" w:type="dxa"/>
            </w:tcMar>
          </w:tcPr>
          <w:p w14:paraId="1567E4B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4DBDC8B9"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ESG guidelines document</w:t>
            </w:r>
          </w:p>
          <w:p w14:paraId="04CA3A4D"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consultation reports</w:t>
            </w:r>
          </w:p>
          <w:p w14:paraId="5D2B4E53"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Reporting templates</w:t>
            </w:r>
          </w:p>
        </w:tc>
        <w:tc>
          <w:tcPr>
            <w:tcW w:w="1701" w:type="dxa"/>
            <w:shd w:val="clear" w:color="auto" w:fill="FFFFFF"/>
          </w:tcPr>
          <w:p w14:paraId="6168A263"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A clear, uniform approach for sustainable O&amp;G investments and operations across Africa, paving the way for environmental responsibility and social equity</w:t>
            </w:r>
          </w:p>
        </w:tc>
        <w:tc>
          <w:tcPr>
            <w:tcW w:w="1843" w:type="dxa"/>
            <w:shd w:val="clear" w:color="auto" w:fill="FFFFFF"/>
          </w:tcPr>
          <w:p w14:paraId="062AA0D0" w14:textId="77777777" w:rsidR="007E6C89" w:rsidRPr="00662906" w:rsidRDefault="007E6C89" w:rsidP="00551CAC">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Established ESG Guidelines fand reporting system in Place in AU-MS (Yes/No)</w:t>
            </w:r>
          </w:p>
        </w:tc>
      </w:tr>
      <w:tr w:rsidR="007E6C89" w:rsidRPr="00662906" w14:paraId="100AD1C8" w14:textId="77777777" w:rsidTr="00551CAC">
        <w:trPr>
          <w:trHeight w:val="300"/>
        </w:trPr>
        <w:tc>
          <w:tcPr>
            <w:tcW w:w="167" w:type="dxa"/>
            <w:shd w:val="clear" w:color="auto" w:fill="FFFFFF"/>
            <w:tcMar>
              <w:left w:w="57" w:type="dxa"/>
              <w:right w:w="57" w:type="dxa"/>
            </w:tcMar>
          </w:tcPr>
          <w:p w14:paraId="2A1AD20D" w14:textId="77777777" w:rsidR="007E6C89" w:rsidRPr="00662906" w:rsidRDefault="007E6C89" w:rsidP="00551CAC">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61F90ADF"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 xml:space="preserve">Develop ESG model </w:t>
            </w:r>
            <w:r w:rsidRPr="00662906">
              <w:rPr>
                <w:rFonts w:cs="Arial"/>
                <w:sz w:val="16"/>
                <w:szCs w:val="16"/>
              </w:rPr>
              <w:lastRenderedPageBreak/>
              <w:t>regulations for the oil and gas industry, including a reporting platform</w:t>
            </w:r>
          </w:p>
        </w:tc>
        <w:tc>
          <w:tcPr>
            <w:tcW w:w="3260" w:type="dxa"/>
            <w:tcBorders>
              <w:bottom w:val="single" w:sz="4" w:space="0" w:color="9F2241"/>
            </w:tcBorders>
            <w:shd w:val="clear" w:color="auto" w:fill="FFFFFF"/>
            <w:tcMar>
              <w:left w:w="57" w:type="dxa"/>
              <w:right w:w="57" w:type="dxa"/>
            </w:tcMar>
          </w:tcPr>
          <w:p w14:paraId="2A22F829" w14:textId="77777777" w:rsidR="007E6C89" w:rsidRPr="00662906" w:rsidRDefault="007E6C89" w:rsidP="00551CAC">
            <w:pPr>
              <w:pStyle w:val="ListParagraph"/>
              <w:numPr>
                <w:ilvl w:val="0"/>
                <w:numId w:val="132"/>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Review existing national/regional ESG regulations to identify best practices</w:t>
            </w:r>
          </w:p>
          <w:p w14:paraId="1A970CFF" w14:textId="77777777" w:rsidR="007E6C89" w:rsidRPr="00662906" w:rsidRDefault="007E6C89" w:rsidP="00551CAC">
            <w:pPr>
              <w:pStyle w:val="ListParagraph"/>
              <w:numPr>
                <w:ilvl w:val="0"/>
                <w:numId w:val="132"/>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Draft model regulations detailing compliance requirements, enforcement procedures, and penalties</w:t>
            </w:r>
          </w:p>
          <w:p w14:paraId="2FDA4CC8" w14:textId="77777777" w:rsidR="007E6C89" w:rsidRPr="00662906" w:rsidRDefault="007E6C89" w:rsidP="00551CAC">
            <w:pPr>
              <w:pStyle w:val="ListParagraph"/>
              <w:numPr>
                <w:ilvl w:val="0"/>
                <w:numId w:val="132"/>
              </w:numPr>
              <w:spacing w:before="40" w:after="40"/>
              <w:ind w:left="367"/>
              <w:jc w:val="center"/>
              <w:rPr>
                <w:rFonts w:eastAsia="Arial" w:cs="Arial"/>
                <w:color w:val="394A58"/>
                <w:sz w:val="16"/>
                <w:szCs w:val="16"/>
              </w:rPr>
            </w:pPr>
            <w:r w:rsidRPr="00662906">
              <w:rPr>
                <w:rFonts w:eastAsia="Arial" w:cs="Arial"/>
                <w:color w:val="394A58"/>
                <w:sz w:val="16"/>
                <w:szCs w:val="16"/>
              </w:rPr>
              <w:t>Create a digital reporting platform for transparent disclosure of ESG metrics</w:t>
            </w:r>
          </w:p>
          <w:p w14:paraId="64C06CB2" w14:textId="77777777" w:rsidR="007E6C89" w:rsidRPr="00662906" w:rsidRDefault="007E6C89" w:rsidP="00551CAC">
            <w:pPr>
              <w:pStyle w:val="ListParagraph"/>
              <w:numPr>
                <w:ilvl w:val="0"/>
                <w:numId w:val="132"/>
              </w:numPr>
              <w:spacing w:before="40" w:after="40"/>
              <w:ind w:left="367"/>
              <w:jc w:val="center"/>
              <w:rPr>
                <w:rFonts w:eastAsia="Arial" w:cs="Arial"/>
                <w:color w:val="394A58"/>
                <w:sz w:val="16"/>
                <w:szCs w:val="16"/>
              </w:rPr>
            </w:pPr>
            <w:r w:rsidRPr="00662906">
              <w:rPr>
                <w:rFonts w:eastAsia="Arial" w:cs="Arial"/>
                <w:color w:val="394A58"/>
                <w:sz w:val="16"/>
                <w:szCs w:val="16"/>
              </w:rPr>
              <w:t>Promote uptake of model regulations through regional workshops</w:t>
            </w:r>
          </w:p>
        </w:tc>
        <w:tc>
          <w:tcPr>
            <w:tcW w:w="1276" w:type="dxa"/>
            <w:shd w:val="clear" w:color="auto" w:fill="FFFFFF"/>
            <w:tcMar>
              <w:left w:w="57" w:type="dxa"/>
              <w:right w:w="57" w:type="dxa"/>
            </w:tcMar>
          </w:tcPr>
          <w:p w14:paraId="4516D2EA"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lastRenderedPageBreak/>
              <w:t>Continental</w:t>
            </w:r>
          </w:p>
        </w:tc>
        <w:tc>
          <w:tcPr>
            <w:tcW w:w="1070" w:type="dxa"/>
            <w:shd w:val="clear" w:color="auto" w:fill="FFFFFF"/>
            <w:tcMar>
              <w:left w:w="57" w:type="dxa"/>
              <w:right w:w="57" w:type="dxa"/>
            </w:tcMar>
          </w:tcPr>
          <w:p w14:paraId="17A62437"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AFUR</w:t>
            </w:r>
          </w:p>
        </w:tc>
        <w:tc>
          <w:tcPr>
            <w:tcW w:w="1198" w:type="dxa"/>
            <w:shd w:val="clear" w:color="auto" w:fill="FFFFFF"/>
            <w:tcMar>
              <w:left w:w="57" w:type="dxa"/>
              <w:right w:w="57" w:type="dxa"/>
            </w:tcMar>
          </w:tcPr>
          <w:p w14:paraId="5BC8173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 xml:space="preserve">AFREC AFSEC, </w:t>
            </w:r>
            <w:r w:rsidRPr="00662906">
              <w:rPr>
                <w:rFonts w:cs="Arial"/>
                <w:sz w:val="16"/>
                <w:szCs w:val="16"/>
              </w:rPr>
              <w:lastRenderedPageBreak/>
              <w:t>Regional Energy Regulators, Regional Oil &amp; Gas Associations, MEP, MoL/MSA</w:t>
            </w:r>
          </w:p>
        </w:tc>
        <w:tc>
          <w:tcPr>
            <w:tcW w:w="851" w:type="dxa"/>
            <w:shd w:val="clear" w:color="auto" w:fill="FFFFFF"/>
            <w:tcMar>
              <w:left w:w="57" w:type="dxa"/>
              <w:right w:w="57" w:type="dxa"/>
            </w:tcMar>
          </w:tcPr>
          <w:p w14:paraId="262F6C87"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lastRenderedPageBreak/>
              <w:t>Short Term</w:t>
            </w:r>
          </w:p>
        </w:tc>
        <w:tc>
          <w:tcPr>
            <w:tcW w:w="1842" w:type="dxa"/>
            <w:shd w:val="clear" w:color="auto" w:fill="FFFFFF"/>
          </w:tcPr>
          <w:p w14:paraId="04633ED4"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Model ESG regulations</w:t>
            </w:r>
          </w:p>
          <w:p w14:paraId="6E6DFEF0"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Digital reporting platform</w:t>
            </w:r>
          </w:p>
          <w:p w14:paraId="0CDA38AC"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proceedings and adoption guidelines</w:t>
            </w:r>
          </w:p>
        </w:tc>
        <w:tc>
          <w:tcPr>
            <w:tcW w:w="1701" w:type="dxa"/>
            <w:shd w:val="clear" w:color="auto" w:fill="FFFFFF"/>
          </w:tcPr>
          <w:p w14:paraId="2ABCDF2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lastRenderedPageBreak/>
              <w:t xml:space="preserve">A harmonized regulatory </w:t>
            </w:r>
            <w:r w:rsidRPr="00662906">
              <w:rPr>
                <w:rFonts w:cs="Arial"/>
                <w:sz w:val="16"/>
                <w:szCs w:val="16"/>
              </w:rPr>
              <w:lastRenderedPageBreak/>
              <w:t>framework with consistent ESG compliance and reporting requirements, facilitating investor confidence and accountability across the continent</w:t>
            </w:r>
          </w:p>
        </w:tc>
        <w:tc>
          <w:tcPr>
            <w:tcW w:w="1843" w:type="dxa"/>
            <w:shd w:val="clear" w:color="auto" w:fill="FFFFFF"/>
          </w:tcPr>
          <w:p w14:paraId="2AC98547" w14:textId="77777777" w:rsidR="007E6C89" w:rsidRPr="00662906" w:rsidRDefault="007E6C89" w:rsidP="00551CAC">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 xml:space="preserve">Model regulations and reporting </w:t>
            </w:r>
            <w:r w:rsidRPr="00662906">
              <w:rPr>
                <w:rFonts w:eastAsia="Arial" w:cs="Arial"/>
                <w:color w:val="53575A"/>
                <w:sz w:val="16"/>
                <w:szCs w:val="16"/>
              </w:rPr>
              <w:lastRenderedPageBreak/>
              <w:t>published and adopted by AU-MS (Yes/No)</w:t>
            </w:r>
          </w:p>
        </w:tc>
      </w:tr>
      <w:tr w:rsidR="007E6C89" w:rsidRPr="00662906" w14:paraId="46EEF9A3" w14:textId="77777777" w:rsidTr="00551CAC">
        <w:trPr>
          <w:trHeight w:val="300"/>
        </w:trPr>
        <w:tc>
          <w:tcPr>
            <w:tcW w:w="167" w:type="dxa"/>
            <w:shd w:val="clear" w:color="auto" w:fill="FFFFFF"/>
            <w:tcMar>
              <w:left w:w="57" w:type="dxa"/>
              <w:right w:w="57" w:type="dxa"/>
            </w:tcMar>
          </w:tcPr>
          <w:p w14:paraId="0A1EA918" w14:textId="77777777" w:rsidR="007E6C89" w:rsidRPr="00662906" w:rsidRDefault="007E6C89" w:rsidP="00551CAC">
            <w:pPr>
              <w:spacing w:before="40" w:after="40"/>
              <w:jc w:val="center"/>
              <w:rPr>
                <w:rFonts w:cs="Arial"/>
                <w:color w:val="53575A"/>
                <w:sz w:val="16"/>
                <w:szCs w:val="16"/>
              </w:rPr>
            </w:pPr>
            <w:r w:rsidRPr="00662906">
              <w:rPr>
                <w:rFonts w:eastAsia="Arial" w:cs="Arial"/>
                <w:color w:val="53575A"/>
                <w:sz w:val="16"/>
                <w:szCs w:val="16"/>
              </w:rPr>
              <w:lastRenderedPageBreak/>
              <w:t>3</w:t>
            </w:r>
          </w:p>
        </w:tc>
        <w:tc>
          <w:tcPr>
            <w:tcW w:w="1248" w:type="dxa"/>
            <w:shd w:val="clear" w:color="auto" w:fill="FFFFFF"/>
            <w:tcMar>
              <w:left w:w="57" w:type="dxa"/>
              <w:right w:w="57" w:type="dxa"/>
            </w:tcMar>
          </w:tcPr>
          <w:p w14:paraId="5549C37A"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Raise awareness on ESG responsibilities and benefits for NOCs and IOCs</w:t>
            </w:r>
          </w:p>
        </w:tc>
        <w:tc>
          <w:tcPr>
            <w:tcW w:w="3260" w:type="dxa"/>
            <w:tcBorders>
              <w:top w:val="single" w:sz="4" w:space="0" w:color="9F2241"/>
              <w:left w:val="nil"/>
              <w:bottom w:val="single" w:sz="4" w:space="0" w:color="9F2241"/>
              <w:right w:val="nil"/>
            </w:tcBorders>
            <w:tcMar>
              <w:left w:w="57" w:type="dxa"/>
              <w:right w:w="57" w:type="dxa"/>
            </w:tcMar>
          </w:tcPr>
          <w:p w14:paraId="09DCFD49" w14:textId="77777777" w:rsidR="007E6C89" w:rsidRPr="00662906" w:rsidRDefault="007E6C89" w:rsidP="00551CAC">
            <w:pPr>
              <w:pStyle w:val="ListParagraph"/>
              <w:numPr>
                <w:ilvl w:val="0"/>
                <w:numId w:val="133"/>
              </w:numPr>
              <w:spacing w:before="40" w:after="40"/>
              <w:ind w:left="367"/>
              <w:jc w:val="center"/>
              <w:rPr>
                <w:rFonts w:eastAsia="Arial" w:cs="Arial"/>
                <w:color w:val="394A58"/>
                <w:sz w:val="16"/>
                <w:szCs w:val="16"/>
              </w:rPr>
            </w:pPr>
            <w:r w:rsidRPr="00662906">
              <w:rPr>
                <w:rFonts w:eastAsia="Arial" w:cs="Arial"/>
                <w:color w:val="394A58"/>
                <w:sz w:val="16"/>
                <w:szCs w:val="16"/>
              </w:rPr>
              <w:t>Develop user-friendly outreach materials (guides, toolkits) in multiple languages</w:t>
            </w:r>
          </w:p>
          <w:p w14:paraId="7DED8473" w14:textId="77777777" w:rsidR="007E6C89" w:rsidRPr="00662906" w:rsidRDefault="007E6C89" w:rsidP="00551CAC">
            <w:pPr>
              <w:pStyle w:val="ListParagraph"/>
              <w:numPr>
                <w:ilvl w:val="0"/>
                <w:numId w:val="133"/>
              </w:numPr>
              <w:spacing w:before="40" w:after="40"/>
              <w:ind w:left="367"/>
              <w:jc w:val="center"/>
              <w:rPr>
                <w:rFonts w:eastAsia="Arial" w:cs="Arial"/>
                <w:color w:val="394A58"/>
                <w:sz w:val="16"/>
                <w:szCs w:val="16"/>
              </w:rPr>
            </w:pPr>
            <w:r w:rsidRPr="00662906">
              <w:rPr>
                <w:rFonts w:eastAsia="Arial" w:cs="Arial"/>
                <w:color w:val="394A58"/>
                <w:sz w:val="16"/>
                <w:szCs w:val="16"/>
              </w:rPr>
              <w:t>Conduct national and regional seminars on ESG obligations and potential operational benefits</w:t>
            </w:r>
          </w:p>
          <w:p w14:paraId="1BFF330E" w14:textId="77777777" w:rsidR="007E6C89" w:rsidRPr="00662906" w:rsidRDefault="007E6C89" w:rsidP="00551CAC">
            <w:pPr>
              <w:pStyle w:val="ListParagraph"/>
              <w:numPr>
                <w:ilvl w:val="0"/>
                <w:numId w:val="133"/>
              </w:numPr>
              <w:spacing w:before="40" w:after="40"/>
              <w:ind w:left="367"/>
              <w:jc w:val="center"/>
              <w:rPr>
                <w:rFonts w:eastAsia="Arial" w:cs="Arial"/>
                <w:color w:val="394A58"/>
                <w:sz w:val="16"/>
                <w:szCs w:val="16"/>
              </w:rPr>
            </w:pPr>
            <w:r w:rsidRPr="00662906">
              <w:rPr>
                <w:rFonts w:eastAsia="Arial" w:cs="Arial"/>
                <w:color w:val="394A58"/>
                <w:sz w:val="16"/>
                <w:szCs w:val="16"/>
              </w:rPr>
              <w:t>Capture success stories and case studies for wide dissemination</w:t>
            </w:r>
          </w:p>
          <w:p w14:paraId="28565C8E" w14:textId="77777777" w:rsidR="007E6C89" w:rsidRPr="00662906" w:rsidRDefault="007E6C89" w:rsidP="00551CAC">
            <w:pPr>
              <w:pStyle w:val="ListParagraph"/>
              <w:numPr>
                <w:ilvl w:val="0"/>
                <w:numId w:val="133"/>
              </w:numPr>
              <w:spacing w:before="40" w:after="40"/>
              <w:ind w:left="367"/>
              <w:jc w:val="center"/>
              <w:rPr>
                <w:rFonts w:eastAsia="Arial" w:cs="Arial"/>
                <w:color w:val="394A58"/>
                <w:sz w:val="16"/>
                <w:szCs w:val="16"/>
              </w:rPr>
            </w:pPr>
            <w:r w:rsidRPr="00662906">
              <w:rPr>
                <w:rFonts w:eastAsia="Arial" w:cs="Arial"/>
                <w:color w:val="394A58"/>
                <w:sz w:val="16"/>
                <w:szCs w:val="16"/>
              </w:rPr>
              <w:t>Integrate ESG content into O&amp;G conferences</w:t>
            </w:r>
          </w:p>
        </w:tc>
        <w:tc>
          <w:tcPr>
            <w:tcW w:w="1276" w:type="dxa"/>
            <w:shd w:val="clear" w:color="auto" w:fill="FFFFFF"/>
            <w:tcMar>
              <w:left w:w="57" w:type="dxa"/>
              <w:right w:w="57" w:type="dxa"/>
            </w:tcMar>
          </w:tcPr>
          <w:p w14:paraId="14297D78"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16BF1BD2"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MEPs</w:t>
            </w:r>
          </w:p>
        </w:tc>
        <w:tc>
          <w:tcPr>
            <w:tcW w:w="1198" w:type="dxa"/>
            <w:shd w:val="clear" w:color="auto" w:fill="FFFFFF"/>
            <w:tcMar>
              <w:left w:w="57" w:type="dxa"/>
              <w:right w:w="57" w:type="dxa"/>
            </w:tcMar>
          </w:tcPr>
          <w:p w14:paraId="3C9AF5BF"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AFREC, AUC-DIE, Regional &amp; National Energy Regulators</w:t>
            </w:r>
          </w:p>
        </w:tc>
        <w:tc>
          <w:tcPr>
            <w:tcW w:w="851" w:type="dxa"/>
            <w:shd w:val="clear" w:color="auto" w:fill="FFFFFF"/>
            <w:tcMar>
              <w:left w:w="57" w:type="dxa"/>
              <w:right w:w="57" w:type="dxa"/>
            </w:tcMar>
          </w:tcPr>
          <w:p w14:paraId="1FD26B8B"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Short Term (Ongoing)</w:t>
            </w:r>
          </w:p>
        </w:tc>
        <w:tc>
          <w:tcPr>
            <w:tcW w:w="1842" w:type="dxa"/>
            <w:shd w:val="clear" w:color="auto" w:fill="FFFFFF"/>
          </w:tcPr>
          <w:p w14:paraId="66746E17"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Outreach toolkits and seminar materials</w:t>
            </w:r>
          </w:p>
          <w:p w14:paraId="1BB043D8"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Documented case studies</w:t>
            </w:r>
          </w:p>
          <w:p w14:paraId="542786FD"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ESG sessions integrated into sector events</w:t>
            </w:r>
          </w:p>
        </w:tc>
        <w:tc>
          <w:tcPr>
            <w:tcW w:w="1701" w:type="dxa"/>
            <w:shd w:val="clear" w:color="auto" w:fill="FFFFFF"/>
          </w:tcPr>
          <w:p w14:paraId="0B7289BB"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Heightened ESG consciousness among O&amp;G stakeholders, driving voluntary improvements in sustainability performance and reducing ESG risks</w:t>
            </w:r>
          </w:p>
        </w:tc>
        <w:tc>
          <w:tcPr>
            <w:tcW w:w="1843" w:type="dxa"/>
            <w:shd w:val="clear" w:color="auto" w:fill="FFFFFF"/>
          </w:tcPr>
          <w:p w14:paraId="441A7B0A" w14:textId="77777777" w:rsidR="007E6C89" w:rsidRPr="00662906" w:rsidRDefault="007E6C89" w:rsidP="00551CAC">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Increased awareness on ESG by regulatory authorities and NOCs/ (Yes/No)</w:t>
            </w:r>
          </w:p>
        </w:tc>
      </w:tr>
      <w:tr w:rsidR="007E6C89" w:rsidRPr="00662906" w14:paraId="66EA82F0" w14:textId="77777777" w:rsidTr="00551CAC">
        <w:trPr>
          <w:trHeight w:val="300"/>
        </w:trPr>
        <w:tc>
          <w:tcPr>
            <w:tcW w:w="167" w:type="dxa"/>
            <w:shd w:val="clear" w:color="auto" w:fill="FFFFFF"/>
            <w:tcMar>
              <w:left w:w="57" w:type="dxa"/>
              <w:right w:w="57" w:type="dxa"/>
            </w:tcMar>
          </w:tcPr>
          <w:p w14:paraId="58EBB53C" w14:textId="77777777" w:rsidR="007E6C89" w:rsidRPr="00662906" w:rsidRDefault="007E6C89" w:rsidP="00551CAC">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6594A28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Build capacity for ESG regulation and negotiations</w:t>
            </w:r>
          </w:p>
        </w:tc>
        <w:tc>
          <w:tcPr>
            <w:tcW w:w="3260" w:type="dxa"/>
            <w:tcBorders>
              <w:top w:val="single" w:sz="4" w:space="0" w:color="9F2241"/>
              <w:left w:val="nil"/>
              <w:bottom w:val="single" w:sz="4" w:space="0" w:color="9F2241"/>
              <w:right w:val="nil"/>
            </w:tcBorders>
            <w:tcMar>
              <w:left w:w="57" w:type="dxa"/>
              <w:right w:w="57" w:type="dxa"/>
            </w:tcMar>
          </w:tcPr>
          <w:p w14:paraId="122BE5D2" w14:textId="77777777" w:rsidR="007E6C89" w:rsidRPr="00662906" w:rsidRDefault="007E6C89" w:rsidP="00551CAC">
            <w:pPr>
              <w:pStyle w:val="ListParagraph"/>
              <w:numPr>
                <w:ilvl w:val="0"/>
                <w:numId w:val="134"/>
              </w:numPr>
              <w:spacing w:before="40" w:after="40"/>
              <w:ind w:left="367"/>
              <w:jc w:val="center"/>
              <w:rPr>
                <w:rFonts w:eastAsia="Arial" w:cs="Arial"/>
                <w:color w:val="394A58"/>
                <w:sz w:val="16"/>
                <w:szCs w:val="16"/>
              </w:rPr>
            </w:pPr>
            <w:r w:rsidRPr="00662906">
              <w:rPr>
                <w:rFonts w:eastAsia="Arial" w:cs="Arial"/>
                <w:color w:val="394A58"/>
                <w:sz w:val="16"/>
                <w:szCs w:val="16"/>
              </w:rPr>
              <w:t>Design specialized ESG training modules for regulators, negotiators, and contract managers</w:t>
            </w:r>
          </w:p>
          <w:p w14:paraId="391C556C" w14:textId="77777777" w:rsidR="007E6C89" w:rsidRPr="00662906" w:rsidRDefault="007E6C89" w:rsidP="00551CAC">
            <w:pPr>
              <w:pStyle w:val="ListParagraph"/>
              <w:numPr>
                <w:ilvl w:val="0"/>
                <w:numId w:val="134"/>
              </w:numPr>
              <w:spacing w:before="40" w:after="40"/>
              <w:ind w:left="367"/>
              <w:jc w:val="center"/>
              <w:rPr>
                <w:rFonts w:eastAsia="Arial" w:cs="Arial"/>
                <w:color w:val="394A58"/>
                <w:sz w:val="16"/>
                <w:szCs w:val="16"/>
              </w:rPr>
            </w:pPr>
            <w:r w:rsidRPr="00662906">
              <w:rPr>
                <w:rFonts w:eastAsia="Arial" w:cs="Arial"/>
                <w:color w:val="394A58"/>
                <w:sz w:val="16"/>
                <w:szCs w:val="16"/>
              </w:rPr>
              <w:t>Organize study tours to regions with advanced ESG frameworks</w:t>
            </w:r>
          </w:p>
          <w:p w14:paraId="0F05E98D" w14:textId="77777777" w:rsidR="007E6C89" w:rsidRPr="00662906" w:rsidRDefault="007E6C89" w:rsidP="00551CAC">
            <w:pPr>
              <w:pStyle w:val="ListParagraph"/>
              <w:numPr>
                <w:ilvl w:val="0"/>
                <w:numId w:val="134"/>
              </w:numPr>
              <w:spacing w:before="40" w:after="40"/>
              <w:ind w:left="367"/>
              <w:jc w:val="center"/>
              <w:rPr>
                <w:rFonts w:eastAsia="Arial" w:cs="Arial"/>
                <w:color w:val="394A58"/>
                <w:sz w:val="16"/>
                <w:szCs w:val="16"/>
              </w:rPr>
            </w:pPr>
            <w:r w:rsidRPr="00662906">
              <w:rPr>
                <w:rFonts w:eastAsia="Arial" w:cs="Arial"/>
                <w:color w:val="394A58"/>
                <w:sz w:val="16"/>
                <w:szCs w:val="16"/>
              </w:rPr>
              <w:t>Partner with certifying institutions undertaking ESG certification programs</w:t>
            </w:r>
          </w:p>
          <w:p w14:paraId="70DD8D7A" w14:textId="77777777" w:rsidR="007E6C89" w:rsidRPr="00662906" w:rsidRDefault="007E6C89" w:rsidP="00551CAC">
            <w:pPr>
              <w:pStyle w:val="ListParagraph"/>
              <w:numPr>
                <w:ilvl w:val="0"/>
                <w:numId w:val="134"/>
              </w:numPr>
              <w:spacing w:before="40" w:after="40"/>
              <w:ind w:left="367"/>
              <w:jc w:val="center"/>
              <w:rPr>
                <w:rFonts w:eastAsia="Arial" w:cs="Arial"/>
                <w:color w:val="394A58"/>
                <w:sz w:val="16"/>
                <w:szCs w:val="16"/>
              </w:rPr>
            </w:pPr>
            <w:r w:rsidRPr="00662906">
              <w:rPr>
                <w:rFonts w:eastAsia="Arial" w:cs="Arial"/>
                <w:color w:val="394A58"/>
                <w:sz w:val="16"/>
                <w:szCs w:val="16"/>
              </w:rPr>
              <w:t>Establish a cross-country peer-learning network to share experiences</w:t>
            </w:r>
          </w:p>
        </w:tc>
        <w:tc>
          <w:tcPr>
            <w:tcW w:w="1276" w:type="dxa"/>
            <w:shd w:val="clear" w:color="auto" w:fill="FFFFFF"/>
            <w:tcMar>
              <w:left w:w="57" w:type="dxa"/>
              <w:right w:w="57" w:type="dxa"/>
            </w:tcMar>
          </w:tcPr>
          <w:p w14:paraId="7E89778E"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ABC74B3"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MEPs</w:t>
            </w:r>
          </w:p>
        </w:tc>
        <w:tc>
          <w:tcPr>
            <w:tcW w:w="1198" w:type="dxa"/>
            <w:shd w:val="clear" w:color="auto" w:fill="FFFFFF"/>
            <w:tcMar>
              <w:left w:w="57" w:type="dxa"/>
              <w:right w:w="57" w:type="dxa"/>
            </w:tcMar>
          </w:tcPr>
          <w:p w14:paraId="2AD5E972"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NOCs, National/Regional Energy Regulators, Regional Oil &amp; Gas Associations, UNECA, United Nations Development Programme (UNDP)</w:t>
            </w:r>
          </w:p>
        </w:tc>
        <w:tc>
          <w:tcPr>
            <w:tcW w:w="851" w:type="dxa"/>
            <w:shd w:val="clear" w:color="auto" w:fill="FFFFFF"/>
            <w:tcMar>
              <w:left w:w="57" w:type="dxa"/>
              <w:right w:w="57" w:type="dxa"/>
            </w:tcMar>
          </w:tcPr>
          <w:p w14:paraId="6B697BF9"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Short Term (Ongoing)</w:t>
            </w:r>
          </w:p>
        </w:tc>
        <w:tc>
          <w:tcPr>
            <w:tcW w:w="1842" w:type="dxa"/>
            <w:shd w:val="clear" w:color="auto" w:fill="FFFFFF"/>
          </w:tcPr>
          <w:p w14:paraId="48C5FD30"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ESG training curricula</w:t>
            </w:r>
          </w:p>
          <w:p w14:paraId="6E8EEC7B"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Study tour &amp; peer-learning program reports</w:t>
            </w:r>
          </w:p>
          <w:p w14:paraId="7C1326E9"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Certification scheme guidelines</w:t>
            </w:r>
          </w:p>
        </w:tc>
        <w:tc>
          <w:tcPr>
            <w:tcW w:w="1701" w:type="dxa"/>
            <w:shd w:val="clear" w:color="auto" w:fill="FFFFFF"/>
          </w:tcPr>
          <w:p w14:paraId="05C8BF25"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Better-equipped regulators and policymakers capable of enforcing ESG standards, negotiating fair contracts, and ensuring sustainable operations in the oil and gas sector</w:t>
            </w:r>
          </w:p>
        </w:tc>
        <w:tc>
          <w:tcPr>
            <w:tcW w:w="1843" w:type="dxa"/>
            <w:shd w:val="clear" w:color="auto" w:fill="FFFFFF"/>
          </w:tcPr>
          <w:p w14:paraId="0159A3B8" w14:textId="77777777" w:rsidR="007E6C89" w:rsidRPr="00662906" w:rsidRDefault="007E6C89" w:rsidP="00551CAC">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Capacitated institutional framework for ESG enforcement and certification in place (Yes/No)</w:t>
            </w:r>
          </w:p>
        </w:tc>
      </w:tr>
      <w:tr w:rsidR="007E6C89" w:rsidRPr="00662906" w14:paraId="4ABDED85" w14:textId="77777777" w:rsidTr="00551CAC">
        <w:trPr>
          <w:trHeight w:val="300"/>
        </w:trPr>
        <w:tc>
          <w:tcPr>
            <w:tcW w:w="167" w:type="dxa"/>
            <w:shd w:val="clear" w:color="auto" w:fill="FFFFFF"/>
            <w:tcMar>
              <w:left w:w="57" w:type="dxa"/>
              <w:right w:w="57" w:type="dxa"/>
            </w:tcMar>
          </w:tcPr>
          <w:p w14:paraId="4DAE1AC3" w14:textId="77777777" w:rsidR="007E6C89" w:rsidRPr="00662906" w:rsidRDefault="007E6C89" w:rsidP="00551CAC">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2B458D86"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Promote decarbonization of the O&amp;G value chain</w:t>
            </w:r>
          </w:p>
        </w:tc>
        <w:tc>
          <w:tcPr>
            <w:tcW w:w="3260" w:type="dxa"/>
            <w:tcBorders>
              <w:top w:val="single" w:sz="4" w:space="0" w:color="9F2241"/>
              <w:left w:val="nil"/>
              <w:bottom w:val="single" w:sz="4" w:space="0" w:color="9F2241"/>
              <w:right w:val="nil"/>
            </w:tcBorders>
            <w:tcMar>
              <w:left w:w="57" w:type="dxa"/>
              <w:right w:w="57" w:type="dxa"/>
            </w:tcMar>
          </w:tcPr>
          <w:p w14:paraId="265309A0" w14:textId="77777777" w:rsidR="007E6C89" w:rsidRPr="00662906" w:rsidRDefault="007E6C89" w:rsidP="00551CAC">
            <w:pPr>
              <w:pStyle w:val="ListParagraph"/>
              <w:numPr>
                <w:ilvl w:val="0"/>
                <w:numId w:val="135"/>
              </w:numPr>
              <w:spacing w:before="40" w:after="40"/>
              <w:ind w:left="367"/>
              <w:jc w:val="center"/>
              <w:rPr>
                <w:rFonts w:eastAsia="Arial" w:cs="Arial"/>
                <w:color w:val="394A58"/>
                <w:sz w:val="16"/>
                <w:szCs w:val="16"/>
              </w:rPr>
            </w:pPr>
            <w:r w:rsidRPr="00662906">
              <w:rPr>
                <w:rFonts w:eastAsia="Arial" w:cs="Arial"/>
                <w:color w:val="394A58"/>
                <w:sz w:val="16"/>
                <w:szCs w:val="16"/>
              </w:rPr>
              <w:t>Conduct baseline studies on methane emissions, flaring, and venting</w:t>
            </w:r>
          </w:p>
          <w:p w14:paraId="5AA4FE97" w14:textId="77777777" w:rsidR="007E6C89" w:rsidRPr="00662906" w:rsidRDefault="007E6C89" w:rsidP="00551CAC">
            <w:pPr>
              <w:pStyle w:val="ListParagraph"/>
              <w:numPr>
                <w:ilvl w:val="0"/>
                <w:numId w:val="135"/>
              </w:numPr>
              <w:spacing w:before="40" w:after="40"/>
              <w:ind w:left="367"/>
              <w:jc w:val="center"/>
              <w:rPr>
                <w:rFonts w:eastAsia="Arial" w:cs="Arial"/>
                <w:color w:val="394A58"/>
                <w:sz w:val="16"/>
                <w:szCs w:val="16"/>
              </w:rPr>
            </w:pPr>
            <w:r w:rsidRPr="00662906">
              <w:rPr>
                <w:rFonts w:eastAsia="Arial" w:cs="Arial"/>
                <w:color w:val="394A58"/>
                <w:sz w:val="16"/>
                <w:szCs w:val="16"/>
              </w:rPr>
              <w:t>Enforce guidelines and penalties for zero-flaring and zero-venting practices</w:t>
            </w:r>
          </w:p>
          <w:p w14:paraId="06C7BAEE" w14:textId="77777777" w:rsidR="007E6C89" w:rsidRPr="00662906" w:rsidRDefault="007E6C89" w:rsidP="00551CAC">
            <w:pPr>
              <w:pStyle w:val="ListParagraph"/>
              <w:numPr>
                <w:ilvl w:val="0"/>
                <w:numId w:val="135"/>
              </w:numPr>
              <w:spacing w:before="40" w:after="40"/>
              <w:ind w:left="367"/>
              <w:jc w:val="center"/>
              <w:rPr>
                <w:rFonts w:eastAsia="Arial" w:cs="Arial"/>
                <w:color w:val="394A58"/>
                <w:sz w:val="16"/>
                <w:szCs w:val="16"/>
              </w:rPr>
            </w:pPr>
            <w:r w:rsidRPr="00662906">
              <w:rPr>
                <w:rFonts w:eastAsia="Arial" w:cs="Arial"/>
                <w:color w:val="394A58"/>
                <w:sz w:val="16"/>
                <w:szCs w:val="16"/>
              </w:rPr>
              <w:t>Identify CCUS pilot projects and facilitate investment partnerships</w:t>
            </w:r>
          </w:p>
          <w:p w14:paraId="375AE84B" w14:textId="77777777" w:rsidR="007E6C89" w:rsidRPr="00662906" w:rsidRDefault="007E6C89" w:rsidP="00551CAC">
            <w:pPr>
              <w:pStyle w:val="ListParagraph"/>
              <w:numPr>
                <w:ilvl w:val="0"/>
                <w:numId w:val="135"/>
              </w:numPr>
              <w:spacing w:before="40" w:after="40"/>
              <w:ind w:left="367"/>
              <w:jc w:val="center"/>
              <w:rPr>
                <w:rFonts w:eastAsia="Arial" w:cs="Arial"/>
                <w:color w:val="394A58"/>
                <w:sz w:val="16"/>
                <w:szCs w:val="16"/>
              </w:rPr>
            </w:pPr>
            <w:r w:rsidRPr="00662906">
              <w:rPr>
                <w:rFonts w:eastAsia="Arial" w:cs="Arial"/>
                <w:color w:val="394A58"/>
                <w:sz w:val="16"/>
                <w:szCs w:val="16"/>
              </w:rPr>
              <w:t>Promote the use of clean energy in upstream and downstream operations</w:t>
            </w:r>
          </w:p>
        </w:tc>
        <w:tc>
          <w:tcPr>
            <w:tcW w:w="1276" w:type="dxa"/>
            <w:shd w:val="clear" w:color="auto" w:fill="FFFFFF"/>
            <w:tcMar>
              <w:left w:w="57" w:type="dxa"/>
              <w:right w:w="57" w:type="dxa"/>
            </w:tcMar>
          </w:tcPr>
          <w:p w14:paraId="358E690D"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3360EF77"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28CF769B"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National and regional Regulators, Regional Oil &amp; Gas Associations, MEP</w:t>
            </w:r>
          </w:p>
        </w:tc>
        <w:tc>
          <w:tcPr>
            <w:tcW w:w="851" w:type="dxa"/>
            <w:shd w:val="clear" w:color="auto" w:fill="FFFFFF"/>
            <w:tcMar>
              <w:left w:w="57" w:type="dxa"/>
              <w:right w:w="57" w:type="dxa"/>
            </w:tcMar>
          </w:tcPr>
          <w:p w14:paraId="3A05F200"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1121ADBD"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Methane baseline report</w:t>
            </w:r>
          </w:p>
          <w:p w14:paraId="5412E6ED"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Zero-flaring/venting guidelines</w:t>
            </w:r>
          </w:p>
          <w:p w14:paraId="743205EF" w14:textId="77777777" w:rsidR="007E6C89" w:rsidRPr="00662906" w:rsidRDefault="007E6C89" w:rsidP="00551CAC">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CCUS pilot project proposals</w:t>
            </w:r>
          </w:p>
        </w:tc>
        <w:tc>
          <w:tcPr>
            <w:tcW w:w="1701" w:type="dxa"/>
            <w:shd w:val="clear" w:color="auto" w:fill="FFFFFF"/>
          </w:tcPr>
          <w:p w14:paraId="3E1A9AFC" w14:textId="77777777" w:rsidR="007E6C89" w:rsidRPr="00662906" w:rsidRDefault="007E6C89" w:rsidP="00551CAC">
            <w:pPr>
              <w:spacing w:before="40" w:after="40"/>
              <w:jc w:val="center"/>
              <w:rPr>
                <w:rFonts w:eastAsia="Arial" w:cs="Arial"/>
                <w:color w:val="53575A"/>
                <w:sz w:val="16"/>
                <w:szCs w:val="16"/>
              </w:rPr>
            </w:pPr>
            <w:r w:rsidRPr="00662906">
              <w:rPr>
                <w:rFonts w:cs="Arial"/>
                <w:sz w:val="16"/>
                <w:szCs w:val="16"/>
              </w:rPr>
              <w:t>Reduced carbon and methane footprints across oil and gas operations, fostering compliance with global climate goals and boosting the sector long-term viability</w:t>
            </w:r>
          </w:p>
        </w:tc>
        <w:tc>
          <w:tcPr>
            <w:tcW w:w="1843" w:type="dxa"/>
            <w:shd w:val="clear" w:color="auto" w:fill="FFFFFF"/>
          </w:tcPr>
          <w:p w14:paraId="1DB88473" w14:textId="77777777" w:rsidR="007E6C89" w:rsidRPr="00662906" w:rsidRDefault="007E6C89" w:rsidP="00551CAC">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Decarbonization measures (flaring, venting, CCUS) defined for the oil and gas value chain and adopted by oil /NG producing AU-MS (Yes/No)</w:t>
            </w:r>
          </w:p>
        </w:tc>
      </w:tr>
    </w:tbl>
    <w:p w14:paraId="3A404285" w14:textId="418531C8" w:rsidR="00D95800" w:rsidRPr="00662906" w:rsidRDefault="00C3663D" w:rsidP="00D95800">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p>
    <w:p w14:paraId="4FABE0F0" w14:textId="77777777" w:rsidR="00D41C50" w:rsidRPr="00662906" w:rsidRDefault="00D41C50" w:rsidP="00E678F4">
      <w:pPr>
        <w:pStyle w:val="Heading2"/>
        <w:sectPr w:rsidR="00D41C50" w:rsidRPr="00662906" w:rsidSect="005852FE">
          <w:pgSz w:w="16838" w:h="11906" w:orient="landscape"/>
          <w:pgMar w:top="1440" w:right="1440" w:bottom="1440" w:left="1440" w:header="720" w:footer="720" w:gutter="0"/>
          <w:cols w:space="720"/>
          <w:titlePg/>
          <w:docGrid w:linePitch="360"/>
        </w:sectPr>
      </w:pPr>
      <w:bookmarkStart w:id="669" w:name="_Toc176190958"/>
      <w:bookmarkStart w:id="670" w:name="_Toc176191124"/>
      <w:bookmarkStart w:id="671" w:name="_Toc176341844"/>
      <w:bookmarkStart w:id="672" w:name="_Toc176430238"/>
      <w:bookmarkStart w:id="673" w:name="_Toc176430295"/>
      <w:bookmarkStart w:id="674" w:name="_Toc176441428"/>
      <w:bookmarkStart w:id="675" w:name="_Toc176442083"/>
      <w:bookmarkStart w:id="676" w:name="_Toc178937496"/>
      <w:bookmarkStart w:id="677" w:name="_Toc171955548"/>
    </w:p>
    <w:p w14:paraId="4F73FB92" w14:textId="49D8AFD7" w:rsidR="00AF1E38" w:rsidRPr="00662906" w:rsidRDefault="00AF1E38" w:rsidP="00E678F4">
      <w:pPr>
        <w:pStyle w:val="Heading2"/>
      </w:pPr>
      <w:bookmarkStart w:id="678" w:name="_Toc197433861"/>
      <w:r w:rsidRPr="00662906">
        <w:lastRenderedPageBreak/>
        <w:t>Agriculture</w:t>
      </w:r>
      <w:bookmarkEnd w:id="669"/>
      <w:bookmarkEnd w:id="670"/>
      <w:bookmarkEnd w:id="671"/>
      <w:bookmarkEnd w:id="672"/>
      <w:bookmarkEnd w:id="673"/>
      <w:bookmarkEnd w:id="674"/>
      <w:bookmarkEnd w:id="675"/>
      <w:bookmarkEnd w:id="676"/>
      <w:bookmarkEnd w:id="678"/>
    </w:p>
    <w:bookmarkEnd w:id="677"/>
    <w:p w14:paraId="4C530FA0" w14:textId="05F6174D" w:rsidR="001D76E8" w:rsidRPr="00662906" w:rsidRDefault="0E5ABA7B" w:rsidP="00B61FC0">
      <w:pPr>
        <w:spacing w:after="200"/>
      </w:pPr>
      <w:r w:rsidRPr="00662906">
        <w:rPr>
          <w:rFonts w:eastAsia="Arial" w:cs="Arial"/>
        </w:rPr>
        <w:t xml:space="preserve">The current status of energy consumption in Africa's agriculture sector </w:t>
      </w:r>
      <w:r w:rsidR="00621C19" w:rsidRPr="00662906">
        <w:rPr>
          <w:rFonts w:eastAsia="Arial" w:cs="Arial"/>
        </w:rPr>
        <w:t>is small and yet</w:t>
      </w:r>
      <w:r w:rsidRPr="00662906">
        <w:rPr>
          <w:rFonts w:eastAsia="Arial" w:cs="Arial"/>
        </w:rPr>
        <w:t xml:space="preserve"> transitioning to more sustainable and efficient energy systems is not merely beneficial but imperative. Such a transition would not only address the challenges of energy inefficiency and environmental degradation but also unlocks the potential for enhanced agricultural productivity which would be crucial for the economic development of rural areas. This is crucial for meeting the growing food demands of the continent’s </w:t>
      </w:r>
      <w:r w:rsidR="3E9E0DC5" w:rsidRPr="00662906">
        <w:rPr>
          <w:rFonts w:eastAsia="Arial" w:cs="Arial"/>
        </w:rPr>
        <w:t>growing</w:t>
      </w:r>
      <w:r w:rsidRPr="00662906">
        <w:rPr>
          <w:rFonts w:eastAsia="Arial" w:cs="Arial"/>
        </w:rPr>
        <w:t xml:space="preserve"> population and for propelling Africa towards a more sustainable and economically </w:t>
      </w:r>
      <w:r w:rsidR="0894CCBC" w:rsidRPr="00662906">
        <w:rPr>
          <w:rFonts w:eastAsia="Arial" w:cs="Arial"/>
        </w:rPr>
        <w:t>sound</w:t>
      </w:r>
      <w:r w:rsidRPr="00662906">
        <w:rPr>
          <w:rFonts w:eastAsia="Arial" w:cs="Arial"/>
        </w:rPr>
        <w:t xml:space="preserve"> future.</w:t>
      </w:r>
      <w:r w:rsidR="1BDBD6FE" w:rsidRPr="00662906">
        <w:rPr>
          <w:rFonts w:eastAsia="Arial" w:cs="Arial"/>
        </w:rPr>
        <w:t xml:space="preserve"> It has to be highlighted that in the scope of the ETSAP, agriculture is considered up to the farm gate. </w:t>
      </w:r>
      <w:r w:rsidR="4B9738D5" w:rsidRPr="00662906">
        <w:rPr>
          <w:rFonts w:eastAsia="Arial" w:cs="Arial"/>
        </w:rPr>
        <w:t>Beyond that, l</w:t>
      </w:r>
      <w:r w:rsidR="1BDBD6FE" w:rsidRPr="00662906">
        <w:rPr>
          <w:rFonts w:eastAsia="Arial" w:cs="Arial"/>
        </w:rPr>
        <w:t>ogistics fall under transportation and agro-industry under industry.</w:t>
      </w:r>
    </w:p>
    <w:p w14:paraId="0AE14E57" w14:textId="7D8A2051" w:rsidR="00123F15" w:rsidRPr="00662906" w:rsidRDefault="005933C7" w:rsidP="00123F15">
      <w:pPr>
        <w:rPr>
          <w:rFonts w:eastAsia="Arial" w:cs="Arial"/>
        </w:rPr>
      </w:pPr>
      <w:r w:rsidRPr="00662906">
        <w:t xml:space="preserve">The Strategic Objective presented for this sector is to </w:t>
      </w:r>
      <w:r w:rsidR="00341C94" w:rsidRPr="00662906">
        <w:rPr>
          <w:b/>
          <w:bCs/>
        </w:rPr>
        <w:t>Increase the use of modern and efficient energy technologies in</w:t>
      </w:r>
      <w:r w:rsidR="00AF67FE" w:rsidRPr="00662906">
        <w:rPr>
          <w:b/>
          <w:bCs/>
        </w:rPr>
        <w:t xml:space="preserve"> A</w:t>
      </w:r>
      <w:r w:rsidR="00341C94" w:rsidRPr="00662906">
        <w:rPr>
          <w:b/>
          <w:bCs/>
        </w:rPr>
        <w:t>griculture</w:t>
      </w:r>
      <w:r w:rsidR="00123F15" w:rsidRPr="00662906">
        <w:rPr>
          <w:b/>
          <w:bCs/>
        </w:rPr>
        <w:t>.</w:t>
      </w:r>
      <w:r w:rsidR="005C086F" w:rsidRPr="00662906">
        <w:t xml:space="preserve"> </w:t>
      </w:r>
      <w:r w:rsidR="00123F15" w:rsidRPr="00662906">
        <w:rPr>
          <w:rFonts w:eastAsia="Arial" w:cs="Arial"/>
        </w:rPr>
        <w:t xml:space="preserve">The strategic objective is to address several crucial needs: optimizing the energy use of the sector, decreasing its environmental footprint, and lowering the costs of agricultural production. This objective not only aligns with the broader goals of the African Union's Energy Transition Strategy but also ensures that the agricultural sector can contribute positively to achieving carbon neutrality and enhanced </w:t>
      </w:r>
      <w:r w:rsidR="00DE5F50" w:rsidRPr="00662906">
        <w:rPr>
          <w:rFonts w:eastAsia="Arial" w:cs="Arial"/>
        </w:rPr>
        <w:t>energy, water</w:t>
      </w:r>
      <w:r w:rsidR="001D76E8" w:rsidRPr="00662906">
        <w:rPr>
          <w:rFonts w:eastAsia="Arial" w:cs="Arial"/>
        </w:rPr>
        <w:t xml:space="preserve"> and food</w:t>
      </w:r>
      <w:r w:rsidR="00123F15" w:rsidRPr="00662906">
        <w:rPr>
          <w:rFonts w:eastAsia="Arial" w:cs="Arial"/>
        </w:rPr>
        <w:t xml:space="preserve"> security across the continent.</w:t>
      </w:r>
      <w:r w:rsidR="001754B3" w:rsidRPr="00662906">
        <w:t xml:space="preserve"> </w:t>
      </w:r>
    </w:p>
    <w:p w14:paraId="455C0D52" w14:textId="3338D59F" w:rsidR="00094CA1" w:rsidRPr="00662906" w:rsidRDefault="00123F15" w:rsidP="00123F15">
      <w:r w:rsidRPr="00662906">
        <w:rPr>
          <w:rFonts w:eastAsia="Arial" w:cs="Arial"/>
        </w:rPr>
        <w:t xml:space="preserve">The related strategic </w:t>
      </w:r>
      <w:r w:rsidR="001A25D2" w:rsidRPr="00662906">
        <w:rPr>
          <w:rFonts w:eastAsia="Arial" w:cs="Arial"/>
        </w:rPr>
        <w:t>Interventions</w:t>
      </w:r>
      <w:r w:rsidRPr="00662906">
        <w:rPr>
          <w:rFonts w:eastAsia="Arial" w:cs="Arial"/>
        </w:rPr>
        <w:t xml:space="preserve"> are as follows:</w:t>
      </w:r>
    </w:p>
    <w:p w14:paraId="0EB57335" w14:textId="023CA9D3" w:rsidR="007734A4" w:rsidRPr="00662906" w:rsidRDefault="1087319E" w:rsidP="00E1605A">
      <w:pPr>
        <w:pStyle w:val="Bullets"/>
        <w:numPr>
          <w:ilvl w:val="0"/>
          <w:numId w:val="9"/>
        </w:numPr>
        <w:rPr>
          <w:lang w:val="en-GB"/>
        </w:rPr>
      </w:pPr>
      <w:r w:rsidRPr="00662906">
        <w:rPr>
          <w:b/>
          <w:lang w:val="en-GB"/>
        </w:rPr>
        <w:t xml:space="preserve">Modernization of Agricultural Equipment: </w:t>
      </w:r>
      <w:r w:rsidRPr="00662906">
        <w:rPr>
          <w:lang w:val="en-GB"/>
        </w:rPr>
        <w:t xml:space="preserve">This intervention aims to overhaul the existing agricultural machinery with state-of-the-art, energy-efficient models. Support mechanisms such as subsidies or </w:t>
      </w:r>
      <w:r w:rsidR="00E366C7" w:rsidRPr="00662906">
        <w:rPr>
          <w:lang w:val="en-GB"/>
        </w:rPr>
        <w:t>favourable</w:t>
      </w:r>
      <w:r w:rsidRPr="00662906">
        <w:rPr>
          <w:lang w:val="en-GB"/>
        </w:rPr>
        <w:t xml:space="preserve"> financing options will be essential to facilitate access to such equipment for smallholder farmers. Complementary to this, robust training programs will be implemented to maximize the adoption and proper use of these technologies.</w:t>
      </w:r>
    </w:p>
    <w:p w14:paraId="3F424EE9" w14:textId="6D3A2302" w:rsidR="007734A4" w:rsidRPr="00662906" w:rsidRDefault="1087319E" w:rsidP="00E1605A">
      <w:pPr>
        <w:pStyle w:val="Bullets"/>
        <w:numPr>
          <w:ilvl w:val="0"/>
          <w:numId w:val="9"/>
        </w:numPr>
        <w:rPr>
          <w:lang w:val="en-GB"/>
        </w:rPr>
      </w:pPr>
      <w:r w:rsidRPr="00662906">
        <w:rPr>
          <w:b/>
          <w:lang w:val="en-GB"/>
        </w:rPr>
        <w:t>Promotion of Renewable Energy in Agriculture:</w:t>
      </w:r>
      <w:r w:rsidRPr="00662906">
        <w:rPr>
          <w:lang w:val="en-GB"/>
        </w:rPr>
        <w:t xml:space="preserve"> Focused on reducing reliance on traditional energy sources, this strategy advocates for the integration of renewable energy technologies, like solar and biomass, into farming operations. Tailored renewable energy solutions will be developed to meet the unique needs of the agricultural sector, ensuring sustainability and energy independence.</w:t>
      </w:r>
    </w:p>
    <w:p w14:paraId="5D7CA67A" w14:textId="77777777" w:rsidR="008D20A8" w:rsidRPr="00662906" w:rsidRDefault="1087319E" w:rsidP="00E1605A">
      <w:pPr>
        <w:pStyle w:val="Bullets"/>
        <w:numPr>
          <w:ilvl w:val="0"/>
          <w:numId w:val="9"/>
        </w:numPr>
        <w:rPr>
          <w:rFonts w:eastAsia="Arial" w:cs="Arial"/>
          <w:lang w:val="en-GB"/>
        </w:rPr>
      </w:pPr>
      <w:r w:rsidRPr="00662906">
        <w:rPr>
          <w:b/>
          <w:lang w:val="en-GB"/>
        </w:rPr>
        <w:t>Enhancement of Agricultural Extension Services</w:t>
      </w:r>
      <w:r w:rsidRPr="00662906">
        <w:rPr>
          <w:lang w:val="en-GB"/>
        </w:rPr>
        <w:t xml:space="preserve">: To effectively disseminate knowledge </w:t>
      </w:r>
    </w:p>
    <w:p w14:paraId="1191C706" w14:textId="0D2EF514" w:rsidR="00123F15" w:rsidRPr="00662906" w:rsidRDefault="1087319E" w:rsidP="00672D44">
      <w:pPr>
        <w:pStyle w:val="Bullets"/>
        <w:numPr>
          <w:ilvl w:val="0"/>
          <w:numId w:val="0"/>
        </w:numPr>
        <w:ind w:left="720"/>
        <w:rPr>
          <w:rFonts w:eastAsia="Arial" w:cs="Arial"/>
          <w:lang w:val="en-GB"/>
        </w:rPr>
      </w:pPr>
      <w:r w:rsidRPr="00662906">
        <w:rPr>
          <w:lang w:val="en-GB"/>
        </w:rPr>
        <w:t>and facilitate the transition to energy-efficient and renewable energy-based agricultural practices, extension services will be enhanced to include energy management and renewable integration. These services will provide continuous training and support, ensuring that farmers are well-equipped to adopt and benefit from new technologies and methods.</w:t>
      </w:r>
    </w:p>
    <w:p w14:paraId="0B5AE196" w14:textId="5E1A1237" w:rsidR="007734A4" w:rsidRPr="00662906" w:rsidRDefault="00123F15" w:rsidP="2D8B2CEE">
      <w:pPr>
        <w:rPr>
          <w:rFonts w:eastAsia="Arial" w:cs="Arial"/>
        </w:rPr>
      </w:pPr>
      <w:r w:rsidRPr="00662906">
        <w:rPr>
          <w:rFonts w:eastAsia="Arial" w:cs="Arial"/>
        </w:rPr>
        <w:t>By implementing these strategic interventions, the continent can make significant strides towards more</w:t>
      </w:r>
      <w:r w:rsidRPr="00662906">
        <w:t xml:space="preserve"> </w:t>
      </w:r>
      <w:r w:rsidR="1087319E" w:rsidRPr="00662906">
        <w:rPr>
          <w:rFonts w:eastAsia="Arial" w:cs="Arial"/>
        </w:rPr>
        <w:t xml:space="preserve">sustainable and productive agricultural practices that are essential for its economic growth and sustainability. </w:t>
      </w:r>
    </w:p>
    <w:p w14:paraId="69236F84" w14:textId="4EAC3A8C" w:rsidR="00D41C50" w:rsidRPr="00662906" w:rsidRDefault="7E8186F5" w:rsidP="00B61FC0">
      <w:pPr>
        <w:pStyle w:val="Bullets"/>
        <w:numPr>
          <w:ilvl w:val="0"/>
          <w:numId w:val="0"/>
        </w:numPr>
        <w:rPr>
          <w:lang w:val="en-GB"/>
        </w:rPr>
        <w:sectPr w:rsidR="00D41C50" w:rsidRPr="00662906" w:rsidSect="00D41C50">
          <w:pgSz w:w="11906" w:h="16838"/>
          <w:pgMar w:top="1440" w:right="1440" w:bottom="1440" w:left="1440" w:header="720" w:footer="720" w:gutter="0"/>
          <w:cols w:space="720"/>
          <w:titlePg/>
          <w:docGrid w:linePitch="360"/>
        </w:sectPr>
      </w:pPr>
      <w:r w:rsidRPr="00662906">
        <w:rPr>
          <w:lang w:val="en-GB"/>
        </w:rPr>
        <w:t xml:space="preserve">The Action Plans for these Strategic Interventions are in </w:t>
      </w:r>
      <w:r w:rsidR="2BB490E7" w:rsidRPr="00662906">
        <w:rPr>
          <w:lang w:val="en-GB"/>
        </w:rPr>
        <w:t xml:space="preserve">Table </w:t>
      </w:r>
      <w:r w:rsidR="003C4B5B" w:rsidRPr="00662906">
        <w:rPr>
          <w:lang w:val="en-GB"/>
        </w:rPr>
        <w:t>29-31</w:t>
      </w:r>
      <w:r w:rsidR="2AF91E2F" w:rsidRPr="00662906">
        <w:rPr>
          <w:lang w:val="en-GB"/>
        </w:rPr>
        <w:t xml:space="preserve"> below.</w:t>
      </w:r>
    </w:p>
    <w:p w14:paraId="73C04DA9" w14:textId="7545D20C" w:rsidR="006A5664" w:rsidRPr="00662906" w:rsidRDefault="006A5664" w:rsidP="00B61FC0">
      <w:pPr>
        <w:pStyle w:val="Bullets"/>
        <w:numPr>
          <w:ilvl w:val="0"/>
          <w:numId w:val="0"/>
        </w:numPr>
        <w:rPr>
          <w:lang w:val="en-GB"/>
        </w:rPr>
      </w:pPr>
    </w:p>
    <w:p w14:paraId="05689C00" w14:textId="140FBB29" w:rsidR="00B34F6F" w:rsidRPr="00662906" w:rsidRDefault="568D03AD" w:rsidP="00BC0340">
      <w:pPr>
        <w:pStyle w:val="Caption"/>
      </w:pPr>
      <w:bookmarkStart w:id="679" w:name="_Toc171955601"/>
      <w:bookmarkStart w:id="680" w:name="_Toc176430329"/>
      <w:bookmarkStart w:id="681" w:name="_Toc197433917"/>
      <w:r w:rsidRPr="00662906">
        <w:t xml:space="preserve">Table </w:t>
      </w:r>
      <w:fldSimple w:instr=" SEQ Table \* ARABIC ">
        <w:r w:rsidR="00610F61">
          <w:rPr>
            <w:noProof/>
          </w:rPr>
          <w:t>29</w:t>
        </w:r>
      </w:fldSimple>
      <w:r w:rsidR="3B8C5F9E" w:rsidRPr="00662906">
        <w:t>: Strategic Intervention 1. Modernization of Agricultural Equipment</w:t>
      </w:r>
      <w:bookmarkEnd w:id="679"/>
      <w:bookmarkEnd w:id="680"/>
      <w:bookmarkEnd w:id="681"/>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B34F6F" w:rsidRPr="00662906" w14:paraId="523EAF56" w14:textId="77777777" w:rsidTr="007E6C89">
        <w:trPr>
          <w:trHeight w:val="360"/>
        </w:trPr>
        <w:tc>
          <w:tcPr>
            <w:tcW w:w="14456" w:type="dxa"/>
            <w:gridSpan w:val="10"/>
            <w:shd w:val="clear" w:color="auto" w:fill="B4A269"/>
            <w:vAlign w:val="center"/>
          </w:tcPr>
          <w:p w14:paraId="0BE1030D" w14:textId="69E942E3"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Pathway to Change:</w:t>
            </w:r>
            <w:r w:rsidRPr="00662906">
              <w:rPr>
                <w:rFonts w:cs="Arial"/>
                <w:sz w:val="16"/>
                <w:szCs w:val="16"/>
              </w:rPr>
              <w:t xml:space="preserve"> </w:t>
            </w:r>
            <w:r w:rsidRPr="00662906">
              <w:rPr>
                <w:rFonts w:eastAsia="Arial" w:cs="Arial"/>
                <w:bCs/>
                <w:color w:val="FFFFFF"/>
                <w:sz w:val="16"/>
                <w:szCs w:val="16"/>
              </w:rPr>
              <w:t xml:space="preserve">Africa’s agricultural sector, despite its significant contribution to economies, </w:t>
            </w:r>
            <w:r w:rsidR="00621C19" w:rsidRPr="00662906">
              <w:rPr>
                <w:rFonts w:eastAsia="Arial" w:cs="Arial"/>
                <w:bCs/>
                <w:color w:val="FFFFFF"/>
                <w:sz w:val="16"/>
                <w:szCs w:val="16"/>
              </w:rPr>
              <w:t xml:space="preserve">consumes insignificant energy and </w:t>
            </w:r>
            <w:r w:rsidRPr="00662906">
              <w:rPr>
                <w:rFonts w:eastAsia="Arial" w:cs="Arial"/>
                <w:bCs/>
                <w:color w:val="FFFFFF"/>
                <w:sz w:val="16"/>
                <w:szCs w:val="16"/>
              </w:rPr>
              <w:t>remains largely under-mechanized, leading to low productivity and high labour intensity. This reliance on outdated and inefficient farming equipment restricts the sector’s ability to meet growing food demands, adapt to climate change, and reduce its environmental impact. By modernizing agricultural equipment, this intervention aims to enhance productivity, increase crop yields, and lower the environmental footprint of farming practices. The pathway involves improving access to affordable, energy-efficient machinery and fostering innovation to support sustainable agricultural modernization.</w:t>
            </w:r>
          </w:p>
        </w:tc>
      </w:tr>
      <w:tr w:rsidR="0085726B" w:rsidRPr="00662906" w14:paraId="68BBAC9A" w14:textId="77777777" w:rsidTr="007E6C89">
        <w:trPr>
          <w:trHeight w:val="699"/>
        </w:trPr>
        <w:tc>
          <w:tcPr>
            <w:tcW w:w="1415" w:type="dxa"/>
            <w:gridSpan w:val="2"/>
            <w:shd w:val="clear" w:color="auto" w:fill="B4A269"/>
            <w:tcMar>
              <w:left w:w="57" w:type="dxa"/>
              <w:right w:w="57" w:type="dxa"/>
            </w:tcMar>
          </w:tcPr>
          <w:p w14:paraId="49D95720"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31F03B25" w14:textId="77777777" w:rsidR="00B34F6F" w:rsidRPr="00662906" w:rsidRDefault="00B34F6F"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6819D015"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4150A712"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4E263787"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2B2D15A7"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7BA478D0"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6FBBB8E6"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0FB13AC8" w14:textId="77777777" w:rsidR="00B34F6F" w:rsidRPr="00662906" w:rsidRDefault="00B34F6F"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2E412A" w:rsidRPr="00662906" w14:paraId="23C9956E" w14:textId="77777777" w:rsidTr="007E6C89">
        <w:trPr>
          <w:trHeight w:val="1413"/>
        </w:trPr>
        <w:tc>
          <w:tcPr>
            <w:tcW w:w="167" w:type="dxa"/>
            <w:shd w:val="clear" w:color="auto" w:fill="FFFFFF"/>
            <w:tcMar>
              <w:left w:w="57" w:type="dxa"/>
              <w:right w:w="57" w:type="dxa"/>
            </w:tcMar>
          </w:tcPr>
          <w:p w14:paraId="3EAB74AE" w14:textId="77777777" w:rsidR="002E412A" w:rsidRPr="00662906" w:rsidRDefault="002E412A"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52A80B81" w14:textId="2985F5CE"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Subsidy Program for Energy-Efficient Farm Equipment</w:t>
            </w:r>
          </w:p>
        </w:tc>
        <w:tc>
          <w:tcPr>
            <w:tcW w:w="3260" w:type="dxa"/>
            <w:tcBorders>
              <w:bottom w:val="single" w:sz="2" w:space="0" w:color="9F2241"/>
            </w:tcBorders>
            <w:shd w:val="clear" w:color="auto" w:fill="FFFFFF"/>
            <w:tcMar>
              <w:left w:w="57" w:type="dxa"/>
              <w:right w:w="57" w:type="dxa"/>
            </w:tcMar>
          </w:tcPr>
          <w:p w14:paraId="138BFF3D" w14:textId="0797EB9D" w:rsidR="002E412A" w:rsidRPr="00662906" w:rsidRDefault="002E412A" w:rsidP="007E6C89">
            <w:pPr>
              <w:pStyle w:val="ListParagraph"/>
              <w:numPr>
                <w:ilvl w:val="0"/>
                <w:numId w:val="136"/>
              </w:numPr>
              <w:spacing w:before="0" w:after="0"/>
              <w:ind w:left="368"/>
              <w:jc w:val="center"/>
              <w:rPr>
                <w:rFonts w:cs="Arial"/>
                <w:sz w:val="16"/>
                <w:szCs w:val="16"/>
              </w:rPr>
            </w:pPr>
            <w:r w:rsidRPr="00662906">
              <w:rPr>
                <w:rFonts w:cs="Arial"/>
                <w:sz w:val="16"/>
                <w:szCs w:val="16"/>
              </w:rPr>
              <w:t>Identify energy-efficient machinery eligible for subsidies</w:t>
            </w:r>
          </w:p>
          <w:p w14:paraId="7CCB7730" w14:textId="1E6CA637" w:rsidR="002E412A" w:rsidRPr="00662906" w:rsidRDefault="002E412A" w:rsidP="007E6C89">
            <w:pPr>
              <w:pStyle w:val="ListParagraph"/>
              <w:numPr>
                <w:ilvl w:val="0"/>
                <w:numId w:val="136"/>
              </w:numPr>
              <w:spacing w:before="0" w:after="0"/>
              <w:ind w:left="368"/>
              <w:jc w:val="center"/>
              <w:rPr>
                <w:rFonts w:cs="Arial"/>
                <w:sz w:val="16"/>
                <w:szCs w:val="16"/>
              </w:rPr>
            </w:pPr>
            <w:r w:rsidRPr="00662906">
              <w:rPr>
                <w:rFonts w:cs="Arial"/>
                <w:sz w:val="16"/>
                <w:szCs w:val="16"/>
              </w:rPr>
              <w:t>Develop subsidy application guidelines and eligibility criteria</w:t>
            </w:r>
          </w:p>
          <w:p w14:paraId="24A856D6" w14:textId="0D02493D" w:rsidR="002E412A" w:rsidRPr="00662906" w:rsidRDefault="002E412A" w:rsidP="007E6C89">
            <w:pPr>
              <w:pStyle w:val="ListParagraph"/>
              <w:numPr>
                <w:ilvl w:val="0"/>
                <w:numId w:val="136"/>
              </w:numPr>
              <w:spacing w:before="0" w:after="0"/>
              <w:ind w:left="368"/>
              <w:jc w:val="center"/>
              <w:rPr>
                <w:rFonts w:cs="Arial"/>
                <w:sz w:val="16"/>
                <w:szCs w:val="16"/>
              </w:rPr>
            </w:pPr>
            <w:r w:rsidRPr="00662906">
              <w:rPr>
                <w:rFonts w:cs="Arial"/>
                <w:sz w:val="16"/>
                <w:szCs w:val="16"/>
              </w:rPr>
              <w:t>Establish monitoring systems to track equipment uptake and usage</w:t>
            </w:r>
          </w:p>
          <w:p w14:paraId="30083402" w14:textId="5D99D9E8" w:rsidR="002E412A" w:rsidRPr="00662906" w:rsidRDefault="002E412A" w:rsidP="007E6C89">
            <w:pPr>
              <w:pStyle w:val="ListParagraph"/>
              <w:numPr>
                <w:ilvl w:val="0"/>
                <w:numId w:val="136"/>
              </w:numPr>
              <w:spacing w:before="0" w:after="0"/>
              <w:ind w:left="368"/>
              <w:jc w:val="center"/>
              <w:rPr>
                <w:rFonts w:cs="Arial"/>
                <w:sz w:val="16"/>
                <w:szCs w:val="16"/>
              </w:rPr>
            </w:pPr>
            <w:r w:rsidRPr="00662906">
              <w:rPr>
                <w:rFonts w:cs="Arial"/>
                <w:sz w:val="16"/>
                <w:szCs w:val="16"/>
              </w:rPr>
              <w:t>Evaluate impacts on farm productivity and energy consumption</w:t>
            </w:r>
          </w:p>
        </w:tc>
        <w:tc>
          <w:tcPr>
            <w:tcW w:w="1276" w:type="dxa"/>
            <w:shd w:val="clear" w:color="auto" w:fill="FFFFFF"/>
            <w:tcMar>
              <w:left w:w="57" w:type="dxa"/>
              <w:right w:w="57" w:type="dxa"/>
            </w:tcMar>
          </w:tcPr>
          <w:p w14:paraId="45BFF30A" w14:textId="282A908A"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6FDB96F4" w14:textId="4CE89C1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01EA75D4" w14:textId="09486AD0" w:rsidR="002E412A" w:rsidRPr="00662906" w:rsidRDefault="002E412A" w:rsidP="007E6C89">
            <w:pPr>
              <w:spacing w:before="40" w:after="40"/>
              <w:jc w:val="center"/>
              <w:rPr>
                <w:rFonts w:cs="Arial"/>
                <w:sz w:val="16"/>
                <w:szCs w:val="16"/>
              </w:rPr>
            </w:pPr>
            <w:r w:rsidRPr="00662906">
              <w:rPr>
                <w:rFonts w:cs="Arial"/>
                <w:sz w:val="16"/>
                <w:szCs w:val="16"/>
              </w:rPr>
              <w:t>Ministries in charge of Finance &amp; energy International Donors</w:t>
            </w:r>
          </w:p>
          <w:p w14:paraId="563B040D" w14:textId="5BACB279"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Farmers Associations</w:t>
            </w:r>
          </w:p>
        </w:tc>
        <w:tc>
          <w:tcPr>
            <w:tcW w:w="851" w:type="dxa"/>
            <w:shd w:val="clear" w:color="auto" w:fill="FFFFFF"/>
            <w:tcMar>
              <w:left w:w="57" w:type="dxa"/>
              <w:right w:w="57" w:type="dxa"/>
            </w:tcMar>
          </w:tcPr>
          <w:p w14:paraId="311758D7" w14:textId="583EB33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73293B96" w14:textId="5F289C89"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Subsidy guidelines and application forms</w:t>
            </w:r>
          </w:p>
          <w:p w14:paraId="0FDFEFB1" w14:textId="37EEAD3E"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Monitoring reports on subsidy uptake</w:t>
            </w:r>
          </w:p>
          <w:p w14:paraId="1957801D" w14:textId="66EDB4A5"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Interim impact assessments</w:t>
            </w:r>
          </w:p>
        </w:tc>
        <w:tc>
          <w:tcPr>
            <w:tcW w:w="1701" w:type="dxa"/>
            <w:shd w:val="clear" w:color="auto" w:fill="FFFFFF"/>
          </w:tcPr>
          <w:p w14:paraId="4CDA87D1" w14:textId="26DC22B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 xml:space="preserve">Wider adoption of modern, efficient machinery that reduces </w:t>
            </w:r>
            <w:r w:rsidR="005C086F" w:rsidRPr="00662906">
              <w:rPr>
                <w:rFonts w:cs="Arial"/>
                <w:sz w:val="16"/>
                <w:szCs w:val="16"/>
              </w:rPr>
              <w:t>labour</w:t>
            </w:r>
            <w:r w:rsidRPr="00662906">
              <w:rPr>
                <w:rFonts w:cs="Arial"/>
                <w:sz w:val="16"/>
                <w:szCs w:val="16"/>
              </w:rPr>
              <w:t xml:space="preserve"> intensity and boosts productivity, ultimately contributing to food security and lower energy costs</w:t>
            </w:r>
          </w:p>
        </w:tc>
        <w:tc>
          <w:tcPr>
            <w:tcW w:w="1843" w:type="dxa"/>
            <w:shd w:val="clear" w:color="auto" w:fill="FFFFFF"/>
          </w:tcPr>
          <w:p w14:paraId="78282635"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Subsidy program launched (Yes/No)</w:t>
            </w:r>
          </w:p>
          <w:p w14:paraId="374EA994"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subsidy applications received</w:t>
            </w:r>
          </w:p>
          <w:p w14:paraId="659BC460" w14:textId="5FCC6303"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Reduction in average energy use per farm (Yes/No)</w:t>
            </w:r>
          </w:p>
        </w:tc>
      </w:tr>
      <w:tr w:rsidR="002E412A" w:rsidRPr="00662906" w14:paraId="316BE956" w14:textId="77777777" w:rsidTr="007E6C89">
        <w:trPr>
          <w:trHeight w:val="300"/>
        </w:trPr>
        <w:tc>
          <w:tcPr>
            <w:tcW w:w="167" w:type="dxa"/>
            <w:shd w:val="clear" w:color="auto" w:fill="FFFFFF"/>
            <w:tcMar>
              <w:left w:w="57" w:type="dxa"/>
              <w:right w:w="57" w:type="dxa"/>
            </w:tcMar>
          </w:tcPr>
          <w:p w14:paraId="07766EC9" w14:textId="77777777" w:rsidR="002E412A" w:rsidRPr="00662906" w:rsidRDefault="002E412A"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6584D5FB" w14:textId="1333A66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Pan-African Equipment Modernization Fund</w:t>
            </w:r>
          </w:p>
        </w:tc>
        <w:tc>
          <w:tcPr>
            <w:tcW w:w="3260" w:type="dxa"/>
            <w:tcBorders>
              <w:bottom w:val="single" w:sz="4" w:space="0" w:color="9F2241"/>
            </w:tcBorders>
            <w:shd w:val="clear" w:color="auto" w:fill="FFFFFF"/>
            <w:tcMar>
              <w:left w:w="57" w:type="dxa"/>
              <w:right w:w="57" w:type="dxa"/>
            </w:tcMar>
          </w:tcPr>
          <w:p w14:paraId="0A87672A" w14:textId="6BCEF68E" w:rsidR="002E412A" w:rsidRPr="00662906" w:rsidRDefault="002E412A" w:rsidP="007E6C89">
            <w:pPr>
              <w:pStyle w:val="ListParagraph"/>
              <w:numPr>
                <w:ilvl w:val="0"/>
                <w:numId w:val="137"/>
              </w:numPr>
              <w:spacing w:before="40" w:after="40"/>
              <w:ind w:left="368"/>
              <w:jc w:val="center"/>
              <w:rPr>
                <w:rFonts w:eastAsia="Arial" w:cs="Arial"/>
                <w:color w:val="394A58"/>
                <w:sz w:val="16"/>
                <w:szCs w:val="16"/>
              </w:rPr>
            </w:pPr>
            <w:r w:rsidRPr="00662906">
              <w:rPr>
                <w:rFonts w:eastAsia="Arial" w:cs="Arial"/>
                <w:color w:val="394A58"/>
                <w:sz w:val="16"/>
                <w:szCs w:val="16"/>
              </w:rPr>
              <w:t>Conduct needs assessments to prioritize regions and crop value chains</w:t>
            </w:r>
          </w:p>
          <w:p w14:paraId="078D5E80" w14:textId="62008EC2" w:rsidR="002E412A" w:rsidRPr="00662906" w:rsidRDefault="002E412A" w:rsidP="007E6C89">
            <w:pPr>
              <w:pStyle w:val="ListParagraph"/>
              <w:numPr>
                <w:ilvl w:val="0"/>
                <w:numId w:val="137"/>
              </w:numPr>
              <w:spacing w:before="40" w:after="40"/>
              <w:ind w:left="368"/>
              <w:jc w:val="center"/>
              <w:rPr>
                <w:rFonts w:eastAsia="Arial" w:cs="Arial"/>
                <w:color w:val="394A58"/>
                <w:sz w:val="16"/>
                <w:szCs w:val="16"/>
              </w:rPr>
            </w:pPr>
            <w:r w:rsidRPr="00662906">
              <w:rPr>
                <w:rFonts w:eastAsia="Arial" w:cs="Arial"/>
                <w:color w:val="394A58"/>
                <w:sz w:val="16"/>
                <w:szCs w:val="16"/>
              </w:rPr>
              <w:t>Structure financing packages (loans, grants) with clear eligibility criteria</w:t>
            </w:r>
          </w:p>
          <w:p w14:paraId="556EF65E" w14:textId="4613FBE1" w:rsidR="002E412A" w:rsidRPr="00662906" w:rsidRDefault="002E412A" w:rsidP="007E6C89">
            <w:pPr>
              <w:pStyle w:val="ListParagraph"/>
              <w:numPr>
                <w:ilvl w:val="0"/>
                <w:numId w:val="137"/>
              </w:numPr>
              <w:spacing w:before="40" w:after="40"/>
              <w:ind w:left="368"/>
              <w:jc w:val="center"/>
              <w:rPr>
                <w:rFonts w:eastAsia="Arial" w:cs="Arial"/>
                <w:color w:val="394A58"/>
                <w:sz w:val="16"/>
                <w:szCs w:val="16"/>
              </w:rPr>
            </w:pPr>
            <w:r w:rsidRPr="00662906">
              <w:rPr>
                <w:rFonts w:eastAsia="Arial" w:cs="Arial"/>
                <w:color w:val="394A58"/>
                <w:sz w:val="16"/>
                <w:szCs w:val="16"/>
              </w:rPr>
              <w:t>Engage with regional/local banks to channel funds effectively</w:t>
            </w:r>
          </w:p>
          <w:p w14:paraId="4EDE85CD" w14:textId="4AFB4376" w:rsidR="002E412A" w:rsidRPr="00662906" w:rsidRDefault="002E412A" w:rsidP="007E6C89">
            <w:pPr>
              <w:pStyle w:val="ListParagraph"/>
              <w:numPr>
                <w:ilvl w:val="0"/>
                <w:numId w:val="137"/>
              </w:numPr>
              <w:spacing w:before="40" w:after="40"/>
              <w:ind w:left="368"/>
              <w:jc w:val="center"/>
              <w:rPr>
                <w:rFonts w:eastAsia="Arial" w:cs="Arial"/>
                <w:color w:val="394A58"/>
                <w:sz w:val="16"/>
                <w:szCs w:val="16"/>
              </w:rPr>
            </w:pPr>
            <w:r w:rsidRPr="00662906">
              <w:rPr>
                <w:rFonts w:eastAsia="Arial" w:cs="Arial"/>
                <w:color w:val="394A58"/>
                <w:sz w:val="16"/>
                <w:szCs w:val="16"/>
              </w:rPr>
              <w:t>Develop tracking mechanisms for fund utilization and repayment</w:t>
            </w:r>
          </w:p>
        </w:tc>
        <w:tc>
          <w:tcPr>
            <w:tcW w:w="1276" w:type="dxa"/>
            <w:shd w:val="clear" w:color="auto" w:fill="FFFFFF"/>
            <w:tcMar>
              <w:left w:w="57" w:type="dxa"/>
              <w:right w:w="57" w:type="dxa"/>
            </w:tcMar>
          </w:tcPr>
          <w:p w14:paraId="49BFE1BD" w14:textId="786F5FE2"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6143E873" w14:textId="63BE65C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AfDB</w:t>
            </w:r>
          </w:p>
        </w:tc>
        <w:tc>
          <w:tcPr>
            <w:tcW w:w="1198" w:type="dxa"/>
            <w:shd w:val="clear" w:color="auto" w:fill="FFFFFF"/>
            <w:tcMar>
              <w:left w:w="57" w:type="dxa"/>
              <w:right w:w="57" w:type="dxa"/>
            </w:tcMar>
          </w:tcPr>
          <w:p w14:paraId="053966FC" w14:textId="60A256B5"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Regional Economic Communities, Regional Development Banks, National Commercial Banks, Ministries in charge of Finance &amp; energy</w:t>
            </w:r>
          </w:p>
        </w:tc>
        <w:tc>
          <w:tcPr>
            <w:tcW w:w="851" w:type="dxa"/>
            <w:shd w:val="clear" w:color="auto" w:fill="FFFFFF"/>
            <w:tcMar>
              <w:left w:w="57" w:type="dxa"/>
              <w:right w:w="57" w:type="dxa"/>
            </w:tcMar>
          </w:tcPr>
          <w:p w14:paraId="063097E9" w14:textId="2BDB3A6E"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0483DDBE" w14:textId="2C0C51E7"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Needs assessment reports</w:t>
            </w:r>
          </w:p>
          <w:p w14:paraId="51DE6EE8" w14:textId="6B0936C1"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Fund operational guidelines</w:t>
            </w:r>
          </w:p>
          <w:p w14:paraId="6EECA908" w14:textId="5D8CC65D"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Financing agreements with participating banks</w:t>
            </w:r>
          </w:p>
        </w:tc>
        <w:tc>
          <w:tcPr>
            <w:tcW w:w="1701" w:type="dxa"/>
            <w:shd w:val="clear" w:color="auto" w:fill="FFFFFF"/>
          </w:tcPr>
          <w:p w14:paraId="081D77D1" w14:textId="193356B7"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Enhanced continental market for modern, energy-efficient farm equipment, promoting economies of scale and sustained agricultural modernization</w:t>
            </w:r>
          </w:p>
        </w:tc>
        <w:tc>
          <w:tcPr>
            <w:tcW w:w="1843" w:type="dxa"/>
            <w:shd w:val="clear" w:color="auto" w:fill="FFFFFF"/>
          </w:tcPr>
          <w:p w14:paraId="64F44F91"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Fund officially established (Yes/No)</w:t>
            </w:r>
          </w:p>
          <w:p w14:paraId="0B9D58AD"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financing agreements</w:t>
            </w:r>
          </w:p>
          <w:p w14:paraId="3F300CE8" w14:textId="2E5FA703"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Repayment/default rates monitored (Yes/No)</w:t>
            </w:r>
          </w:p>
        </w:tc>
      </w:tr>
      <w:tr w:rsidR="002E412A" w:rsidRPr="00662906" w14:paraId="3AF35DDE" w14:textId="77777777" w:rsidTr="007E6C89">
        <w:trPr>
          <w:trHeight w:val="300"/>
        </w:trPr>
        <w:tc>
          <w:tcPr>
            <w:tcW w:w="167" w:type="dxa"/>
            <w:shd w:val="clear" w:color="auto" w:fill="FFFFFF"/>
            <w:tcMar>
              <w:left w:w="57" w:type="dxa"/>
              <w:right w:w="57" w:type="dxa"/>
            </w:tcMar>
          </w:tcPr>
          <w:p w14:paraId="13E365E8" w14:textId="77777777" w:rsidR="002E412A" w:rsidRPr="00662906" w:rsidRDefault="002E412A"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15C92AB5" w14:textId="3F8434C2"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Regional Demonstrations of Advanced Farming Equipment</w:t>
            </w:r>
          </w:p>
        </w:tc>
        <w:tc>
          <w:tcPr>
            <w:tcW w:w="3260" w:type="dxa"/>
            <w:tcBorders>
              <w:top w:val="single" w:sz="4" w:space="0" w:color="9F2241"/>
              <w:left w:val="nil"/>
              <w:bottom w:val="single" w:sz="4" w:space="0" w:color="9F2241"/>
              <w:right w:val="nil"/>
            </w:tcBorders>
            <w:tcMar>
              <w:left w:w="57" w:type="dxa"/>
              <w:right w:w="57" w:type="dxa"/>
            </w:tcMar>
          </w:tcPr>
          <w:p w14:paraId="6E9DD8F0" w14:textId="6680F01F" w:rsidR="002E412A" w:rsidRPr="00662906" w:rsidRDefault="002E412A" w:rsidP="007E6C89">
            <w:pPr>
              <w:pStyle w:val="ListParagraph"/>
              <w:numPr>
                <w:ilvl w:val="0"/>
                <w:numId w:val="138"/>
              </w:numPr>
              <w:spacing w:before="40" w:after="40"/>
              <w:ind w:left="368"/>
              <w:jc w:val="center"/>
              <w:rPr>
                <w:rFonts w:eastAsia="Arial" w:cs="Arial"/>
                <w:color w:val="394A58"/>
                <w:sz w:val="16"/>
                <w:szCs w:val="16"/>
              </w:rPr>
            </w:pPr>
            <w:r w:rsidRPr="00662906">
              <w:rPr>
                <w:rFonts w:eastAsia="Arial" w:cs="Arial"/>
                <w:color w:val="394A58"/>
                <w:sz w:val="16"/>
                <w:szCs w:val="16"/>
              </w:rPr>
              <w:t>Organize live demo events showcasing various equipment types (tractors, harvesters, irrigation systems)</w:t>
            </w:r>
          </w:p>
          <w:p w14:paraId="389868B9" w14:textId="19FCC8FA" w:rsidR="002E412A" w:rsidRPr="00662906" w:rsidRDefault="002E412A" w:rsidP="007E6C89">
            <w:pPr>
              <w:pStyle w:val="ListParagraph"/>
              <w:numPr>
                <w:ilvl w:val="0"/>
                <w:numId w:val="138"/>
              </w:numPr>
              <w:spacing w:before="40" w:after="40"/>
              <w:ind w:left="368"/>
              <w:jc w:val="center"/>
              <w:rPr>
                <w:rFonts w:eastAsia="Arial" w:cs="Arial"/>
                <w:color w:val="394A58"/>
                <w:sz w:val="16"/>
                <w:szCs w:val="16"/>
              </w:rPr>
            </w:pPr>
            <w:r w:rsidRPr="00662906">
              <w:rPr>
                <w:rFonts w:eastAsia="Arial" w:cs="Arial"/>
                <w:color w:val="394A58"/>
                <w:sz w:val="16"/>
                <w:szCs w:val="16"/>
              </w:rPr>
              <w:t>Provide hands-on training sessions for local farmers</w:t>
            </w:r>
          </w:p>
          <w:p w14:paraId="2E8A82AD" w14:textId="3857B816" w:rsidR="002E412A" w:rsidRPr="00662906" w:rsidRDefault="002E412A" w:rsidP="007E6C89">
            <w:pPr>
              <w:pStyle w:val="ListParagraph"/>
              <w:numPr>
                <w:ilvl w:val="0"/>
                <w:numId w:val="138"/>
              </w:numPr>
              <w:spacing w:before="40" w:after="40"/>
              <w:ind w:left="368"/>
              <w:jc w:val="center"/>
              <w:rPr>
                <w:rFonts w:eastAsia="Arial" w:cs="Arial"/>
                <w:color w:val="394A58"/>
                <w:sz w:val="16"/>
                <w:szCs w:val="16"/>
              </w:rPr>
            </w:pPr>
            <w:r w:rsidRPr="00662906">
              <w:rPr>
                <w:rFonts w:eastAsia="Arial" w:cs="Arial"/>
                <w:color w:val="394A58"/>
                <w:sz w:val="16"/>
                <w:szCs w:val="16"/>
              </w:rPr>
              <w:t>Collect feedback on equipment suitability for different agro-climatic zones and agricultural activities</w:t>
            </w:r>
          </w:p>
        </w:tc>
        <w:tc>
          <w:tcPr>
            <w:tcW w:w="1276" w:type="dxa"/>
            <w:shd w:val="clear" w:color="auto" w:fill="FFFFFF"/>
            <w:tcMar>
              <w:left w:w="57" w:type="dxa"/>
              <w:right w:w="57" w:type="dxa"/>
            </w:tcMar>
          </w:tcPr>
          <w:p w14:paraId="12C3F440" w14:textId="145D482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027E0715" w14:textId="72E851C0"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 xml:space="preserve">REC’s Agricultural </w:t>
            </w:r>
            <w:r w:rsidR="005C086F" w:rsidRPr="00662906">
              <w:rPr>
                <w:rFonts w:cs="Arial"/>
                <w:sz w:val="16"/>
                <w:szCs w:val="16"/>
              </w:rPr>
              <w:t>Directorates</w:t>
            </w:r>
          </w:p>
        </w:tc>
        <w:tc>
          <w:tcPr>
            <w:tcW w:w="1198" w:type="dxa"/>
            <w:shd w:val="clear" w:color="auto" w:fill="FFFFFF"/>
            <w:tcMar>
              <w:left w:w="57" w:type="dxa"/>
              <w:right w:w="57" w:type="dxa"/>
            </w:tcMar>
          </w:tcPr>
          <w:p w14:paraId="1E0D9148" w14:textId="734DD491" w:rsidR="002E412A" w:rsidRPr="00662906" w:rsidRDefault="002E412A" w:rsidP="007E6C89">
            <w:pPr>
              <w:spacing w:before="40" w:after="40"/>
              <w:jc w:val="center"/>
              <w:rPr>
                <w:rFonts w:cs="Arial"/>
                <w:sz w:val="16"/>
                <w:szCs w:val="16"/>
              </w:rPr>
            </w:pPr>
            <w:r w:rsidRPr="00662906">
              <w:rPr>
                <w:rFonts w:cs="Arial"/>
                <w:sz w:val="16"/>
                <w:szCs w:val="16"/>
              </w:rPr>
              <w:t>National Ministries of Agriculture &amp; Energy</w:t>
            </w:r>
          </w:p>
          <w:p w14:paraId="6646534C" w14:textId="0D6259E3" w:rsidR="002E412A" w:rsidRPr="00662906" w:rsidRDefault="002E412A" w:rsidP="007E6C89">
            <w:pPr>
              <w:spacing w:before="40" w:after="40"/>
              <w:jc w:val="center"/>
              <w:rPr>
                <w:rFonts w:cs="Arial"/>
                <w:sz w:val="16"/>
                <w:szCs w:val="16"/>
              </w:rPr>
            </w:pPr>
            <w:r w:rsidRPr="00662906">
              <w:rPr>
                <w:rFonts w:cs="Arial"/>
                <w:sz w:val="16"/>
                <w:szCs w:val="16"/>
              </w:rPr>
              <w:t>Private Sector Equipment suppliers</w:t>
            </w:r>
          </w:p>
          <w:p w14:paraId="37E25D36" w14:textId="6D51E25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lastRenderedPageBreak/>
              <w:t>Farming Associations and communities</w:t>
            </w:r>
          </w:p>
        </w:tc>
        <w:tc>
          <w:tcPr>
            <w:tcW w:w="851" w:type="dxa"/>
            <w:shd w:val="clear" w:color="auto" w:fill="FFFFFF"/>
            <w:tcMar>
              <w:left w:w="57" w:type="dxa"/>
              <w:right w:w="57" w:type="dxa"/>
            </w:tcMar>
          </w:tcPr>
          <w:p w14:paraId="021EBD63" w14:textId="6F433509" w:rsidR="002E412A" w:rsidRPr="00662906" w:rsidRDefault="002E412A" w:rsidP="007E6C89">
            <w:pPr>
              <w:spacing w:before="40" w:after="40"/>
              <w:jc w:val="center"/>
              <w:rPr>
                <w:rFonts w:eastAsia="Arial" w:cs="Arial"/>
                <w:color w:val="53575A"/>
                <w:sz w:val="16"/>
                <w:szCs w:val="16"/>
              </w:rPr>
            </w:pPr>
            <w:r w:rsidRPr="00662906">
              <w:rPr>
                <w:rFonts w:cs="Arial"/>
                <w:sz w:val="16"/>
                <w:szCs w:val="16"/>
              </w:rPr>
              <w:lastRenderedPageBreak/>
              <w:t>Medium Term</w:t>
            </w:r>
          </w:p>
        </w:tc>
        <w:tc>
          <w:tcPr>
            <w:tcW w:w="1842" w:type="dxa"/>
            <w:shd w:val="clear" w:color="auto" w:fill="FFFFFF"/>
          </w:tcPr>
          <w:p w14:paraId="248915DF" w14:textId="0F4B1381"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event schedules</w:t>
            </w:r>
          </w:p>
          <w:p w14:paraId="3A18D43E" w14:textId="0D1EDE9D"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session materials</w:t>
            </w:r>
          </w:p>
          <w:p w14:paraId="4BF2933B" w14:textId="7C5C6FC8"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Farmer feedback surveys</w:t>
            </w:r>
          </w:p>
        </w:tc>
        <w:tc>
          <w:tcPr>
            <w:tcW w:w="1701" w:type="dxa"/>
            <w:shd w:val="clear" w:color="auto" w:fill="FFFFFF"/>
          </w:tcPr>
          <w:p w14:paraId="34071128" w14:textId="619276AE"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 xml:space="preserve">Increased regional acceptance and uptake of energy-efficient technologies, adapting to local environmental </w:t>
            </w:r>
            <w:r w:rsidRPr="00662906">
              <w:rPr>
                <w:rFonts w:cs="Arial"/>
                <w:sz w:val="16"/>
                <w:szCs w:val="16"/>
              </w:rPr>
              <w:lastRenderedPageBreak/>
              <w:t>conditions and improving yields</w:t>
            </w:r>
          </w:p>
        </w:tc>
        <w:tc>
          <w:tcPr>
            <w:tcW w:w="1843" w:type="dxa"/>
            <w:shd w:val="clear" w:color="auto" w:fill="FFFFFF"/>
          </w:tcPr>
          <w:p w14:paraId="052E7F9E"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Number of demonstration events held</w:t>
            </w:r>
          </w:p>
          <w:p w14:paraId="63E274F6"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Training materials produced (Yes/No)</w:t>
            </w:r>
          </w:p>
          <w:p w14:paraId="75A7A1B4" w14:textId="01ADF3C9"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Positive feedback from farmers (Yes/No)</w:t>
            </w:r>
          </w:p>
        </w:tc>
      </w:tr>
      <w:tr w:rsidR="002E412A" w:rsidRPr="00662906" w14:paraId="07A69187" w14:textId="77777777" w:rsidTr="007E6C89">
        <w:trPr>
          <w:trHeight w:val="300"/>
        </w:trPr>
        <w:tc>
          <w:tcPr>
            <w:tcW w:w="167" w:type="dxa"/>
            <w:shd w:val="clear" w:color="auto" w:fill="FFFFFF"/>
            <w:tcMar>
              <w:left w:w="57" w:type="dxa"/>
              <w:right w:w="57" w:type="dxa"/>
            </w:tcMar>
          </w:tcPr>
          <w:p w14:paraId="2564E1A5" w14:textId="77777777" w:rsidR="002E412A" w:rsidRPr="00662906" w:rsidRDefault="002E412A"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2A31422C" w14:textId="4DE8C0CE"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Harmonization of Farm Equipment Standards</w:t>
            </w:r>
          </w:p>
        </w:tc>
        <w:tc>
          <w:tcPr>
            <w:tcW w:w="3260" w:type="dxa"/>
            <w:tcBorders>
              <w:top w:val="single" w:sz="4" w:space="0" w:color="9F2241"/>
              <w:left w:val="nil"/>
              <w:bottom w:val="single" w:sz="4" w:space="0" w:color="9F2241"/>
              <w:right w:val="nil"/>
            </w:tcBorders>
            <w:tcMar>
              <w:left w:w="57" w:type="dxa"/>
              <w:right w:w="57" w:type="dxa"/>
            </w:tcMar>
          </w:tcPr>
          <w:p w14:paraId="717112A1" w14:textId="14C86B58" w:rsidR="002E412A" w:rsidRPr="00662906" w:rsidRDefault="002E412A" w:rsidP="007E6C89">
            <w:pPr>
              <w:pStyle w:val="ListParagraph"/>
              <w:numPr>
                <w:ilvl w:val="0"/>
                <w:numId w:val="139"/>
              </w:numPr>
              <w:spacing w:before="40" w:after="40"/>
              <w:ind w:left="368"/>
              <w:jc w:val="center"/>
              <w:rPr>
                <w:rFonts w:eastAsia="Arial" w:cs="Arial"/>
                <w:color w:val="394A58"/>
                <w:sz w:val="16"/>
                <w:szCs w:val="16"/>
              </w:rPr>
            </w:pPr>
            <w:r w:rsidRPr="00662906">
              <w:rPr>
                <w:rFonts w:eastAsia="Arial" w:cs="Arial"/>
                <w:color w:val="394A58"/>
                <w:sz w:val="16"/>
                <w:szCs w:val="16"/>
              </w:rPr>
              <w:t>Review existing national and international equipment standards</w:t>
            </w:r>
          </w:p>
          <w:p w14:paraId="19E49304" w14:textId="114DC164" w:rsidR="002E412A" w:rsidRPr="00662906" w:rsidRDefault="002E412A" w:rsidP="007E6C89">
            <w:pPr>
              <w:pStyle w:val="ListParagraph"/>
              <w:numPr>
                <w:ilvl w:val="0"/>
                <w:numId w:val="139"/>
              </w:numPr>
              <w:spacing w:before="40" w:after="40"/>
              <w:ind w:left="368"/>
              <w:jc w:val="center"/>
              <w:rPr>
                <w:rFonts w:eastAsia="Arial" w:cs="Arial"/>
                <w:color w:val="394A58"/>
                <w:sz w:val="16"/>
                <w:szCs w:val="16"/>
              </w:rPr>
            </w:pPr>
            <w:r w:rsidRPr="00662906">
              <w:rPr>
                <w:rFonts w:eastAsia="Arial" w:cs="Arial"/>
                <w:color w:val="394A58"/>
                <w:sz w:val="16"/>
                <w:szCs w:val="16"/>
              </w:rPr>
              <w:t>Draft harmonized specifications and safety norms applicable to AU Member States</w:t>
            </w:r>
          </w:p>
          <w:p w14:paraId="70E8C2E9" w14:textId="01B3E198" w:rsidR="002E412A" w:rsidRPr="00662906" w:rsidRDefault="002E412A" w:rsidP="007E6C89">
            <w:pPr>
              <w:pStyle w:val="ListParagraph"/>
              <w:numPr>
                <w:ilvl w:val="0"/>
                <w:numId w:val="139"/>
              </w:numPr>
              <w:spacing w:before="40" w:after="40"/>
              <w:ind w:left="368"/>
              <w:jc w:val="center"/>
              <w:rPr>
                <w:rFonts w:eastAsia="Arial" w:cs="Arial"/>
                <w:color w:val="394A58"/>
                <w:sz w:val="16"/>
                <w:szCs w:val="16"/>
              </w:rPr>
            </w:pPr>
            <w:r w:rsidRPr="00662906">
              <w:rPr>
                <w:rFonts w:eastAsia="Arial" w:cs="Arial"/>
                <w:color w:val="394A58"/>
                <w:sz w:val="16"/>
                <w:szCs w:val="16"/>
              </w:rPr>
              <w:t>Conduct consultative workshops with stakeholders (manufacturers, farmers, regulatory bodies)</w:t>
            </w:r>
          </w:p>
          <w:p w14:paraId="1A93AD07" w14:textId="14C2F511" w:rsidR="002E412A" w:rsidRPr="00662906" w:rsidRDefault="002E412A" w:rsidP="007E6C89">
            <w:pPr>
              <w:pStyle w:val="ListParagraph"/>
              <w:numPr>
                <w:ilvl w:val="0"/>
                <w:numId w:val="139"/>
              </w:numPr>
              <w:spacing w:before="40" w:after="40"/>
              <w:ind w:left="368"/>
              <w:jc w:val="center"/>
              <w:rPr>
                <w:rFonts w:eastAsia="Arial" w:cs="Arial"/>
                <w:color w:val="394A58"/>
                <w:sz w:val="16"/>
                <w:szCs w:val="16"/>
              </w:rPr>
            </w:pPr>
            <w:r w:rsidRPr="00662906">
              <w:rPr>
                <w:rFonts w:eastAsia="Arial" w:cs="Arial"/>
                <w:color w:val="394A58"/>
                <w:sz w:val="16"/>
                <w:szCs w:val="16"/>
              </w:rPr>
              <w:t>Finalize and publish standardized guidelines</w:t>
            </w:r>
          </w:p>
        </w:tc>
        <w:tc>
          <w:tcPr>
            <w:tcW w:w="1276" w:type="dxa"/>
            <w:shd w:val="clear" w:color="auto" w:fill="FFFFFF"/>
            <w:tcMar>
              <w:left w:w="57" w:type="dxa"/>
              <w:right w:w="57" w:type="dxa"/>
            </w:tcMar>
          </w:tcPr>
          <w:p w14:paraId="2E61A768" w14:textId="00568280"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73600DA8" w14:textId="0BE0A2E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AUC</w:t>
            </w:r>
          </w:p>
        </w:tc>
        <w:tc>
          <w:tcPr>
            <w:tcW w:w="1198" w:type="dxa"/>
            <w:shd w:val="clear" w:color="auto" w:fill="FFFFFF"/>
            <w:tcMar>
              <w:left w:w="57" w:type="dxa"/>
              <w:right w:w="57" w:type="dxa"/>
            </w:tcMar>
          </w:tcPr>
          <w:p w14:paraId="07EA1980" w14:textId="0110F227" w:rsidR="002E412A" w:rsidRPr="00662906" w:rsidRDefault="002E412A" w:rsidP="007E6C89">
            <w:pPr>
              <w:spacing w:before="40" w:after="40"/>
              <w:jc w:val="center"/>
              <w:rPr>
                <w:rFonts w:cs="Arial"/>
                <w:sz w:val="16"/>
                <w:szCs w:val="16"/>
              </w:rPr>
            </w:pPr>
            <w:r w:rsidRPr="00662906">
              <w:rPr>
                <w:rFonts w:cs="Arial"/>
                <w:sz w:val="16"/>
                <w:szCs w:val="16"/>
              </w:rPr>
              <w:t>Pan-African Quality Infrastructures (PAQI) / AFSEC / ARSO</w:t>
            </w:r>
          </w:p>
          <w:p w14:paraId="46F8CDCF" w14:textId="33709500"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 xml:space="preserve">National &amp; Regional Standards Bodies, </w:t>
            </w:r>
            <w:r w:rsidR="005C086F" w:rsidRPr="00662906">
              <w:rPr>
                <w:rFonts w:cs="Arial"/>
                <w:sz w:val="16"/>
                <w:szCs w:val="16"/>
              </w:rPr>
              <w:t>International Standards Organization (</w:t>
            </w:r>
            <w:r w:rsidRPr="00662906">
              <w:rPr>
                <w:rFonts w:cs="Arial"/>
                <w:sz w:val="16"/>
                <w:szCs w:val="16"/>
              </w:rPr>
              <w:t>ISO</w:t>
            </w:r>
            <w:r w:rsidR="005C086F" w:rsidRPr="00662906">
              <w:rPr>
                <w:rFonts w:cs="Arial"/>
                <w:sz w:val="16"/>
                <w:szCs w:val="16"/>
              </w:rPr>
              <w:t>)</w:t>
            </w:r>
          </w:p>
        </w:tc>
        <w:tc>
          <w:tcPr>
            <w:tcW w:w="851" w:type="dxa"/>
            <w:shd w:val="clear" w:color="auto" w:fill="FFFFFF"/>
            <w:tcMar>
              <w:left w:w="57" w:type="dxa"/>
              <w:right w:w="57" w:type="dxa"/>
            </w:tcMar>
          </w:tcPr>
          <w:p w14:paraId="51FC47B4" w14:textId="4D29FF5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232AFF33" w14:textId="10F96EE0"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harmonized equipment standards</w:t>
            </w:r>
          </w:p>
          <w:p w14:paraId="438D1A9F" w14:textId="3BF1DEA9"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findings and consensus reports</w:t>
            </w:r>
          </w:p>
          <w:p w14:paraId="4E247798" w14:textId="2C6DE2A5"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Final published guidelines</w:t>
            </w:r>
          </w:p>
        </w:tc>
        <w:tc>
          <w:tcPr>
            <w:tcW w:w="1701" w:type="dxa"/>
            <w:shd w:val="clear" w:color="auto" w:fill="FFFFFF"/>
          </w:tcPr>
          <w:p w14:paraId="680CCE92" w14:textId="4ADFE6F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Improved quality, safety, and efficiency of farm equipment across the continent, facilitating cross-border trade and consistent performance benchmarks</w:t>
            </w:r>
          </w:p>
        </w:tc>
        <w:tc>
          <w:tcPr>
            <w:tcW w:w="1843" w:type="dxa"/>
            <w:shd w:val="clear" w:color="auto" w:fill="FFFFFF"/>
          </w:tcPr>
          <w:p w14:paraId="096E2783"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Standards document published (Yes/No)</w:t>
            </w:r>
          </w:p>
          <w:p w14:paraId="61EE76A0"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Member States adopting standards</w:t>
            </w:r>
          </w:p>
          <w:p w14:paraId="2D0DDB66" w14:textId="1449C524"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Stakeholder workshops conducted (count)</w:t>
            </w:r>
          </w:p>
        </w:tc>
      </w:tr>
      <w:tr w:rsidR="002E412A" w:rsidRPr="00662906" w14:paraId="6FF32449" w14:textId="77777777" w:rsidTr="007E6C89">
        <w:trPr>
          <w:trHeight w:val="300"/>
        </w:trPr>
        <w:tc>
          <w:tcPr>
            <w:tcW w:w="167" w:type="dxa"/>
            <w:shd w:val="clear" w:color="auto" w:fill="FFFFFF"/>
            <w:tcMar>
              <w:left w:w="57" w:type="dxa"/>
              <w:right w:w="57" w:type="dxa"/>
            </w:tcMar>
          </w:tcPr>
          <w:p w14:paraId="1C29A7BC" w14:textId="77777777" w:rsidR="002E412A" w:rsidRPr="00662906" w:rsidRDefault="002E412A"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051499E9" w14:textId="75397FDD"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Electric and Renewable Fuels Powered Machinery Deployment Guidelines</w:t>
            </w:r>
          </w:p>
        </w:tc>
        <w:tc>
          <w:tcPr>
            <w:tcW w:w="3260" w:type="dxa"/>
            <w:tcBorders>
              <w:top w:val="single" w:sz="4" w:space="0" w:color="9F2241"/>
              <w:left w:val="nil"/>
              <w:bottom w:val="single" w:sz="4" w:space="0" w:color="9F2241"/>
              <w:right w:val="nil"/>
            </w:tcBorders>
            <w:tcMar>
              <w:left w:w="57" w:type="dxa"/>
              <w:right w:w="57" w:type="dxa"/>
            </w:tcMar>
          </w:tcPr>
          <w:p w14:paraId="54BB6C93" w14:textId="33A594C4" w:rsidR="002E412A" w:rsidRPr="00662906" w:rsidRDefault="002E412A" w:rsidP="007E6C89">
            <w:pPr>
              <w:pStyle w:val="ListParagraph"/>
              <w:numPr>
                <w:ilvl w:val="0"/>
                <w:numId w:val="140"/>
              </w:numPr>
              <w:spacing w:before="40" w:after="40"/>
              <w:ind w:left="368"/>
              <w:jc w:val="center"/>
              <w:rPr>
                <w:rFonts w:eastAsia="Arial" w:cs="Arial"/>
                <w:color w:val="394A58"/>
                <w:sz w:val="16"/>
                <w:szCs w:val="16"/>
              </w:rPr>
            </w:pPr>
            <w:r w:rsidRPr="00662906">
              <w:rPr>
                <w:rFonts w:eastAsia="Arial" w:cs="Arial"/>
                <w:color w:val="394A58"/>
                <w:sz w:val="16"/>
                <w:szCs w:val="16"/>
              </w:rPr>
              <w:t>Research best practices for integrating electric and renewable fuel machinery in agriculture</w:t>
            </w:r>
          </w:p>
          <w:p w14:paraId="3541360B" w14:textId="20E8C2EA" w:rsidR="002E412A" w:rsidRPr="00662906" w:rsidRDefault="002E412A" w:rsidP="007E6C89">
            <w:pPr>
              <w:pStyle w:val="ListParagraph"/>
              <w:numPr>
                <w:ilvl w:val="0"/>
                <w:numId w:val="140"/>
              </w:numPr>
              <w:spacing w:before="40" w:after="40"/>
              <w:ind w:left="368"/>
              <w:jc w:val="center"/>
              <w:rPr>
                <w:rFonts w:eastAsia="Arial" w:cs="Arial"/>
                <w:color w:val="394A58"/>
                <w:sz w:val="16"/>
                <w:szCs w:val="16"/>
              </w:rPr>
            </w:pPr>
            <w:r w:rsidRPr="00662906">
              <w:rPr>
                <w:rFonts w:eastAsia="Arial" w:cs="Arial"/>
                <w:color w:val="394A58"/>
                <w:sz w:val="16"/>
                <w:szCs w:val="16"/>
              </w:rPr>
              <w:t>Develop easy-to-follow technical guidelines and case studies</w:t>
            </w:r>
          </w:p>
          <w:p w14:paraId="21C31A64" w14:textId="3D322CAD" w:rsidR="002E412A" w:rsidRPr="00662906" w:rsidRDefault="002E412A" w:rsidP="007E6C89">
            <w:pPr>
              <w:pStyle w:val="ListParagraph"/>
              <w:numPr>
                <w:ilvl w:val="0"/>
                <w:numId w:val="140"/>
              </w:numPr>
              <w:spacing w:before="40" w:after="40"/>
              <w:ind w:left="368"/>
              <w:jc w:val="center"/>
              <w:rPr>
                <w:rFonts w:eastAsia="Arial" w:cs="Arial"/>
                <w:color w:val="394A58"/>
                <w:sz w:val="16"/>
                <w:szCs w:val="16"/>
              </w:rPr>
            </w:pPr>
            <w:r w:rsidRPr="00662906">
              <w:rPr>
                <w:rFonts w:eastAsia="Arial" w:cs="Arial"/>
                <w:color w:val="394A58"/>
                <w:sz w:val="16"/>
                <w:szCs w:val="16"/>
              </w:rPr>
              <w:t>Train extension officers to support farmers in adopting these technologies</w:t>
            </w:r>
          </w:p>
          <w:p w14:paraId="10994BE4" w14:textId="2AA05884" w:rsidR="002E412A" w:rsidRPr="00662906" w:rsidRDefault="002E412A" w:rsidP="007E6C89">
            <w:pPr>
              <w:pStyle w:val="ListParagraph"/>
              <w:numPr>
                <w:ilvl w:val="0"/>
                <w:numId w:val="140"/>
              </w:numPr>
              <w:spacing w:before="40" w:after="40"/>
              <w:ind w:left="368"/>
              <w:jc w:val="center"/>
              <w:rPr>
                <w:rFonts w:eastAsia="Arial" w:cs="Arial"/>
                <w:color w:val="394A58"/>
                <w:sz w:val="16"/>
                <w:szCs w:val="16"/>
              </w:rPr>
            </w:pPr>
            <w:r w:rsidRPr="00662906">
              <w:rPr>
                <w:rFonts w:eastAsia="Arial" w:cs="Arial"/>
                <w:color w:val="394A58"/>
                <w:sz w:val="16"/>
                <w:szCs w:val="16"/>
              </w:rPr>
              <w:t>Monitor pilot deployments to refine guidelines</w:t>
            </w:r>
          </w:p>
        </w:tc>
        <w:tc>
          <w:tcPr>
            <w:tcW w:w="1276" w:type="dxa"/>
            <w:shd w:val="clear" w:color="auto" w:fill="FFFFFF"/>
            <w:tcMar>
              <w:left w:w="57" w:type="dxa"/>
              <w:right w:w="57" w:type="dxa"/>
            </w:tcMar>
          </w:tcPr>
          <w:p w14:paraId="640119B5" w14:textId="5F3563D3"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19441138" w14:textId="1E4390D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RCREEEs</w:t>
            </w:r>
          </w:p>
        </w:tc>
        <w:tc>
          <w:tcPr>
            <w:tcW w:w="1198" w:type="dxa"/>
            <w:shd w:val="clear" w:color="auto" w:fill="FFFFFF"/>
            <w:tcMar>
              <w:left w:w="57" w:type="dxa"/>
              <w:right w:w="57" w:type="dxa"/>
            </w:tcMar>
          </w:tcPr>
          <w:p w14:paraId="09F5F099" w14:textId="77777777" w:rsidR="002E412A" w:rsidRPr="00662906" w:rsidRDefault="002E412A" w:rsidP="007E6C89">
            <w:pPr>
              <w:spacing w:before="40" w:after="40"/>
              <w:jc w:val="center"/>
              <w:rPr>
                <w:rFonts w:cs="Arial"/>
                <w:sz w:val="16"/>
                <w:szCs w:val="16"/>
              </w:rPr>
            </w:pPr>
            <w:r w:rsidRPr="00662906">
              <w:rPr>
                <w:rFonts w:cs="Arial"/>
                <w:sz w:val="16"/>
                <w:szCs w:val="16"/>
              </w:rPr>
              <w:t>Ministry of Energy, Renewable Energy Firms</w:t>
            </w:r>
          </w:p>
          <w:p w14:paraId="30784B21" w14:textId="02266AC9" w:rsidR="002E412A" w:rsidRPr="00662906" w:rsidRDefault="002E412A" w:rsidP="007E6C89">
            <w:pPr>
              <w:spacing w:before="40" w:after="40"/>
              <w:jc w:val="center"/>
              <w:rPr>
                <w:rFonts w:cs="Arial"/>
                <w:sz w:val="16"/>
                <w:szCs w:val="16"/>
              </w:rPr>
            </w:pPr>
            <w:r w:rsidRPr="00662906">
              <w:rPr>
                <w:rFonts w:cs="Arial"/>
                <w:sz w:val="16"/>
                <w:szCs w:val="16"/>
              </w:rPr>
              <w:t>Farming equipment suppliers</w:t>
            </w:r>
          </w:p>
          <w:p w14:paraId="63554A5D" w14:textId="5409F46A" w:rsidR="002E412A" w:rsidRPr="00662906" w:rsidRDefault="002E412A" w:rsidP="007E6C89">
            <w:pPr>
              <w:spacing w:before="40" w:after="40"/>
              <w:jc w:val="center"/>
              <w:rPr>
                <w:rFonts w:eastAsia="Arial" w:cs="Arial"/>
                <w:color w:val="53575A"/>
                <w:sz w:val="16"/>
                <w:szCs w:val="16"/>
              </w:rPr>
            </w:pPr>
          </w:p>
        </w:tc>
        <w:tc>
          <w:tcPr>
            <w:tcW w:w="851" w:type="dxa"/>
            <w:shd w:val="clear" w:color="auto" w:fill="FFFFFF"/>
            <w:tcMar>
              <w:left w:w="57" w:type="dxa"/>
              <w:right w:w="57" w:type="dxa"/>
            </w:tcMar>
          </w:tcPr>
          <w:p w14:paraId="5A12B464" w14:textId="377F2E2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Medium-Long Term</w:t>
            </w:r>
          </w:p>
        </w:tc>
        <w:tc>
          <w:tcPr>
            <w:tcW w:w="1842" w:type="dxa"/>
            <w:shd w:val="clear" w:color="auto" w:fill="FFFFFF"/>
          </w:tcPr>
          <w:p w14:paraId="71575B9F" w14:textId="5A87A08C"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Technical guidelines and case studies</w:t>
            </w:r>
          </w:p>
          <w:p w14:paraId="3F62C43E" w14:textId="155C03CC"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extension officers</w:t>
            </w:r>
          </w:p>
          <w:p w14:paraId="25603D73" w14:textId="6D8DEFA2"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deployment reports</w:t>
            </w:r>
          </w:p>
        </w:tc>
        <w:tc>
          <w:tcPr>
            <w:tcW w:w="1701" w:type="dxa"/>
            <w:shd w:val="clear" w:color="auto" w:fill="FFFFFF"/>
          </w:tcPr>
          <w:p w14:paraId="78223A7E" w14:textId="0AADB329"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Greater prevalence of electric and renewable-fuel agricultural machinery, cutting reliance on fossil fuels while improving resilience to energy supply disruptions</w:t>
            </w:r>
          </w:p>
        </w:tc>
        <w:tc>
          <w:tcPr>
            <w:tcW w:w="1843" w:type="dxa"/>
            <w:shd w:val="clear" w:color="auto" w:fill="FFFFFF"/>
          </w:tcPr>
          <w:p w14:paraId="6D1CA548"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Guidelines published (Yes/No)</w:t>
            </w:r>
          </w:p>
          <w:p w14:paraId="7EFDA5A0"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extension officers trained</w:t>
            </w:r>
          </w:p>
          <w:p w14:paraId="3E9B8968" w14:textId="63C7EFAC"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deployments completed (Yes/No)</w:t>
            </w:r>
          </w:p>
        </w:tc>
      </w:tr>
      <w:tr w:rsidR="002E412A" w:rsidRPr="00662906" w14:paraId="68DE46C9" w14:textId="77777777" w:rsidTr="007E6C89">
        <w:trPr>
          <w:trHeight w:val="300"/>
        </w:trPr>
        <w:tc>
          <w:tcPr>
            <w:tcW w:w="167" w:type="dxa"/>
            <w:shd w:val="clear" w:color="auto" w:fill="FFFFFF"/>
            <w:tcMar>
              <w:left w:w="57" w:type="dxa"/>
              <w:right w:w="57" w:type="dxa"/>
            </w:tcMar>
          </w:tcPr>
          <w:p w14:paraId="5DC3E5A0" w14:textId="77777777" w:rsidR="002E412A" w:rsidRPr="00662906" w:rsidRDefault="002E412A"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3F4D148D" w14:textId="39EB4A1B"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Mobile Training Units for Rural Areas</w:t>
            </w:r>
          </w:p>
        </w:tc>
        <w:tc>
          <w:tcPr>
            <w:tcW w:w="3260" w:type="dxa"/>
            <w:tcBorders>
              <w:top w:val="single" w:sz="4" w:space="0" w:color="9F2241"/>
              <w:left w:val="nil"/>
              <w:bottom w:val="single" w:sz="4" w:space="0" w:color="9F2241"/>
              <w:right w:val="nil"/>
            </w:tcBorders>
            <w:tcMar>
              <w:left w:w="57" w:type="dxa"/>
              <w:right w:w="57" w:type="dxa"/>
            </w:tcMar>
          </w:tcPr>
          <w:p w14:paraId="1D2006B4" w14:textId="4F09E50F" w:rsidR="002E412A" w:rsidRPr="00662906" w:rsidRDefault="002E412A" w:rsidP="007E6C89">
            <w:pPr>
              <w:pStyle w:val="ListParagraph"/>
              <w:numPr>
                <w:ilvl w:val="0"/>
                <w:numId w:val="141"/>
              </w:numPr>
              <w:spacing w:before="40" w:after="40"/>
              <w:ind w:left="368"/>
              <w:jc w:val="center"/>
              <w:rPr>
                <w:rFonts w:eastAsia="Arial" w:cs="Arial"/>
                <w:color w:val="394A58"/>
                <w:sz w:val="16"/>
                <w:szCs w:val="16"/>
              </w:rPr>
            </w:pPr>
            <w:r w:rsidRPr="00662906">
              <w:rPr>
                <w:rFonts w:eastAsia="Arial" w:cs="Arial"/>
                <w:color w:val="394A58"/>
                <w:sz w:val="16"/>
                <w:szCs w:val="16"/>
              </w:rPr>
              <w:t>Design mobile modules covering equipment operation, maintenance, and safety</w:t>
            </w:r>
          </w:p>
          <w:p w14:paraId="70ADDFCF" w14:textId="095532AA" w:rsidR="002E412A" w:rsidRPr="00662906" w:rsidRDefault="002E412A" w:rsidP="007E6C89">
            <w:pPr>
              <w:pStyle w:val="ListParagraph"/>
              <w:numPr>
                <w:ilvl w:val="0"/>
                <w:numId w:val="141"/>
              </w:numPr>
              <w:spacing w:before="40" w:after="40"/>
              <w:ind w:left="368"/>
              <w:jc w:val="center"/>
              <w:rPr>
                <w:rFonts w:eastAsia="Arial" w:cs="Arial"/>
                <w:color w:val="394A58"/>
                <w:sz w:val="16"/>
                <w:szCs w:val="16"/>
              </w:rPr>
            </w:pPr>
            <w:r w:rsidRPr="00662906">
              <w:rPr>
                <w:rFonts w:eastAsia="Arial" w:cs="Arial"/>
                <w:color w:val="394A58"/>
                <w:sz w:val="16"/>
                <w:szCs w:val="16"/>
              </w:rPr>
              <w:t>Coordinate with local governments to schedule training in remote communities</w:t>
            </w:r>
          </w:p>
          <w:p w14:paraId="596FFFC9" w14:textId="0CDB8B64" w:rsidR="002E412A" w:rsidRPr="00662906" w:rsidRDefault="002E412A" w:rsidP="007E6C89">
            <w:pPr>
              <w:pStyle w:val="ListParagraph"/>
              <w:numPr>
                <w:ilvl w:val="0"/>
                <w:numId w:val="141"/>
              </w:numPr>
              <w:spacing w:before="40" w:after="40"/>
              <w:ind w:left="368"/>
              <w:jc w:val="center"/>
              <w:rPr>
                <w:rFonts w:eastAsia="Arial" w:cs="Arial"/>
                <w:color w:val="394A58"/>
                <w:sz w:val="16"/>
                <w:szCs w:val="16"/>
              </w:rPr>
            </w:pPr>
            <w:r w:rsidRPr="00662906">
              <w:rPr>
                <w:rFonts w:eastAsia="Arial" w:cs="Arial"/>
                <w:color w:val="394A58"/>
                <w:sz w:val="16"/>
                <w:szCs w:val="16"/>
              </w:rPr>
              <w:t>Gather feedback and adapt modules to local needs and languages</w:t>
            </w:r>
          </w:p>
          <w:p w14:paraId="7043BA19" w14:textId="072AB93E" w:rsidR="002E412A" w:rsidRPr="00662906" w:rsidRDefault="002E412A" w:rsidP="007E6C89">
            <w:pPr>
              <w:pStyle w:val="ListParagraph"/>
              <w:numPr>
                <w:ilvl w:val="0"/>
                <w:numId w:val="141"/>
              </w:numPr>
              <w:spacing w:before="40" w:after="40"/>
              <w:ind w:left="368"/>
              <w:jc w:val="center"/>
              <w:rPr>
                <w:rFonts w:eastAsia="Arial" w:cs="Arial"/>
                <w:color w:val="394A58"/>
                <w:sz w:val="16"/>
                <w:szCs w:val="16"/>
              </w:rPr>
            </w:pPr>
            <w:r w:rsidRPr="00662906">
              <w:rPr>
                <w:rFonts w:eastAsia="Arial" w:cs="Arial"/>
                <w:color w:val="394A58"/>
                <w:sz w:val="16"/>
                <w:szCs w:val="16"/>
              </w:rPr>
              <w:t>Evaluate changes in productivity post-training</w:t>
            </w:r>
          </w:p>
        </w:tc>
        <w:tc>
          <w:tcPr>
            <w:tcW w:w="1276" w:type="dxa"/>
            <w:shd w:val="clear" w:color="auto" w:fill="FFFFFF"/>
            <w:tcMar>
              <w:left w:w="57" w:type="dxa"/>
              <w:right w:w="57" w:type="dxa"/>
            </w:tcMar>
          </w:tcPr>
          <w:p w14:paraId="71474E36" w14:textId="251A434B"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579054A4" w14:textId="6333A4CB"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570C0E7D" w14:textId="0711020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Local Governments, Community Organizations</w:t>
            </w:r>
          </w:p>
        </w:tc>
        <w:tc>
          <w:tcPr>
            <w:tcW w:w="851" w:type="dxa"/>
            <w:shd w:val="clear" w:color="auto" w:fill="FFFFFF"/>
            <w:tcMar>
              <w:left w:w="57" w:type="dxa"/>
              <w:right w:w="57" w:type="dxa"/>
            </w:tcMar>
          </w:tcPr>
          <w:p w14:paraId="0494B55E" w14:textId="3287505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5F8B8742" w14:textId="5DBDC92C"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Mobile training curricula and schedule</w:t>
            </w:r>
          </w:p>
          <w:p w14:paraId="06D0D841" w14:textId="09E155B6"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feedback reports</w:t>
            </w:r>
          </w:p>
          <w:p w14:paraId="75DCDF38" w14:textId="0C4AA1F0"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Productivity assessment data</w:t>
            </w:r>
          </w:p>
        </w:tc>
        <w:tc>
          <w:tcPr>
            <w:tcW w:w="1701" w:type="dxa"/>
            <w:shd w:val="clear" w:color="auto" w:fill="FFFFFF"/>
          </w:tcPr>
          <w:p w14:paraId="356C70C3" w14:textId="44BEDC4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Boosted productivity in rural areas through hands-on, context-specific skill development, closing the gap in equipment usage and maintenance knowledge</w:t>
            </w:r>
          </w:p>
        </w:tc>
        <w:tc>
          <w:tcPr>
            <w:tcW w:w="1843" w:type="dxa"/>
            <w:shd w:val="clear" w:color="auto" w:fill="FFFFFF"/>
          </w:tcPr>
          <w:p w14:paraId="7A2C335A"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mobile trainings conducted</w:t>
            </w:r>
          </w:p>
          <w:p w14:paraId="62F918E6" w14:textId="77777777" w:rsidR="001917D5"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Modules adapted for local contexts (Yes/No)</w:t>
            </w:r>
          </w:p>
          <w:p w14:paraId="6CCBFE0E" w14:textId="09642C03"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Measurable productivity improvements (Yes/No)</w:t>
            </w:r>
          </w:p>
        </w:tc>
      </w:tr>
      <w:tr w:rsidR="002E412A" w:rsidRPr="00662906" w14:paraId="3C870600" w14:textId="77777777" w:rsidTr="007E6C89">
        <w:trPr>
          <w:trHeight w:val="300"/>
        </w:trPr>
        <w:tc>
          <w:tcPr>
            <w:tcW w:w="167" w:type="dxa"/>
            <w:shd w:val="clear" w:color="auto" w:fill="FFFFFF"/>
            <w:tcMar>
              <w:left w:w="57" w:type="dxa"/>
              <w:right w:w="57" w:type="dxa"/>
            </w:tcMar>
          </w:tcPr>
          <w:p w14:paraId="324E75D8" w14:textId="77777777" w:rsidR="002E412A" w:rsidRPr="00662906" w:rsidRDefault="002E412A"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070BBDBB" w14:textId="45B68C88"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Nationwide Awareness Campaigns for Equipment Modernization</w:t>
            </w:r>
          </w:p>
        </w:tc>
        <w:tc>
          <w:tcPr>
            <w:tcW w:w="3260" w:type="dxa"/>
            <w:tcBorders>
              <w:top w:val="single" w:sz="4" w:space="0" w:color="9F2241"/>
              <w:left w:val="nil"/>
              <w:bottom w:val="single" w:sz="4" w:space="0" w:color="9F2241"/>
              <w:right w:val="nil"/>
            </w:tcBorders>
            <w:tcMar>
              <w:left w:w="57" w:type="dxa"/>
              <w:right w:w="57" w:type="dxa"/>
            </w:tcMar>
          </w:tcPr>
          <w:p w14:paraId="20FE5498" w14:textId="2DBEB869" w:rsidR="002E412A" w:rsidRPr="00662906" w:rsidRDefault="002E412A" w:rsidP="007E6C89">
            <w:pPr>
              <w:pStyle w:val="ListParagraph"/>
              <w:numPr>
                <w:ilvl w:val="0"/>
                <w:numId w:val="142"/>
              </w:numPr>
              <w:spacing w:before="40" w:after="40"/>
              <w:ind w:left="368"/>
              <w:jc w:val="center"/>
              <w:rPr>
                <w:rFonts w:eastAsia="Arial" w:cs="Arial"/>
                <w:color w:val="394A58"/>
                <w:sz w:val="16"/>
                <w:szCs w:val="16"/>
              </w:rPr>
            </w:pPr>
            <w:r w:rsidRPr="00662906">
              <w:rPr>
                <w:rFonts w:eastAsia="Arial" w:cs="Arial"/>
                <w:color w:val="394A58"/>
                <w:sz w:val="16"/>
                <w:szCs w:val="16"/>
              </w:rPr>
              <w:t>Launch multi-channel media campaigns (radio, TV, social media) promoting modern equipment benefits</w:t>
            </w:r>
          </w:p>
          <w:p w14:paraId="58000D61" w14:textId="09C17703" w:rsidR="002E412A" w:rsidRPr="00662906" w:rsidRDefault="002E412A" w:rsidP="007E6C89">
            <w:pPr>
              <w:pStyle w:val="ListParagraph"/>
              <w:numPr>
                <w:ilvl w:val="0"/>
                <w:numId w:val="142"/>
              </w:numPr>
              <w:spacing w:before="40" w:after="40"/>
              <w:ind w:left="368"/>
              <w:jc w:val="center"/>
              <w:rPr>
                <w:rFonts w:eastAsia="Arial" w:cs="Arial"/>
                <w:color w:val="394A58"/>
                <w:sz w:val="16"/>
                <w:szCs w:val="16"/>
              </w:rPr>
            </w:pPr>
            <w:r w:rsidRPr="00662906">
              <w:rPr>
                <w:rFonts w:eastAsia="Arial" w:cs="Arial"/>
                <w:color w:val="394A58"/>
                <w:sz w:val="16"/>
                <w:szCs w:val="16"/>
              </w:rPr>
              <w:t>Partner with local agri-cooperatives and authorities to distribute informational materials</w:t>
            </w:r>
          </w:p>
          <w:p w14:paraId="58E703F7" w14:textId="47B18E53" w:rsidR="002E412A" w:rsidRPr="00662906" w:rsidRDefault="002E412A" w:rsidP="007E6C89">
            <w:pPr>
              <w:pStyle w:val="ListParagraph"/>
              <w:numPr>
                <w:ilvl w:val="0"/>
                <w:numId w:val="142"/>
              </w:numPr>
              <w:spacing w:before="40" w:after="40"/>
              <w:ind w:left="368"/>
              <w:jc w:val="center"/>
              <w:rPr>
                <w:rFonts w:eastAsia="Arial" w:cs="Arial"/>
                <w:color w:val="394A58"/>
                <w:sz w:val="16"/>
                <w:szCs w:val="16"/>
              </w:rPr>
            </w:pPr>
            <w:r w:rsidRPr="00662906">
              <w:rPr>
                <w:rFonts w:eastAsia="Arial" w:cs="Arial"/>
                <w:color w:val="394A58"/>
                <w:sz w:val="16"/>
                <w:szCs w:val="16"/>
              </w:rPr>
              <w:t>Track campaign reach and measure changes in farmer awareness</w:t>
            </w:r>
          </w:p>
        </w:tc>
        <w:tc>
          <w:tcPr>
            <w:tcW w:w="1276" w:type="dxa"/>
            <w:shd w:val="clear" w:color="auto" w:fill="FFFFFF"/>
            <w:tcMar>
              <w:left w:w="57" w:type="dxa"/>
              <w:right w:w="57" w:type="dxa"/>
            </w:tcMar>
          </w:tcPr>
          <w:p w14:paraId="318FF29F" w14:textId="0C22AB6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A5B9A12" w14:textId="2AA59312"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27329C5A" w14:textId="4E8754F6"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Media Outlets, Local NGOs, Agricultural Associations</w:t>
            </w:r>
          </w:p>
        </w:tc>
        <w:tc>
          <w:tcPr>
            <w:tcW w:w="851" w:type="dxa"/>
            <w:shd w:val="clear" w:color="auto" w:fill="FFFFFF"/>
            <w:tcMar>
              <w:left w:w="57" w:type="dxa"/>
              <w:right w:w="57" w:type="dxa"/>
            </w:tcMar>
          </w:tcPr>
          <w:p w14:paraId="5BA4ED41" w14:textId="38D32E9E"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shd w:val="clear" w:color="auto" w:fill="FFFFFF"/>
          </w:tcPr>
          <w:p w14:paraId="42B8182C" w14:textId="0B210AB5"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Campaign materials (radio spots, pamphlets, etc.)</w:t>
            </w:r>
          </w:p>
          <w:p w14:paraId="2B8429D3" w14:textId="78AB4406"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Outreach partnership agreements</w:t>
            </w:r>
          </w:p>
          <w:p w14:paraId="64A356B0" w14:textId="08B75B10"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Awareness tracking reports</w:t>
            </w:r>
          </w:p>
        </w:tc>
        <w:tc>
          <w:tcPr>
            <w:tcW w:w="1701" w:type="dxa"/>
            <w:shd w:val="clear" w:color="auto" w:fill="FFFFFF"/>
          </w:tcPr>
          <w:p w14:paraId="694192C0" w14:textId="6916367C" w:rsidR="002E412A" w:rsidRPr="00662906" w:rsidRDefault="002E412A" w:rsidP="007E6C89">
            <w:pPr>
              <w:spacing w:before="40" w:after="40"/>
              <w:jc w:val="center"/>
              <w:rPr>
                <w:rFonts w:eastAsia="Arial" w:cs="Arial"/>
                <w:color w:val="53575A"/>
                <w:sz w:val="16"/>
                <w:szCs w:val="16"/>
              </w:rPr>
            </w:pPr>
            <w:r w:rsidRPr="00662906">
              <w:rPr>
                <w:rFonts w:cs="Arial"/>
                <w:sz w:val="16"/>
                <w:szCs w:val="16"/>
              </w:rPr>
              <w:lastRenderedPageBreak/>
              <w:t xml:space="preserve">Increased public knowledge of advanced agricultural technologies, driving higher demand and easing the transition </w:t>
            </w:r>
            <w:r w:rsidRPr="00662906">
              <w:rPr>
                <w:rFonts w:cs="Arial"/>
                <w:sz w:val="16"/>
                <w:szCs w:val="16"/>
              </w:rPr>
              <w:lastRenderedPageBreak/>
              <w:t>to energy-efficient equipment</w:t>
            </w:r>
          </w:p>
        </w:tc>
        <w:tc>
          <w:tcPr>
            <w:tcW w:w="1843" w:type="dxa"/>
            <w:shd w:val="clear" w:color="auto" w:fill="FFFFFF"/>
          </w:tcPr>
          <w:p w14:paraId="2591795B"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Campaign launched (Yes/No)</w:t>
            </w:r>
          </w:p>
          <w:p w14:paraId="75A2D87A" w14:textId="77777777" w:rsidR="001917D5" w:rsidRPr="00662906" w:rsidRDefault="002E412A" w:rsidP="007E6C89">
            <w:pPr>
              <w:pStyle w:val="ListParagraph"/>
              <w:numPr>
                <w:ilvl w:val="0"/>
                <w:numId w:val="63"/>
              </w:numPr>
              <w:spacing w:before="40" w:after="40"/>
              <w:ind w:left="321"/>
              <w:jc w:val="center"/>
              <w:rPr>
                <w:rFonts w:cs="Arial"/>
                <w:sz w:val="16"/>
                <w:szCs w:val="16"/>
              </w:rPr>
            </w:pPr>
            <w:r w:rsidRPr="00662906">
              <w:rPr>
                <w:rFonts w:eastAsia="Arial" w:cs="Arial"/>
                <w:color w:val="53575A"/>
                <w:sz w:val="16"/>
                <w:szCs w:val="16"/>
              </w:rPr>
              <w:t>Number of households reached</w:t>
            </w:r>
          </w:p>
          <w:p w14:paraId="3A5DD37C" w14:textId="028CFBC1" w:rsidR="002E412A" w:rsidRPr="00662906" w:rsidRDefault="002E412A" w:rsidP="007E6C89">
            <w:pPr>
              <w:pStyle w:val="ListParagraph"/>
              <w:numPr>
                <w:ilvl w:val="0"/>
                <w:numId w:val="63"/>
              </w:numPr>
              <w:spacing w:before="40" w:after="40"/>
              <w:ind w:left="321"/>
              <w:jc w:val="center"/>
              <w:rPr>
                <w:rFonts w:cs="Arial"/>
                <w:sz w:val="16"/>
                <w:szCs w:val="16"/>
              </w:rPr>
            </w:pPr>
            <w:r w:rsidRPr="00662906">
              <w:rPr>
                <w:rFonts w:eastAsia="Arial" w:cs="Arial"/>
                <w:color w:val="53575A"/>
                <w:sz w:val="16"/>
                <w:szCs w:val="16"/>
              </w:rPr>
              <w:t xml:space="preserve">Measured increase in farmer </w:t>
            </w:r>
            <w:r w:rsidRPr="00662906">
              <w:rPr>
                <w:rFonts w:eastAsia="Arial" w:cs="Arial"/>
                <w:color w:val="53575A"/>
                <w:sz w:val="16"/>
                <w:szCs w:val="16"/>
              </w:rPr>
              <w:lastRenderedPageBreak/>
              <w:t>awareness (Yes/No)</w:t>
            </w:r>
          </w:p>
        </w:tc>
      </w:tr>
      <w:tr w:rsidR="002E412A" w:rsidRPr="00662906" w14:paraId="72C41073" w14:textId="77777777" w:rsidTr="007E6C89">
        <w:trPr>
          <w:trHeight w:val="300"/>
        </w:trPr>
        <w:tc>
          <w:tcPr>
            <w:tcW w:w="167" w:type="dxa"/>
            <w:shd w:val="clear" w:color="auto" w:fill="FFFFFF"/>
            <w:tcMar>
              <w:left w:w="57" w:type="dxa"/>
              <w:right w:w="57" w:type="dxa"/>
            </w:tcMar>
          </w:tcPr>
          <w:p w14:paraId="22FE128E" w14:textId="77777777" w:rsidR="002E412A" w:rsidRPr="00662906" w:rsidRDefault="002E412A"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8</w:t>
            </w:r>
          </w:p>
        </w:tc>
        <w:tc>
          <w:tcPr>
            <w:tcW w:w="1248" w:type="dxa"/>
            <w:shd w:val="clear" w:color="auto" w:fill="FFFFFF"/>
            <w:tcMar>
              <w:left w:w="57" w:type="dxa"/>
              <w:right w:w="57" w:type="dxa"/>
            </w:tcMar>
          </w:tcPr>
          <w:p w14:paraId="081AA24A" w14:textId="55CE922F"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Equipment Leasing Programs</w:t>
            </w:r>
          </w:p>
        </w:tc>
        <w:tc>
          <w:tcPr>
            <w:tcW w:w="3260" w:type="dxa"/>
            <w:tcBorders>
              <w:top w:val="single" w:sz="4" w:space="0" w:color="9F2241"/>
              <w:left w:val="nil"/>
              <w:bottom w:val="single" w:sz="4" w:space="0" w:color="9F2241"/>
              <w:right w:val="nil"/>
            </w:tcBorders>
            <w:tcMar>
              <w:left w:w="57" w:type="dxa"/>
              <w:right w:w="57" w:type="dxa"/>
            </w:tcMar>
          </w:tcPr>
          <w:p w14:paraId="1D9AC2D0" w14:textId="53A83F40" w:rsidR="002E412A" w:rsidRPr="00662906" w:rsidRDefault="002E412A" w:rsidP="007E6C89">
            <w:pPr>
              <w:pStyle w:val="ListParagraph"/>
              <w:numPr>
                <w:ilvl w:val="0"/>
                <w:numId w:val="143"/>
              </w:numPr>
              <w:spacing w:before="40" w:after="40"/>
              <w:ind w:left="368"/>
              <w:jc w:val="center"/>
              <w:rPr>
                <w:rFonts w:eastAsia="Arial" w:cs="Arial"/>
                <w:color w:val="394A58"/>
                <w:sz w:val="16"/>
                <w:szCs w:val="16"/>
              </w:rPr>
            </w:pPr>
            <w:r w:rsidRPr="00662906">
              <w:rPr>
                <w:rFonts w:eastAsia="Arial" w:cs="Arial"/>
                <w:color w:val="394A58"/>
                <w:sz w:val="16"/>
                <w:szCs w:val="16"/>
              </w:rPr>
              <w:t>Collaborate with commercial banks and equipment suppliers to design affordable leasing arrangements</w:t>
            </w:r>
          </w:p>
          <w:p w14:paraId="5530615B" w14:textId="02DF2903" w:rsidR="002E412A" w:rsidRPr="00662906" w:rsidRDefault="002E412A" w:rsidP="007E6C89">
            <w:pPr>
              <w:pStyle w:val="ListParagraph"/>
              <w:numPr>
                <w:ilvl w:val="0"/>
                <w:numId w:val="143"/>
              </w:numPr>
              <w:spacing w:before="40" w:after="40"/>
              <w:ind w:left="368"/>
              <w:jc w:val="center"/>
              <w:rPr>
                <w:rFonts w:eastAsia="Arial" w:cs="Arial"/>
                <w:color w:val="394A58"/>
                <w:sz w:val="16"/>
                <w:szCs w:val="16"/>
              </w:rPr>
            </w:pPr>
            <w:r w:rsidRPr="00662906">
              <w:rPr>
                <w:rFonts w:eastAsia="Arial" w:cs="Arial"/>
                <w:color w:val="394A58"/>
                <w:sz w:val="16"/>
                <w:szCs w:val="16"/>
              </w:rPr>
              <w:t>Establish guidelines for lease terms and maintenance responsibilities</w:t>
            </w:r>
          </w:p>
          <w:p w14:paraId="2C8C8622" w14:textId="0F451488" w:rsidR="002E412A" w:rsidRPr="00662906" w:rsidRDefault="002E412A" w:rsidP="007E6C89">
            <w:pPr>
              <w:pStyle w:val="ListParagraph"/>
              <w:numPr>
                <w:ilvl w:val="0"/>
                <w:numId w:val="143"/>
              </w:numPr>
              <w:spacing w:before="40" w:after="40"/>
              <w:ind w:left="368"/>
              <w:jc w:val="center"/>
              <w:rPr>
                <w:rFonts w:eastAsia="Arial" w:cs="Arial"/>
                <w:color w:val="394A58"/>
                <w:sz w:val="16"/>
                <w:szCs w:val="16"/>
              </w:rPr>
            </w:pPr>
            <w:r w:rsidRPr="00662906">
              <w:rPr>
                <w:rFonts w:eastAsia="Arial" w:cs="Arial"/>
                <w:color w:val="394A58"/>
                <w:sz w:val="16"/>
                <w:szCs w:val="16"/>
              </w:rPr>
              <w:t>Provide financial literacy sessions for farmers to ensure responsible use and repayments</w:t>
            </w:r>
          </w:p>
        </w:tc>
        <w:tc>
          <w:tcPr>
            <w:tcW w:w="1276" w:type="dxa"/>
            <w:shd w:val="clear" w:color="auto" w:fill="FFFFFF"/>
            <w:tcMar>
              <w:left w:w="57" w:type="dxa"/>
              <w:right w:w="57" w:type="dxa"/>
            </w:tcMar>
          </w:tcPr>
          <w:p w14:paraId="26029E8B" w14:textId="18B047A8"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4D890C51" w14:textId="3DB9ACDB"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AfDB</w:t>
            </w:r>
          </w:p>
        </w:tc>
        <w:tc>
          <w:tcPr>
            <w:tcW w:w="1198" w:type="dxa"/>
            <w:shd w:val="clear" w:color="auto" w:fill="FFFFFF"/>
            <w:tcMar>
              <w:left w:w="57" w:type="dxa"/>
              <w:right w:w="57" w:type="dxa"/>
            </w:tcMar>
          </w:tcPr>
          <w:p w14:paraId="0B39E6D6" w14:textId="77777777" w:rsidR="002E412A" w:rsidRPr="00662906" w:rsidRDefault="002E412A" w:rsidP="007E6C89">
            <w:pPr>
              <w:spacing w:before="40" w:after="40"/>
              <w:jc w:val="center"/>
              <w:rPr>
                <w:rFonts w:cs="Arial"/>
                <w:sz w:val="16"/>
                <w:szCs w:val="16"/>
              </w:rPr>
            </w:pPr>
            <w:r w:rsidRPr="00662906">
              <w:rPr>
                <w:rFonts w:cs="Arial"/>
                <w:sz w:val="16"/>
                <w:szCs w:val="16"/>
              </w:rPr>
              <w:t>Commercial Banks, Equipment Suppliers</w:t>
            </w:r>
          </w:p>
          <w:p w14:paraId="1DAA66C1" w14:textId="504FF8E0"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Farmers Associations</w:t>
            </w:r>
          </w:p>
        </w:tc>
        <w:tc>
          <w:tcPr>
            <w:tcW w:w="851" w:type="dxa"/>
            <w:shd w:val="clear" w:color="auto" w:fill="FFFFFF"/>
            <w:tcMar>
              <w:left w:w="57" w:type="dxa"/>
              <w:right w:w="57" w:type="dxa"/>
            </w:tcMar>
          </w:tcPr>
          <w:p w14:paraId="2D34C019" w14:textId="212CA1FA"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20A2245B" w14:textId="609932B7"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Leasing framework and template agreements</w:t>
            </w:r>
          </w:p>
          <w:p w14:paraId="07596F1C" w14:textId="2819412A"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Financial literacy workshop materials</w:t>
            </w:r>
          </w:p>
          <w:p w14:paraId="35E8F9A2" w14:textId="741ACDC6" w:rsidR="002E412A" w:rsidRPr="00662906" w:rsidRDefault="002E412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Partnership M</w:t>
            </w:r>
            <w:r w:rsidR="005C086F" w:rsidRPr="00662906">
              <w:rPr>
                <w:rFonts w:eastAsia="Arial" w:cs="Arial"/>
                <w:color w:val="53575A"/>
                <w:sz w:val="16"/>
                <w:szCs w:val="16"/>
              </w:rPr>
              <w:t>o</w:t>
            </w:r>
            <w:r w:rsidRPr="00662906">
              <w:rPr>
                <w:rFonts w:eastAsia="Arial" w:cs="Arial"/>
                <w:color w:val="53575A"/>
                <w:sz w:val="16"/>
                <w:szCs w:val="16"/>
              </w:rPr>
              <w:t>Us with banks/equipment providers</w:t>
            </w:r>
          </w:p>
        </w:tc>
        <w:tc>
          <w:tcPr>
            <w:tcW w:w="1701" w:type="dxa"/>
            <w:shd w:val="clear" w:color="auto" w:fill="FFFFFF"/>
          </w:tcPr>
          <w:p w14:paraId="45BD941E" w14:textId="14351BF3" w:rsidR="002E412A" w:rsidRPr="00662906" w:rsidRDefault="002E412A" w:rsidP="007E6C89">
            <w:pPr>
              <w:spacing w:before="40" w:after="40"/>
              <w:jc w:val="center"/>
              <w:rPr>
                <w:rFonts w:eastAsia="Arial" w:cs="Arial"/>
                <w:color w:val="53575A"/>
                <w:sz w:val="16"/>
                <w:szCs w:val="16"/>
              </w:rPr>
            </w:pPr>
            <w:r w:rsidRPr="00662906">
              <w:rPr>
                <w:rFonts w:cs="Arial"/>
                <w:sz w:val="16"/>
                <w:szCs w:val="16"/>
              </w:rPr>
              <w:t>Expanded access to modern equipment through flexible payment options, increasing mechanization levels and agricultural competitiveness</w:t>
            </w:r>
          </w:p>
        </w:tc>
        <w:tc>
          <w:tcPr>
            <w:tcW w:w="1843" w:type="dxa"/>
            <w:shd w:val="clear" w:color="auto" w:fill="FFFFFF"/>
          </w:tcPr>
          <w:p w14:paraId="713A395F"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Leasing program launched (Yes/No)</w:t>
            </w:r>
          </w:p>
          <w:p w14:paraId="61B7F203" w14:textId="77777777"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farmers opting for leases</w:t>
            </w:r>
          </w:p>
          <w:p w14:paraId="3773DBCD" w14:textId="68CC4AB5" w:rsidR="002E412A" w:rsidRPr="00662906" w:rsidRDefault="002E412A"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Repayment default rate monitored (Yes/No)</w:t>
            </w:r>
          </w:p>
        </w:tc>
      </w:tr>
    </w:tbl>
    <w:p w14:paraId="3333D338" w14:textId="35FEBEF0" w:rsidR="00D26121" w:rsidRPr="00662906" w:rsidRDefault="00312852" w:rsidP="00D26121">
      <w:pPr>
        <w:rPr>
          <w:rFonts w:eastAsia="Arial" w:cs="Arial"/>
          <w:i/>
          <w:iCs/>
          <w:color w:val="B4A169"/>
          <w:sz w:val="16"/>
          <w:szCs w:val="16"/>
        </w:rPr>
      </w:pPr>
      <w:r w:rsidRPr="00662906">
        <w:rPr>
          <w:rFonts w:eastAsia="Arial" w:cs="Arial"/>
          <w:i/>
          <w:iCs/>
          <w:color w:val="B4A169"/>
          <w:sz w:val="16"/>
          <w:szCs w:val="16"/>
        </w:rPr>
        <w:t>S</w:t>
      </w:r>
      <w:r w:rsidR="00D26121" w:rsidRPr="00662906">
        <w:rPr>
          <w:rFonts w:eastAsia="Arial" w:cs="Arial"/>
          <w:i/>
          <w:iCs/>
          <w:color w:val="B4A169"/>
          <w:sz w:val="16"/>
          <w:szCs w:val="16"/>
        </w:rPr>
        <w:t>ource:</w:t>
      </w:r>
      <w:r w:rsidR="00D26121" w:rsidRPr="00662906">
        <w:t xml:space="preserve"> </w:t>
      </w:r>
      <w:r w:rsidR="00D26121" w:rsidRPr="00662906">
        <w:rPr>
          <w:rFonts w:eastAsia="Arial" w:cs="Arial"/>
          <w:i/>
          <w:iCs/>
          <w:color w:val="B4A169"/>
          <w:sz w:val="16"/>
          <w:szCs w:val="16"/>
        </w:rPr>
        <w:t>Authors' own creation</w:t>
      </w:r>
    </w:p>
    <w:p w14:paraId="04DA0E12" w14:textId="2708EA42" w:rsidR="0073793E" w:rsidRPr="00662906" w:rsidRDefault="568D03AD" w:rsidP="000F5509">
      <w:pPr>
        <w:pStyle w:val="Caption"/>
      </w:pPr>
      <w:bookmarkStart w:id="682" w:name="_Toc171955602"/>
      <w:bookmarkStart w:id="683" w:name="_Toc176430330"/>
      <w:bookmarkStart w:id="684" w:name="_Toc197433918"/>
      <w:r w:rsidRPr="00662906">
        <w:t xml:space="preserve">Table </w:t>
      </w:r>
      <w:fldSimple w:instr=" SEQ Table \* ARABIC ">
        <w:r w:rsidR="00610F61">
          <w:rPr>
            <w:noProof/>
          </w:rPr>
          <w:t>30</w:t>
        </w:r>
      </w:fldSimple>
      <w:r w:rsidR="00F55014" w:rsidRPr="00662906">
        <w:t>:</w:t>
      </w:r>
      <w:r w:rsidR="54A076C1" w:rsidRPr="00662906">
        <w:t xml:space="preserve"> Strategic Intervention 2. Promotion of Renewable Energy in Agriculture</w:t>
      </w:r>
      <w:bookmarkEnd w:id="682"/>
      <w:bookmarkEnd w:id="683"/>
      <w:bookmarkEnd w:id="684"/>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1F115E" w:rsidRPr="00662906" w14:paraId="7E383BEF" w14:textId="77777777" w:rsidTr="007E6C89">
        <w:trPr>
          <w:trHeight w:val="360"/>
        </w:trPr>
        <w:tc>
          <w:tcPr>
            <w:tcW w:w="14456" w:type="dxa"/>
            <w:gridSpan w:val="10"/>
            <w:shd w:val="clear" w:color="auto" w:fill="B4A269"/>
            <w:vAlign w:val="center"/>
          </w:tcPr>
          <w:p w14:paraId="31B4C00B" w14:textId="34B7E87D"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bCs/>
                <w:color w:val="FFFFFF"/>
                <w:sz w:val="16"/>
                <w:szCs w:val="16"/>
              </w:rPr>
              <w:t>Africa’s agriculture faces the dual challenge of high energy costs and limited access to reliable power, constraining efficiency and growth. This intervention seeks to integrate renewable energy solutions—such as solar-powered irrigation, wind, and biogas systems—into agricultural processes, providing cost-effective and sustainable energy sources. By addressing energy reliability and affordability, the pathway envisions increased agricultural productivity, reduced environmental degradation, and enhanced resilience to climate change, transforming the sector into a model of sustainable development.</w:t>
            </w:r>
          </w:p>
        </w:tc>
      </w:tr>
      <w:tr w:rsidR="0085726B" w:rsidRPr="00662906" w14:paraId="7E3626AA" w14:textId="77777777" w:rsidTr="007E6C89">
        <w:trPr>
          <w:trHeight w:val="699"/>
        </w:trPr>
        <w:tc>
          <w:tcPr>
            <w:tcW w:w="1415" w:type="dxa"/>
            <w:gridSpan w:val="2"/>
            <w:shd w:val="clear" w:color="auto" w:fill="B4A269"/>
            <w:tcMar>
              <w:left w:w="57" w:type="dxa"/>
              <w:right w:w="57" w:type="dxa"/>
            </w:tcMar>
          </w:tcPr>
          <w:p w14:paraId="4E604D23"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5F7C27BB" w14:textId="77777777" w:rsidR="0085726B" w:rsidRPr="00662906" w:rsidRDefault="0085726B"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390D1FFA"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47909B01"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11973F65"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7267CAD9"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12DDD9C6"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63F84CFB"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47AE2109" w14:textId="77777777" w:rsidR="0085726B" w:rsidRPr="00662906" w:rsidRDefault="0085726B"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8C08DA" w:rsidRPr="00662906" w14:paraId="527CE5FF" w14:textId="77777777" w:rsidTr="007E6C89">
        <w:trPr>
          <w:trHeight w:val="1413"/>
        </w:trPr>
        <w:tc>
          <w:tcPr>
            <w:tcW w:w="167" w:type="dxa"/>
            <w:shd w:val="clear" w:color="auto" w:fill="FFFFFF"/>
            <w:tcMar>
              <w:left w:w="57" w:type="dxa"/>
              <w:right w:w="57" w:type="dxa"/>
            </w:tcMar>
          </w:tcPr>
          <w:p w14:paraId="7E764423" w14:textId="77777777" w:rsidR="008C08DA" w:rsidRPr="00662906" w:rsidRDefault="008C08DA"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1A20E0A3" w14:textId="1654350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Training Programs on Renewable Energy Technologies</w:t>
            </w:r>
          </w:p>
        </w:tc>
        <w:tc>
          <w:tcPr>
            <w:tcW w:w="3260" w:type="dxa"/>
            <w:tcBorders>
              <w:bottom w:val="single" w:sz="2" w:space="0" w:color="9F2241"/>
            </w:tcBorders>
            <w:shd w:val="clear" w:color="auto" w:fill="FFFFFF"/>
            <w:tcMar>
              <w:left w:w="57" w:type="dxa"/>
              <w:right w:w="57" w:type="dxa"/>
            </w:tcMar>
          </w:tcPr>
          <w:p w14:paraId="49AB9C3D" w14:textId="034977A9" w:rsidR="008C08DA" w:rsidRPr="00662906" w:rsidRDefault="008C08DA" w:rsidP="007E6C89">
            <w:pPr>
              <w:pStyle w:val="ListParagraph"/>
              <w:numPr>
                <w:ilvl w:val="0"/>
                <w:numId w:val="144"/>
              </w:numPr>
              <w:spacing w:before="0" w:after="0"/>
              <w:ind w:left="367"/>
              <w:jc w:val="center"/>
              <w:rPr>
                <w:rFonts w:cs="Arial"/>
                <w:sz w:val="16"/>
                <w:szCs w:val="16"/>
              </w:rPr>
            </w:pPr>
            <w:r w:rsidRPr="00662906">
              <w:rPr>
                <w:rFonts w:cs="Arial"/>
                <w:sz w:val="16"/>
                <w:szCs w:val="16"/>
              </w:rPr>
              <w:t>Design comprehensive modules covering solar (PVs, pumping systems), wind (small-scale turbines), and biomass (digesters, gasifiers)</w:t>
            </w:r>
          </w:p>
          <w:p w14:paraId="5795B2D7" w14:textId="107885A6" w:rsidR="008C08DA" w:rsidRPr="00662906" w:rsidRDefault="008C08DA" w:rsidP="007E6C89">
            <w:pPr>
              <w:pStyle w:val="ListParagraph"/>
              <w:numPr>
                <w:ilvl w:val="0"/>
                <w:numId w:val="144"/>
              </w:numPr>
              <w:spacing w:before="0" w:after="0"/>
              <w:ind w:left="367"/>
              <w:jc w:val="center"/>
              <w:rPr>
                <w:rFonts w:cs="Arial"/>
                <w:sz w:val="16"/>
                <w:szCs w:val="16"/>
              </w:rPr>
            </w:pPr>
            <w:r w:rsidRPr="00662906">
              <w:rPr>
                <w:rFonts w:cs="Arial"/>
                <w:sz w:val="16"/>
                <w:szCs w:val="16"/>
              </w:rPr>
              <w:t>Train extension officers, agribusiness owners, and farmers through workshops and online platforms</w:t>
            </w:r>
          </w:p>
          <w:p w14:paraId="43DBF776" w14:textId="674614B2" w:rsidR="008C08DA" w:rsidRPr="00662906" w:rsidRDefault="008C08DA" w:rsidP="007E6C89">
            <w:pPr>
              <w:pStyle w:val="ListParagraph"/>
              <w:numPr>
                <w:ilvl w:val="0"/>
                <w:numId w:val="144"/>
              </w:numPr>
              <w:spacing w:before="0" w:after="0"/>
              <w:ind w:left="367"/>
              <w:jc w:val="center"/>
              <w:rPr>
                <w:rFonts w:cs="Arial"/>
                <w:sz w:val="16"/>
                <w:szCs w:val="16"/>
              </w:rPr>
            </w:pPr>
            <w:r w:rsidRPr="00662906">
              <w:rPr>
                <w:rFonts w:cs="Arial"/>
                <w:sz w:val="16"/>
                <w:szCs w:val="16"/>
              </w:rPr>
              <w:t>Provide follow-up support (hotlines, digital Q&amp;A forums) to address technical challenges</w:t>
            </w:r>
          </w:p>
        </w:tc>
        <w:tc>
          <w:tcPr>
            <w:tcW w:w="1276" w:type="dxa"/>
            <w:shd w:val="clear" w:color="auto" w:fill="FFFFFF"/>
            <w:tcMar>
              <w:left w:w="57" w:type="dxa"/>
              <w:right w:w="57" w:type="dxa"/>
            </w:tcMar>
          </w:tcPr>
          <w:p w14:paraId="68B1528A" w14:textId="28373970"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5B86ED1" w14:textId="69A346F7"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Agricultural Extension Services</w:t>
            </w:r>
          </w:p>
        </w:tc>
        <w:tc>
          <w:tcPr>
            <w:tcW w:w="1198" w:type="dxa"/>
            <w:shd w:val="clear" w:color="auto" w:fill="FFFFFF"/>
            <w:tcMar>
              <w:left w:w="57" w:type="dxa"/>
              <w:right w:w="57" w:type="dxa"/>
            </w:tcMar>
          </w:tcPr>
          <w:p w14:paraId="3F803D57" w14:textId="37E6644C"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Technical Schools, Universities</w:t>
            </w:r>
          </w:p>
        </w:tc>
        <w:tc>
          <w:tcPr>
            <w:tcW w:w="851" w:type="dxa"/>
            <w:shd w:val="clear" w:color="auto" w:fill="FFFFFF"/>
            <w:tcMar>
              <w:left w:w="57" w:type="dxa"/>
              <w:right w:w="57" w:type="dxa"/>
            </w:tcMar>
          </w:tcPr>
          <w:p w14:paraId="35BDFE5C" w14:textId="1CA28709"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709EE2B5" w14:textId="4193D4FB"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curricula and materials</w:t>
            </w:r>
          </w:p>
          <w:p w14:paraId="1A6C1AB7" w14:textId="6A261BFB"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List of trained extension officers and farmers</w:t>
            </w:r>
          </w:p>
          <w:p w14:paraId="0A87A3B6" w14:textId="391AF488"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Follow-up support system established</w:t>
            </w:r>
          </w:p>
        </w:tc>
        <w:tc>
          <w:tcPr>
            <w:tcW w:w="1701" w:type="dxa"/>
            <w:shd w:val="clear" w:color="auto" w:fill="FFFFFF"/>
          </w:tcPr>
          <w:p w14:paraId="10A02C66" w14:textId="243928A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Enhanced expertise enabling farmers and agribusinesses to adopt renewable energy solutions, leading to greater productivity and cost savings</w:t>
            </w:r>
          </w:p>
        </w:tc>
        <w:tc>
          <w:tcPr>
            <w:tcW w:w="1843" w:type="dxa"/>
            <w:shd w:val="clear" w:color="auto" w:fill="FFFFFF"/>
          </w:tcPr>
          <w:p w14:paraId="655373C5"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trainings delivered</w:t>
            </w:r>
          </w:p>
          <w:p w14:paraId="2AE1CA42"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materials published (Yes/No)</w:t>
            </w:r>
          </w:p>
          <w:p w14:paraId="43DB634A" w14:textId="6F9E66FC"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Post-training support system in place (Yes/No)</w:t>
            </w:r>
          </w:p>
        </w:tc>
      </w:tr>
      <w:tr w:rsidR="008C08DA" w:rsidRPr="00662906" w14:paraId="421BD719" w14:textId="77777777" w:rsidTr="007E6C89">
        <w:trPr>
          <w:trHeight w:val="300"/>
        </w:trPr>
        <w:tc>
          <w:tcPr>
            <w:tcW w:w="167" w:type="dxa"/>
            <w:shd w:val="clear" w:color="auto" w:fill="FFFFFF"/>
            <w:tcMar>
              <w:left w:w="57" w:type="dxa"/>
              <w:right w:w="57" w:type="dxa"/>
            </w:tcMar>
          </w:tcPr>
          <w:p w14:paraId="1C9058DB" w14:textId="77777777" w:rsidR="008C08DA" w:rsidRPr="00662906" w:rsidRDefault="008C08DA"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68AD8EA4" w14:textId="37837B74"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Development of Biomass Energy Supply Chains</w:t>
            </w:r>
          </w:p>
        </w:tc>
        <w:tc>
          <w:tcPr>
            <w:tcW w:w="3260" w:type="dxa"/>
            <w:tcBorders>
              <w:bottom w:val="single" w:sz="4" w:space="0" w:color="9F2241"/>
            </w:tcBorders>
            <w:shd w:val="clear" w:color="auto" w:fill="FFFFFF"/>
            <w:tcMar>
              <w:left w:w="57" w:type="dxa"/>
              <w:right w:w="57" w:type="dxa"/>
            </w:tcMar>
          </w:tcPr>
          <w:p w14:paraId="586D0CEB" w14:textId="492ADABB" w:rsidR="008C08DA" w:rsidRPr="00662906" w:rsidRDefault="008C08DA" w:rsidP="007E6C89">
            <w:pPr>
              <w:pStyle w:val="ListParagraph"/>
              <w:numPr>
                <w:ilvl w:val="0"/>
                <w:numId w:val="145"/>
              </w:numPr>
              <w:spacing w:before="40" w:after="40"/>
              <w:ind w:left="367"/>
              <w:jc w:val="center"/>
              <w:rPr>
                <w:rFonts w:eastAsia="Arial" w:cs="Arial"/>
                <w:color w:val="394A58"/>
                <w:sz w:val="16"/>
                <w:szCs w:val="16"/>
              </w:rPr>
            </w:pPr>
            <w:r w:rsidRPr="00662906">
              <w:rPr>
                <w:rFonts w:eastAsia="Arial" w:cs="Arial"/>
                <w:color w:val="394A58"/>
                <w:sz w:val="16"/>
                <w:szCs w:val="16"/>
              </w:rPr>
              <w:t>Partner with local cooperatives and agro-processors to identify viable biomass feedstock (crop residues, animal waste)</w:t>
            </w:r>
          </w:p>
          <w:p w14:paraId="6A957719" w14:textId="6D76DAFF" w:rsidR="008C08DA" w:rsidRPr="00662906" w:rsidRDefault="008C08DA" w:rsidP="007E6C89">
            <w:pPr>
              <w:pStyle w:val="ListParagraph"/>
              <w:numPr>
                <w:ilvl w:val="0"/>
                <w:numId w:val="145"/>
              </w:numPr>
              <w:spacing w:before="40" w:after="40"/>
              <w:ind w:left="367"/>
              <w:jc w:val="center"/>
              <w:rPr>
                <w:rFonts w:eastAsia="Arial" w:cs="Arial"/>
                <w:color w:val="394A58"/>
                <w:sz w:val="16"/>
                <w:szCs w:val="16"/>
              </w:rPr>
            </w:pPr>
            <w:r w:rsidRPr="00662906">
              <w:rPr>
                <w:rFonts w:eastAsia="Arial" w:cs="Arial"/>
                <w:color w:val="394A58"/>
                <w:sz w:val="16"/>
                <w:szCs w:val="16"/>
              </w:rPr>
              <w:t xml:space="preserve">Establish collection/processing </w:t>
            </w:r>
            <w:r w:rsidR="00AE7D1F" w:rsidRPr="00662906">
              <w:rPr>
                <w:rFonts w:eastAsia="Arial" w:cs="Arial"/>
                <w:color w:val="394A58"/>
                <w:sz w:val="16"/>
                <w:szCs w:val="16"/>
              </w:rPr>
              <w:t>centres</w:t>
            </w:r>
            <w:r w:rsidRPr="00662906">
              <w:rPr>
                <w:rFonts w:eastAsia="Arial" w:cs="Arial"/>
                <w:color w:val="394A58"/>
                <w:sz w:val="16"/>
                <w:szCs w:val="16"/>
              </w:rPr>
              <w:t xml:space="preserve"> for converting waste into energy products</w:t>
            </w:r>
          </w:p>
          <w:p w14:paraId="768BB5C2" w14:textId="5865822D" w:rsidR="008C08DA" w:rsidRPr="00662906" w:rsidRDefault="008C08DA" w:rsidP="007E6C89">
            <w:pPr>
              <w:pStyle w:val="ListParagraph"/>
              <w:numPr>
                <w:ilvl w:val="0"/>
                <w:numId w:val="145"/>
              </w:numPr>
              <w:spacing w:before="40" w:after="40"/>
              <w:ind w:left="367"/>
              <w:jc w:val="center"/>
              <w:rPr>
                <w:rFonts w:eastAsia="Arial" w:cs="Arial"/>
                <w:color w:val="394A58"/>
                <w:sz w:val="16"/>
                <w:szCs w:val="16"/>
              </w:rPr>
            </w:pPr>
            <w:r w:rsidRPr="00662906">
              <w:rPr>
                <w:rFonts w:eastAsia="Arial" w:cs="Arial"/>
                <w:color w:val="394A58"/>
                <w:sz w:val="16"/>
                <w:szCs w:val="16"/>
              </w:rPr>
              <w:t>Train local entrepreneurs on managing biomass supply chains</w:t>
            </w:r>
          </w:p>
        </w:tc>
        <w:tc>
          <w:tcPr>
            <w:tcW w:w="1276" w:type="dxa"/>
            <w:shd w:val="clear" w:color="auto" w:fill="FFFFFF"/>
            <w:tcMar>
              <w:left w:w="57" w:type="dxa"/>
              <w:right w:w="57" w:type="dxa"/>
            </w:tcMar>
          </w:tcPr>
          <w:p w14:paraId="68C8BD7F" w14:textId="22232C6D"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81AB23C" w14:textId="75413916"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35B5FF47" w14:textId="77777777" w:rsidR="008C08DA" w:rsidRPr="00662906" w:rsidRDefault="008C08DA" w:rsidP="007E6C89">
            <w:pPr>
              <w:spacing w:before="40" w:after="40"/>
              <w:jc w:val="center"/>
              <w:rPr>
                <w:rFonts w:cs="Arial"/>
                <w:sz w:val="16"/>
                <w:szCs w:val="16"/>
              </w:rPr>
            </w:pPr>
            <w:r w:rsidRPr="00662906">
              <w:rPr>
                <w:rFonts w:cs="Arial"/>
                <w:sz w:val="16"/>
                <w:szCs w:val="16"/>
              </w:rPr>
              <w:t>Ministry of Environment, Forestry Departments</w:t>
            </w:r>
          </w:p>
          <w:p w14:paraId="3334A6BA" w14:textId="52695A9F"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851" w:type="dxa"/>
            <w:shd w:val="clear" w:color="auto" w:fill="FFFFFF"/>
            <w:tcMar>
              <w:left w:w="57" w:type="dxa"/>
              <w:right w:w="57" w:type="dxa"/>
            </w:tcMar>
          </w:tcPr>
          <w:p w14:paraId="05ECFC06" w14:textId="001D624C"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03287600" w14:textId="5E667143"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Inventory of biomass feedstocks</w:t>
            </w:r>
          </w:p>
          <w:p w14:paraId="4243A0C2" w14:textId="693509B8"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Operational collection/processing </w:t>
            </w:r>
            <w:r w:rsidR="00AE7D1F" w:rsidRPr="00662906">
              <w:rPr>
                <w:rFonts w:eastAsia="Arial" w:cs="Arial"/>
                <w:color w:val="53575A"/>
                <w:sz w:val="16"/>
                <w:szCs w:val="16"/>
              </w:rPr>
              <w:t>centres</w:t>
            </w:r>
          </w:p>
          <w:p w14:paraId="33D3C9E8" w14:textId="61A136A2"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manuals for local entrepreneurs</w:t>
            </w:r>
          </w:p>
        </w:tc>
        <w:tc>
          <w:tcPr>
            <w:tcW w:w="1701" w:type="dxa"/>
            <w:shd w:val="clear" w:color="auto" w:fill="FFFFFF"/>
          </w:tcPr>
          <w:p w14:paraId="5EF59A34" w14:textId="3FD9BD1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A robust biomass-based renewable energy industry that lowers agricultural waste, diversifies farmer income streams, and improves rural energy access</w:t>
            </w:r>
          </w:p>
        </w:tc>
        <w:tc>
          <w:tcPr>
            <w:tcW w:w="1843" w:type="dxa"/>
            <w:shd w:val="clear" w:color="auto" w:fill="FFFFFF"/>
          </w:tcPr>
          <w:p w14:paraId="1606036C"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Biomass inventory completed (Yes/No)</w:t>
            </w:r>
          </w:p>
          <w:p w14:paraId="7FBE07DE" w14:textId="75775218"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Number of processing </w:t>
            </w:r>
            <w:r w:rsidR="00AE7D1F" w:rsidRPr="00662906">
              <w:rPr>
                <w:rFonts w:eastAsia="Arial" w:cs="Arial"/>
                <w:color w:val="53575A"/>
                <w:sz w:val="16"/>
                <w:szCs w:val="16"/>
              </w:rPr>
              <w:t>centres</w:t>
            </w:r>
            <w:r w:rsidRPr="00662906">
              <w:rPr>
                <w:rFonts w:eastAsia="Arial" w:cs="Arial"/>
                <w:color w:val="53575A"/>
                <w:sz w:val="16"/>
                <w:szCs w:val="16"/>
              </w:rPr>
              <w:t xml:space="preserve"> operational</w:t>
            </w:r>
          </w:p>
          <w:p w14:paraId="767D5B13" w14:textId="3840D459"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Trainings for supply chain </w:t>
            </w:r>
            <w:r w:rsidRPr="00662906">
              <w:rPr>
                <w:rFonts w:eastAsia="Arial" w:cs="Arial"/>
                <w:color w:val="53575A"/>
                <w:sz w:val="16"/>
                <w:szCs w:val="16"/>
              </w:rPr>
              <w:lastRenderedPageBreak/>
              <w:t>managers conducted (Yes/No)</w:t>
            </w:r>
          </w:p>
        </w:tc>
      </w:tr>
      <w:tr w:rsidR="008C08DA" w:rsidRPr="00662906" w14:paraId="1AF1248C" w14:textId="77777777" w:rsidTr="007E6C89">
        <w:trPr>
          <w:trHeight w:val="300"/>
        </w:trPr>
        <w:tc>
          <w:tcPr>
            <w:tcW w:w="167" w:type="dxa"/>
            <w:shd w:val="clear" w:color="auto" w:fill="FFFFFF"/>
            <w:tcMar>
              <w:left w:w="57" w:type="dxa"/>
              <w:right w:w="57" w:type="dxa"/>
            </w:tcMar>
          </w:tcPr>
          <w:p w14:paraId="4117A2D6" w14:textId="77777777" w:rsidR="008C08DA" w:rsidRPr="00662906" w:rsidRDefault="008C08DA" w:rsidP="007E6C89">
            <w:pPr>
              <w:spacing w:before="40" w:after="40"/>
              <w:jc w:val="center"/>
              <w:rPr>
                <w:rFonts w:cs="Arial"/>
                <w:color w:val="53575A"/>
                <w:sz w:val="16"/>
                <w:szCs w:val="16"/>
              </w:rPr>
            </w:pPr>
            <w:r w:rsidRPr="00662906">
              <w:rPr>
                <w:rFonts w:eastAsia="Arial" w:cs="Arial"/>
                <w:color w:val="53575A"/>
                <w:sz w:val="16"/>
                <w:szCs w:val="16"/>
              </w:rPr>
              <w:lastRenderedPageBreak/>
              <w:t>3</w:t>
            </w:r>
          </w:p>
        </w:tc>
        <w:tc>
          <w:tcPr>
            <w:tcW w:w="1248" w:type="dxa"/>
            <w:shd w:val="clear" w:color="auto" w:fill="FFFFFF"/>
            <w:tcMar>
              <w:left w:w="57" w:type="dxa"/>
              <w:right w:w="57" w:type="dxa"/>
            </w:tcMar>
          </w:tcPr>
          <w:p w14:paraId="42CED3E5" w14:textId="5D8B086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Renewable Energy Mini/Micro-grids for Irrigation and Post-processing Equipment</w:t>
            </w:r>
          </w:p>
        </w:tc>
        <w:tc>
          <w:tcPr>
            <w:tcW w:w="3260" w:type="dxa"/>
            <w:tcBorders>
              <w:top w:val="single" w:sz="4" w:space="0" w:color="9F2241"/>
              <w:left w:val="nil"/>
              <w:bottom w:val="single" w:sz="4" w:space="0" w:color="9F2241"/>
              <w:right w:val="nil"/>
            </w:tcBorders>
            <w:tcMar>
              <w:left w:w="57" w:type="dxa"/>
              <w:right w:w="57" w:type="dxa"/>
            </w:tcMar>
          </w:tcPr>
          <w:p w14:paraId="37AD99D6" w14:textId="3589357E" w:rsidR="008C08DA" w:rsidRPr="00662906" w:rsidRDefault="008C08DA" w:rsidP="007E6C89">
            <w:pPr>
              <w:pStyle w:val="ListParagraph"/>
              <w:numPr>
                <w:ilvl w:val="0"/>
                <w:numId w:val="146"/>
              </w:numPr>
              <w:spacing w:before="40" w:after="40"/>
              <w:ind w:left="367"/>
              <w:jc w:val="center"/>
              <w:rPr>
                <w:rFonts w:eastAsia="Arial" w:cs="Arial"/>
                <w:color w:val="394A58"/>
                <w:sz w:val="16"/>
                <w:szCs w:val="16"/>
              </w:rPr>
            </w:pPr>
            <w:r w:rsidRPr="00662906">
              <w:rPr>
                <w:rFonts w:eastAsia="Arial" w:cs="Arial"/>
                <w:color w:val="394A58"/>
                <w:sz w:val="16"/>
                <w:szCs w:val="16"/>
              </w:rPr>
              <w:t>Conduct feasibility studies for micro-grid deployment in farming communities</w:t>
            </w:r>
          </w:p>
          <w:p w14:paraId="19F374F8" w14:textId="0CB22C50" w:rsidR="008C08DA" w:rsidRPr="00662906" w:rsidRDefault="008C08DA" w:rsidP="007E6C89">
            <w:pPr>
              <w:pStyle w:val="ListParagraph"/>
              <w:numPr>
                <w:ilvl w:val="0"/>
                <w:numId w:val="146"/>
              </w:numPr>
              <w:spacing w:before="40" w:after="40"/>
              <w:ind w:left="367"/>
              <w:jc w:val="center"/>
              <w:rPr>
                <w:rFonts w:eastAsia="Arial" w:cs="Arial"/>
                <w:color w:val="394A58"/>
                <w:sz w:val="16"/>
                <w:szCs w:val="16"/>
              </w:rPr>
            </w:pPr>
            <w:r w:rsidRPr="00662906">
              <w:rPr>
                <w:rFonts w:eastAsia="Arial" w:cs="Arial"/>
                <w:color w:val="394A58"/>
                <w:sz w:val="16"/>
                <w:szCs w:val="16"/>
              </w:rPr>
              <w:t>Install small-scale solar, wind, or hybrid systems tailored to irrigation and processing needs</w:t>
            </w:r>
          </w:p>
          <w:p w14:paraId="7A52563C" w14:textId="76F3252B" w:rsidR="008C08DA" w:rsidRPr="00662906" w:rsidRDefault="008C08DA" w:rsidP="007E6C89">
            <w:pPr>
              <w:pStyle w:val="ListParagraph"/>
              <w:numPr>
                <w:ilvl w:val="0"/>
                <w:numId w:val="146"/>
              </w:numPr>
              <w:spacing w:before="40" w:after="40"/>
              <w:ind w:left="367"/>
              <w:jc w:val="center"/>
              <w:rPr>
                <w:rFonts w:eastAsia="Arial" w:cs="Arial"/>
                <w:color w:val="394A58"/>
                <w:sz w:val="16"/>
                <w:szCs w:val="16"/>
              </w:rPr>
            </w:pPr>
            <w:r w:rsidRPr="00662906">
              <w:rPr>
                <w:rFonts w:eastAsia="Arial" w:cs="Arial"/>
                <w:color w:val="394A58"/>
                <w:sz w:val="16"/>
                <w:szCs w:val="16"/>
              </w:rPr>
              <w:t>Integrate irrigation and post-processing  with existing mini/micro-grid infrastructures where feasible</w:t>
            </w:r>
          </w:p>
        </w:tc>
        <w:tc>
          <w:tcPr>
            <w:tcW w:w="1276" w:type="dxa"/>
            <w:shd w:val="clear" w:color="auto" w:fill="FFFFFF"/>
            <w:tcMar>
              <w:left w:w="57" w:type="dxa"/>
              <w:right w:w="57" w:type="dxa"/>
            </w:tcMar>
          </w:tcPr>
          <w:p w14:paraId="43C33FD2" w14:textId="0250BC7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3474373A" w14:textId="517570ED"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Ministries in charge of Water and Energy</w:t>
            </w:r>
          </w:p>
        </w:tc>
        <w:tc>
          <w:tcPr>
            <w:tcW w:w="1198" w:type="dxa"/>
            <w:shd w:val="clear" w:color="auto" w:fill="FFFFFF"/>
            <w:tcMar>
              <w:left w:w="57" w:type="dxa"/>
              <w:right w:w="57" w:type="dxa"/>
            </w:tcMar>
          </w:tcPr>
          <w:p w14:paraId="0792D2E2" w14:textId="77777777" w:rsidR="008C08DA" w:rsidRPr="00662906" w:rsidRDefault="008C08DA" w:rsidP="007E6C89">
            <w:pPr>
              <w:spacing w:before="40" w:after="40"/>
              <w:jc w:val="center"/>
              <w:rPr>
                <w:rFonts w:cs="Arial"/>
                <w:sz w:val="16"/>
                <w:szCs w:val="16"/>
              </w:rPr>
            </w:pPr>
            <w:r w:rsidRPr="00662906">
              <w:rPr>
                <w:rFonts w:cs="Arial"/>
                <w:sz w:val="16"/>
                <w:szCs w:val="16"/>
              </w:rPr>
              <w:t>International Development Organizations</w:t>
            </w:r>
          </w:p>
          <w:p w14:paraId="69778109" w14:textId="6C819895"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Ministries in charge of agriculture, Farming communities SME agricultural industries</w:t>
            </w:r>
          </w:p>
        </w:tc>
        <w:tc>
          <w:tcPr>
            <w:tcW w:w="851" w:type="dxa"/>
            <w:shd w:val="clear" w:color="auto" w:fill="FFFFFF"/>
            <w:tcMar>
              <w:left w:w="57" w:type="dxa"/>
              <w:right w:w="57" w:type="dxa"/>
            </w:tcMar>
          </w:tcPr>
          <w:p w14:paraId="289E35B9" w14:textId="60B2F427"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371CB28F" w14:textId="56BA85FE"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Feasibility study reports</w:t>
            </w:r>
          </w:p>
          <w:p w14:paraId="62FAF54F" w14:textId="5C15E55F"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Installed micro-grid systems</w:t>
            </w:r>
          </w:p>
          <w:p w14:paraId="2C92B1F0" w14:textId="7FC7D5C3"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 xml:space="preserve">Integration protocols for existing </w:t>
            </w:r>
            <w:r w:rsidR="005A71B4" w:rsidRPr="00662906">
              <w:rPr>
                <w:rFonts w:eastAsia="Arial" w:cs="Arial"/>
                <w:color w:val="53575A"/>
                <w:sz w:val="16"/>
                <w:szCs w:val="16"/>
              </w:rPr>
              <w:t>mini grids</w:t>
            </w:r>
          </w:p>
        </w:tc>
        <w:tc>
          <w:tcPr>
            <w:tcW w:w="1701" w:type="dxa"/>
            <w:shd w:val="clear" w:color="auto" w:fill="FFFFFF"/>
          </w:tcPr>
          <w:p w14:paraId="12C10CCC" w14:textId="1F3862E4"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Increased agricultural yield and improved product quality through reliable, clean power sources for irrigation and post-harvest processing</w:t>
            </w:r>
          </w:p>
        </w:tc>
        <w:tc>
          <w:tcPr>
            <w:tcW w:w="1843" w:type="dxa"/>
            <w:shd w:val="clear" w:color="auto" w:fill="FFFFFF"/>
          </w:tcPr>
          <w:p w14:paraId="2A1F282F"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Feasibility studies completed (Yes/No)</w:t>
            </w:r>
          </w:p>
          <w:p w14:paraId="0855625A"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micro-grids deployed</w:t>
            </w:r>
          </w:p>
          <w:p w14:paraId="309D3B1A" w14:textId="03A0D994"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 xml:space="preserve">Integration with existing </w:t>
            </w:r>
            <w:r w:rsidR="005A71B4" w:rsidRPr="00662906">
              <w:rPr>
                <w:rFonts w:eastAsia="Arial" w:cs="Arial"/>
                <w:color w:val="53575A"/>
                <w:sz w:val="16"/>
                <w:szCs w:val="16"/>
              </w:rPr>
              <w:t>mini grids</w:t>
            </w:r>
            <w:r w:rsidRPr="00662906">
              <w:rPr>
                <w:rFonts w:eastAsia="Arial" w:cs="Arial"/>
                <w:color w:val="53575A"/>
                <w:sz w:val="16"/>
                <w:szCs w:val="16"/>
              </w:rPr>
              <w:t xml:space="preserve"> (Yes/No)</w:t>
            </w:r>
          </w:p>
        </w:tc>
      </w:tr>
      <w:tr w:rsidR="008C08DA" w:rsidRPr="00662906" w14:paraId="10A90F08" w14:textId="77777777" w:rsidTr="007E6C89">
        <w:trPr>
          <w:trHeight w:val="300"/>
        </w:trPr>
        <w:tc>
          <w:tcPr>
            <w:tcW w:w="167" w:type="dxa"/>
            <w:shd w:val="clear" w:color="auto" w:fill="FFFFFF"/>
            <w:tcMar>
              <w:left w:w="57" w:type="dxa"/>
              <w:right w:w="57" w:type="dxa"/>
            </w:tcMar>
          </w:tcPr>
          <w:p w14:paraId="3013C901" w14:textId="77777777" w:rsidR="008C08DA" w:rsidRPr="00662906" w:rsidRDefault="008C08DA"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02130368" w14:textId="5C9BEC24"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Renewable Energy Driven Fertilizer Production</w:t>
            </w:r>
          </w:p>
        </w:tc>
        <w:tc>
          <w:tcPr>
            <w:tcW w:w="3260" w:type="dxa"/>
            <w:tcBorders>
              <w:top w:val="single" w:sz="4" w:space="0" w:color="9F2241"/>
              <w:left w:val="nil"/>
              <w:bottom w:val="single" w:sz="4" w:space="0" w:color="9F2241"/>
              <w:right w:val="nil"/>
            </w:tcBorders>
            <w:tcMar>
              <w:left w:w="57" w:type="dxa"/>
              <w:right w:w="57" w:type="dxa"/>
            </w:tcMar>
          </w:tcPr>
          <w:p w14:paraId="5B83BD02" w14:textId="01F9EF86" w:rsidR="008C08DA" w:rsidRPr="00662906" w:rsidRDefault="008C08DA" w:rsidP="007E6C89">
            <w:pPr>
              <w:pStyle w:val="ListParagraph"/>
              <w:numPr>
                <w:ilvl w:val="0"/>
                <w:numId w:val="147"/>
              </w:numPr>
              <w:spacing w:before="40" w:after="40"/>
              <w:ind w:left="367"/>
              <w:jc w:val="center"/>
              <w:rPr>
                <w:rFonts w:eastAsia="Arial" w:cs="Arial"/>
                <w:color w:val="394A58"/>
                <w:sz w:val="16"/>
                <w:szCs w:val="16"/>
              </w:rPr>
            </w:pPr>
            <w:r w:rsidRPr="00662906">
              <w:rPr>
                <w:rFonts w:eastAsia="Arial" w:cs="Arial"/>
                <w:color w:val="394A58"/>
                <w:sz w:val="16"/>
                <w:szCs w:val="16"/>
              </w:rPr>
              <w:t>Collaborate with fertilizer manufacturers to pilot solar- or bioenergy-powered production lines</w:t>
            </w:r>
          </w:p>
          <w:p w14:paraId="67F6DCD3" w14:textId="2FE09D64" w:rsidR="008C08DA" w:rsidRPr="00662906" w:rsidRDefault="008C08DA" w:rsidP="007E6C89">
            <w:pPr>
              <w:pStyle w:val="ListParagraph"/>
              <w:numPr>
                <w:ilvl w:val="0"/>
                <w:numId w:val="147"/>
              </w:numPr>
              <w:spacing w:before="40" w:after="40"/>
              <w:ind w:left="367"/>
              <w:jc w:val="center"/>
              <w:rPr>
                <w:rFonts w:eastAsia="Arial" w:cs="Arial"/>
                <w:color w:val="394A58"/>
                <w:sz w:val="16"/>
                <w:szCs w:val="16"/>
              </w:rPr>
            </w:pPr>
            <w:r w:rsidRPr="00662906">
              <w:rPr>
                <w:rFonts w:eastAsia="Arial" w:cs="Arial"/>
                <w:color w:val="394A58"/>
                <w:sz w:val="16"/>
                <w:szCs w:val="16"/>
              </w:rPr>
              <w:t>Research low-emission production methods suitable for decentralized, rural settings</w:t>
            </w:r>
          </w:p>
          <w:p w14:paraId="7DD1C197" w14:textId="1FE3CE23" w:rsidR="008C08DA" w:rsidRPr="00662906" w:rsidRDefault="008C08DA" w:rsidP="007E6C89">
            <w:pPr>
              <w:pStyle w:val="ListParagraph"/>
              <w:numPr>
                <w:ilvl w:val="0"/>
                <w:numId w:val="147"/>
              </w:numPr>
              <w:spacing w:before="40" w:after="40"/>
              <w:ind w:left="367"/>
              <w:jc w:val="center"/>
              <w:rPr>
                <w:rFonts w:eastAsia="Arial" w:cs="Arial"/>
                <w:color w:val="394A58"/>
                <w:sz w:val="16"/>
                <w:szCs w:val="16"/>
              </w:rPr>
            </w:pPr>
            <w:r w:rsidRPr="00662906">
              <w:rPr>
                <w:rFonts w:eastAsia="Arial" w:cs="Arial"/>
                <w:color w:val="394A58"/>
                <w:sz w:val="16"/>
                <w:szCs w:val="16"/>
              </w:rPr>
              <w:t>Set up demonstration sites to showcase reduced carbon footprints</w:t>
            </w:r>
          </w:p>
        </w:tc>
        <w:tc>
          <w:tcPr>
            <w:tcW w:w="1276" w:type="dxa"/>
            <w:shd w:val="clear" w:color="auto" w:fill="FFFFFF"/>
            <w:tcMar>
              <w:left w:w="57" w:type="dxa"/>
              <w:right w:w="57" w:type="dxa"/>
            </w:tcMar>
          </w:tcPr>
          <w:p w14:paraId="72FCACD2" w14:textId="4C4D6D02"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627EF4F0" w14:textId="515BD4B2"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Regional Agricultural Authorities</w:t>
            </w:r>
          </w:p>
        </w:tc>
        <w:tc>
          <w:tcPr>
            <w:tcW w:w="1198" w:type="dxa"/>
            <w:shd w:val="clear" w:color="auto" w:fill="FFFFFF"/>
            <w:tcMar>
              <w:left w:w="57" w:type="dxa"/>
              <w:right w:w="57" w:type="dxa"/>
            </w:tcMar>
          </w:tcPr>
          <w:p w14:paraId="55E88C24" w14:textId="77777777" w:rsidR="008C08DA" w:rsidRPr="00662906" w:rsidRDefault="008C08DA" w:rsidP="007E6C89">
            <w:pPr>
              <w:spacing w:before="40" w:after="40"/>
              <w:jc w:val="center"/>
              <w:rPr>
                <w:rFonts w:cs="Arial"/>
                <w:sz w:val="16"/>
                <w:szCs w:val="16"/>
              </w:rPr>
            </w:pPr>
            <w:r w:rsidRPr="00662906">
              <w:rPr>
                <w:rFonts w:cs="Arial"/>
                <w:sz w:val="16"/>
                <w:szCs w:val="16"/>
              </w:rPr>
              <w:t>Chemical/fertilizer Companies, Research Bodies</w:t>
            </w:r>
          </w:p>
          <w:p w14:paraId="3B8796BF" w14:textId="2253B73B"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 and regional agricultural associations</w:t>
            </w:r>
          </w:p>
        </w:tc>
        <w:tc>
          <w:tcPr>
            <w:tcW w:w="851" w:type="dxa"/>
            <w:shd w:val="clear" w:color="auto" w:fill="FFFFFF"/>
            <w:tcMar>
              <w:left w:w="57" w:type="dxa"/>
              <w:right w:w="57" w:type="dxa"/>
            </w:tcMar>
          </w:tcPr>
          <w:p w14:paraId="5BAEE504" w14:textId="2F0BA7E4"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Long Term</w:t>
            </w:r>
          </w:p>
        </w:tc>
        <w:tc>
          <w:tcPr>
            <w:tcW w:w="1842" w:type="dxa"/>
            <w:shd w:val="clear" w:color="auto" w:fill="FFFFFF"/>
          </w:tcPr>
          <w:p w14:paraId="2C0FB590" w14:textId="7A612CE2"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projects with RE-powered fertilizer plants</w:t>
            </w:r>
          </w:p>
          <w:p w14:paraId="71B51BBE" w14:textId="3E79A7C9"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Research papers on low-emission production</w:t>
            </w:r>
          </w:p>
          <w:p w14:paraId="2D1B3E76" w14:textId="197F31DB"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site performance data</w:t>
            </w:r>
          </w:p>
        </w:tc>
        <w:tc>
          <w:tcPr>
            <w:tcW w:w="1701" w:type="dxa"/>
            <w:shd w:val="clear" w:color="auto" w:fill="FFFFFF"/>
          </w:tcPr>
          <w:p w14:paraId="09380C63" w14:textId="51369381"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Significant reduction in the carbon intensity of fertilizer production, boosting sustainable agriculture while lowering operational costs for rural communities</w:t>
            </w:r>
          </w:p>
        </w:tc>
        <w:tc>
          <w:tcPr>
            <w:tcW w:w="1843" w:type="dxa"/>
            <w:shd w:val="clear" w:color="auto" w:fill="FFFFFF"/>
          </w:tcPr>
          <w:p w14:paraId="28C4FF95"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pilot production lines</w:t>
            </w:r>
          </w:p>
          <w:p w14:paraId="38671D25"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Research publications released (Yes/No)</w:t>
            </w:r>
          </w:p>
          <w:p w14:paraId="04B436DA" w14:textId="4567C115"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Demonstration sites established (Yes/No)</w:t>
            </w:r>
          </w:p>
        </w:tc>
      </w:tr>
      <w:tr w:rsidR="008C08DA" w:rsidRPr="00662906" w14:paraId="367C5384" w14:textId="77777777" w:rsidTr="007E6C89">
        <w:trPr>
          <w:trHeight w:val="300"/>
        </w:trPr>
        <w:tc>
          <w:tcPr>
            <w:tcW w:w="167" w:type="dxa"/>
            <w:shd w:val="clear" w:color="auto" w:fill="FFFFFF"/>
            <w:tcMar>
              <w:left w:w="57" w:type="dxa"/>
              <w:right w:w="57" w:type="dxa"/>
            </w:tcMar>
          </w:tcPr>
          <w:p w14:paraId="40B26479" w14:textId="77777777" w:rsidR="008C08DA" w:rsidRPr="00662906" w:rsidRDefault="008C08DA"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16C54323" w14:textId="64BF1404"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Expansion of Biogas Programs</w:t>
            </w:r>
          </w:p>
        </w:tc>
        <w:tc>
          <w:tcPr>
            <w:tcW w:w="3260" w:type="dxa"/>
            <w:tcBorders>
              <w:top w:val="single" w:sz="4" w:space="0" w:color="9F2241"/>
              <w:left w:val="nil"/>
              <w:bottom w:val="single" w:sz="4" w:space="0" w:color="9F2241"/>
              <w:right w:val="nil"/>
            </w:tcBorders>
            <w:tcMar>
              <w:left w:w="57" w:type="dxa"/>
              <w:right w:w="57" w:type="dxa"/>
            </w:tcMar>
          </w:tcPr>
          <w:p w14:paraId="5B3CFCD5" w14:textId="36EA745E" w:rsidR="008C08DA" w:rsidRPr="00662906" w:rsidRDefault="008C08DA" w:rsidP="007E6C89">
            <w:pPr>
              <w:pStyle w:val="ListParagraph"/>
              <w:numPr>
                <w:ilvl w:val="0"/>
                <w:numId w:val="148"/>
              </w:numPr>
              <w:spacing w:before="40" w:after="40"/>
              <w:ind w:left="367"/>
              <w:jc w:val="center"/>
              <w:rPr>
                <w:rFonts w:eastAsia="Arial" w:cs="Arial"/>
                <w:color w:val="394A58"/>
                <w:sz w:val="16"/>
                <w:szCs w:val="16"/>
              </w:rPr>
            </w:pPr>
            <w:r w:rsidRPr="00662906">
              <w:rPr>
                <w:rFonts w:eastAsia="Arial" w:cs="Arial"/>
                <w:color w:val="394A58"/>
                <w:sz w:val="16"/>
                <w:szCs w:val="16"/>
              </w:rPr>
              <w:t>Identify farms with high potential for biogas (livestock operations, crop waste)</w:t>
            </w:r>
          </w:p>
          <w:p w14:paraId="4DBC51BE" w14:textId="62D12BC2" w:rsidR="008C08DA" w:rsidRPr="00662906" w:rsidRDefault="008C08DA" w:rsidP="007E6C89">
            <w:pPr>
              <w:pStyle w:val="ListParagraph"/>
              <w:numPr>
                <w:ilvl w:val="0"/>
                <w:numId w:val="148"/>
              </w:numPr>
              <w:spacing w:before="40" w:after="40"/>
              <w:ind w:left="367"/>
              <w:jc w:val="center"/>
              <w:rPr>
                <w:rFonts w:eastAsia="Arial" w:cs="Arial"/>
                <w:color w:val="394A58"/>
                <w:sz w:val="16"/>
                <w:szCs w:val="16"/>
              </w:rPr>
            </w:pPr>
            <w:r w:rsidRPr="00662906">
              <w:rPr>
                <w:rFonts w:eastAsia="Arial" w:cs="Arial"/>
                <w:color w:val="394A58"/>
                <w:sz w:val="16"/>
                <w:szCs w:val="16"/>
              </w:rPr>
              <w:t>Provide financing schemes (microloans, grants) for biogas installation</w:t>
            </w:r>
          </w:p>
          <w:p w14:paraId="39D75AE3" w14:textId="633045C4" w:rsidR="008C08DA" w:rsidRPr="00662906" w:rsidRDefault="008C08DA" w:rsidP="007E6C89">
            <w:pPr>
              <w:pStyle w:val="ListParagraph"/>
              <w:numPr>
                <w:ilvl w:val="0"/>
                <w:numId w:val="148"/>
              </w:numPr>
              <w:spacing w:before="40" w:after="40"/>
              <w:ind w:left="367"/>
              <w:jc w:val="center"/>
              <w:rPr>
                <w:rFonts w:eastAsia="Arial" w:cs="Arial"/>
                <w:color w:val="394A58"/>
                <w:sz w:val="16"/>
                <w:szCs w:val="16"/>
              </w:rPr>
            </w:pPr>
            <w:r w:rsidRPr="00662906">
              <w:rPr>
                <w:rFonts w:eastAsia="Arial" w:cs="Arial"/>
                <w:color w:val="394A58"/>
                <w:sz w:val="16"/>
                <w:szCs w:val="16"/>
              </w:rPr>
              <w:t>Train farmers on biogas system maintenance and safe usage</w:t>
            </w:r>
          </w:p>
        </w:tc>
        <w:tc>
          <w:tcPr>
            <w:tcW w:w="1276" w:type="dxa"/>
            <w:shd w:val="clear" w:color="auto" w:fill="FFFFFF"/>
            <w:tcMar>
              <w:left w:w="57" w:type="dxa"/>
              <w:right w:w="57" w:type="dxa"/>
            </w:tcMar>
          </w:tcPr>
          <w:p w14:paraId="15C679AE" w14:textId="6D349A9C"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A36B910" w14:textId="161C4923"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 Energy Agencies</w:t>
            </w:r>
          </w:p>
        </w:tc>
        <w:tc>
          <w:tcPr>
            <w:tcW w:w="1198" w:type="dxa"/>
            <w:shd w:val="clear" w:color="auto" w:fill="FFFFFF"/>
            <w:tcMar>
              <w:left w:w="57" w:type="dxa"/>
              <w:right w:w="57" w:type="dxa"/>
            </w:tcMar>
          </w:tcPr>
          <w:p w14:paraId="03610108" w14:textId="77777777" w:rsidR="008C08DA" w:rsidRPr="00662906" w:rsidRDefault="008C08DA" w:rsidP="007E6C89">
            <w:pPr>
              <w:spacing w:before="40" w:after="40"/>
              <w:jc w:val="center"/>
              <w:rPr>
                <w:rFonts w:cs="Arial"/>
                <w:sz w:val="16"/>
                <w:szCs w:val="16"/>
              </w:rPr>
            </w:pPr>
            <w:r w:rsidRPr="00662906">
              <w:rPr>
                <w:rFonts w:cs="Arial"/>
                <w:sz w:val="16"/>
                <w:szCs w:val="16"/>
              </w:rPr>
              <w:t>Local Biogas Companies, NGOs, Farmers</w:t>
            </w:r>
          </w:p>
          <w:p w14:paraId="20668523" w14:textId="5845BCBF"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International organizations/partners</w:t>
            </w:r>
          </w:p>
        </w:tc>
        <w:tc>
          <w:tcPr>
            <w:tcW w:w="851" w:type="dxa"/>
            <w:shd w:val="clear" w:color="auto" w:fill="FFFFFF"/>
            <w:tcMar>
              <w:left w:w="57" w:type="dxa"/>
              <w:right w:w="57" w:type="dxa"/>
            </w:tcMar>
          </w:tcPr>
          <w:p w14:paraId="180E5FF7" w14:textId="50A218D5"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617640B9" w14:textId="74549524"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Biogas feasibility assessments</w:t>
            </w:r>
          </w:p>
          <w:p w14:paraId="109DD7B2" w14:textId="79C574EC"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Financing guidelines and agreements</w:t>
            </w:r>
          </w:p>
          <w:p w14:paraId="12CE217F" w14:textId="3A52C07C"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Maintenance training modules</w:t>
            </w:r>
          </w:p>
        </w:tc>
        <w:tc>
          <w:tcPr>
            <w:tcW w:w="1701" w:type="dxa"/>
            <w:shd w:val="clear" w:color="auto" w:fill="FFFFFF"/>
          </w:tcPr>
          <w:p w14:paraId="08E7CE45" w14:textId="35C58B10"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Widespread biogas adoption, reducing reliance on traditional fuels while improving farm sustainability and lowering waste disposal issues</w:t>
            </w:r>
          </w:p>
        </w:tc>
        <w:tc>
          <w:tcPr>
            <w:tcW w:w="1843" w:type="dxa"/>
            <w:shd w:val="clear" w:color="auto" w:fill="FFFFFF"/>
          </w:tcPr>
          <w:p w14:paraId="7CEC1471"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biogas units installed</w:t>
            </w:r>
          </w:p>
          <w:p w14:paraId="32722886"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Financing mechanisms established (Yes/No)</w:t>
            </w:r>
          </w:p>
          <w:p w14:paraId="497C0944" w14:textId="3F51713E"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Maintenance training conducted (Yes/No)</w:t>
            </w:r>
          </w:p>
        </w:tc>
      </w:tr>
      <w:tr w:rsidR="008C08DA" w:rsidRPr="00662906" w14:paraId="04589797" w14:textId="77777777" w:rsidTr="007E6C89">
        <w:trPr>
          <w:trHeight w:val="300"/>
        </w:trPr>
        <w:tc>
          <w:tcPr>
            <w:tcW w:w="167" w:type="dxa"/>
            <w:shd w:val="clear" w:color="auto" w:fill="FFFFFF"/>
            <w:tcMar>
              <w:left w:w="57" w:type="dxa"/>
              <w:right w:w="57" w:type="dxa"/>
            </w:tcMar>
          </w:tcPr>
          <w:p w14:paraId="5A9CB250" w14:textId="77777777" w:rsidR="008C08DA" w:rsidRPr="00662906" w:rsidRDefault="008C08DA"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48718C37" w14:textId="116FCFB9"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Renewable Energy Certifications for Agri-businesses</w:t>
            </w:r>
          </w:p>
        </w:tc>
        <w:tc>
          <w:tcPr>
            <w:tcW w:w="3260" w:type="dxa"/>
            <w:tcBorders>
              <w:top w:val="single" w:sz="4" w:space="0" w:color="9F2241"/>
              <w:left w:val="nil"/>
              <w:bottom w:val="single" w:sz="4" w:space="0" w:color="9F2241"/>
              <w:right w:val="nil"/>
            </w:tcBorders>
            <w:tcMar>
              <w:left w:w="57" w:type="dxa"/>
              <w:right w:w="57" w:type="dxa"/>
            </w:tcMar>
          </w:tcPr>
          <w:p w14:paraId="0B769F98" w14:textId="6EBF8FFF" w:rsidR="008C08DA" w:rsidRPr="00662906" w:rsidRDefault="008C08DA" w:rsidP="007E6C89">
            <w:pPr>
              <w:pStyle w:val="ListParagraph"/>
              <w:numPr>
                <w:ilvl w:val="0"/>
                <w:numId w:val="149"/>
              </w:numPr>
              <w:spacing w:before="40" w:after="40"/>
              <w:ind w:left="367"/>
              <w:jc w:val="center"/>
              <w:rPr>
                <w:rFonts w:eastAsia="Arial" w:cs="Arial"/>
                <w:color w:val="394A58"/>
                <w:sz w:val="16"/>
                <w:szCs w:val="16"/>
              </w:rPr>
            </w:pPr>
            <w:r w:rsidRPr="00662906">
              <w:rPr>
                <w:rFonts w:eastAsia="Arial" w:cs="Arial"/>
                <w:color w:val="394A58"/>
                <w:sz w:val="16"/>
                <w:szCs w:val="16"/>
              </w:rPr>
              <w:t>Develop criteria for certification (percentage of RE use, emissions reductions, operational efficiency)</w:t>
            </w:r>
          </w:p>
          <w:p w14:paraId="60D54CAE" w14:textId="223E1344" w:rsidR="008C08DA" w:rsidRPr="00662906" w:rsidRDefault="008C08DA" w:rsidP="007E6C89">
            <w:pPr>
              <w:pStyle w:val="ListParagraph"/>
              <w:numPr>
                <w:ilvl w:val="0"/>
                <w:numId w:val="149"/>
              </w:numPr>
              <w:spacing w:before="40" w:after="40"/>
              <w:ind w:left="367"/>
              <w:jc w:val="center"/>
              <w:rPr>
                <w:rFonts w:eastAsia="Arial" w:cs="Arial"/>
                <w:color w:val="394A58"/>
                <w:sz w:val="16"/>
                <w:szCs w:val="16"/>
              </w:rPr>
            </w:pPr>
            <w:r w:rsidRPr="00662906">
              <w:rPr>
                <w:rFonts w:eastAsia="Arial" w:cs="Arial"/>
                <w:color w:val="394A58"/>
                <w:sz w:val="16"/>
                <w:szCs w:val="16"/>
              </w:rPr>
              <w:t>Partner with certification agencies to implement audits and validations</w:t>
            </w:r>
          </w:p>
          <w:p w14:paraId="111A8502" w14:textId="2A671937" w:rsidR="008C08DA" w:rsidRPr="00662906" w:rsidRDefault="008C08DA" w:rsidP="007E6C89">
            <w:pPr>
              <w:pStyle w:val="ListParagraph"/>
              <w:numPr>
                <w:ilvl w:val="0"/>
                <w:numId w:val="149"/>
              </w:numPr>
              <w:spacing w:before="40" w:after="40"/>
              <w:ind w:left="367"/>
              <w:jc w:val="center"/>
              <w:rPr>
                <w:rFonts w:eastAsia="Arial" w:cs="Arial"/>
                <w:color w:val="394A58"/>
                <w:sz w:val="16"/>
                <w:szCs w:val="16"/>
              </w:rPr>
            </w:pPr>
            <w:r w:rsidRPr="00662906">
              <w:rPr>
                <w:rFonts w:eastAsia="Arial" w:cs="Arial"/>
                <w:color w:val="394A58"/>
                <w:sz w:val="16"/>
                <w:szCs w:val="16"/>
              </w:rPr>
              <w:t>Maintain an online registry highlighting certified agri-businesses</w:t>
            </w:r>
          </w:p>
        </w:tc>
        <w:tc>
          <w:tcPr>
            <w:tcW w:w="1276" w:type="dxa"/>
            <w:shd w:val="clear" w:color="auto" w:fill="FFFFFF"/>
            <w:tcMar>
              <w:left w:w="57" w:type="dxa"/>
              <w:right w:w="57" w:type="dxa"/>
            </w:tcMar>
          </w:tcPr>
          <w:p w14:paraId="416D65E2" w14:textId="759F8981"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1CEA65DF" w14:textId="046B09CF"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 Standards Bodies</w:t>
            </w:r>
          </w:p>
        </w:tc>
        <w:tc>
          <w:tcPr>
            <w:tcW w:w="1198" w:type="dxa"/>
            <w:shd w:val="clear" w:color="auto" w:fill="FFFFFF"/>
            <w:tcMar>
              <w:left w:w="57" w:type="dxa"/>
              <w:right w:w="57" w:type="dxa"/>
            </w:tcMar>
          </w:tcPr>
          <w:p w14:paraId="6752DC86" w14:textId="19640C10"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Industry Associations, Certification Agencies</w:t>
            </w:r>
          </w:p>
        </w:tc>
        <w:tc>
          <w:tcPr>
            <w:tcW w:w="851" w:type="dxa"/>
            <w:shd w:val="clear" w:color="auto" w:fill="FFFFFF"/>
            <w:tcMar>
              <w:left w:w="57" w:type="dxa"/>
              <w:right w:w="57" w:type="dxa"/>
            </w:tcMar>
          </w:tcPr>
          <w:p w14:paraId="70E2E994" w14:textId="2E2F8EB1"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7335F36A" w14:textId="444331C9"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Certification criteria and audit protocols</w:t>
            </w:r>
          </w:p>
          <w:p w14:paraId="77C8315A" w14:textId="0D820D68"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Established pool of certified auditors</w:t>
            </w:r>
          </w:p>
          <w:p w14:paraId="33E040D3" w14:textId="3881152F"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Public registry of certified businesses</w:t>
            </w:r>
          </w:p>
        </w:tc>
        <w:tc>
          <w:tcPr>
            <w:tcW w:w="1701" w:type="dxa"/>
            <w:shd w:val="clear" w:color="auto" w:fill="FFFFFF"/>
          </w:tcPr>
          <w:p w14:paraId="3D23BB57" w14:textId="7674BE6C"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Growing recognition of sustainable agri-businesses, spurring broader sector adoption of renewable energies and encouraging corporate responsibility</w:t>
            </w:r>
          </w:p>
        </w:tc>
        <w:tc>
          <w:tcPr>
            <w:tcW w:w="1843" w:type="dxa"/>
            <w:shd w:val="clear" w:color="auto" w:fill="FFFFFF"/>
          </w:tcPr>
          <w:p w14:paraId="61521937"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Certification criteria published (Yes/No)</w:t>
            </w:r>
          </w:p>
          <w:p w14:paraId="5EA486BA"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businesses audited</w:t>
            </w:r>
          </w:p>
          <w:p w14:paraId="65302DC4" w14:textId="526DF032"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Online registry operational (Yes/No)</w:t>
            </w:r>
          </w:p>
        </w:tc>
      </w:tr>
      <w:tr w:rsidR="008C08DA" w:rsidRPr="00662906" w14:paraId="5CA8E9EE" w14:textId="77777777" w:rsidTr="007E6C89">
        <w:trPr>
          <w:trHeight w:val="300"/>
        </w:trPr>
        <w:tc>
          <w:tcPr>
            <w:tcW w:w="167" w:type="dxa"/>
            <w:shd w:val="clear" w:color="auto" w:fill="FFFFFF"/>
            <w:tcMar>
              <w:left w:w="57" w:type="dxa"/>
              <w:right w:w="57" w:type="dxa"/>
            </w:tcMar>
          </w:tcPr>
          <w:p w14:paraId="55BC3819" w14:textId="77777777" w:rsidR="008C08DA" w:rsidRPr="00662906" w:rsidRDefault="008C08DA"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30C0F26C" w14:textId="09809FC3"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 xml:space="preserve">Online Marketplace for Renewable </w:t>
            </w:r>
            <w:r w:rsidRPr="00662906">
              <w:rPr>
                <w:rFonts w:cs="Arial"/>
                <w:sz w:val="16"/>
                <w:szCs w:val="16"/>
              </w:rPr>
              <w:lastRenderedPageBreak/>
              <w:t>Energy Solutions</w:t>
            </w:r>
          </w:p>
        </w:tc>
        <w:tc>
          <w:tcPr>
            <w:tcW w:w="3260" w:type="dxa"/>
            <w:tcBorders>
              <w:top w:val="single" w:sz="4" w:space="0" w:color="9F2241"/>
              <w:left w:val="nil"/>
              <w:bottom w:val="single" w:sz="4" w:space="0" w:color="9F2241"/>
              <w:right w:val="nil"/>
            </w:tcBorders>
            <w:tcMar>
              <w:left w:w="57" w:type="dxa"/>
              <w:right w:w="57" w:type="dxa"/>
            </w:tcMar>
          </w:tcPr>
          <w:p w14:paraId="33B01BCE" w14:textId="1B04189B" w:rsidR="008C08DA" w:rsidRPr="00662906" w:rsidRDefault="008C08DA" w:rsidP="007E6C89">
            <w:pPr>
              <w:pStyle w:val="ListParagraph"/>
              <w:numPr>
                <w:ilvl w:val="0"/>
                <w:numId w:val="150"/>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Collaborate with RE technology firms and farmer cooperatives to create a user-friendly e-platform</w:t>
            </w:r>
          </w:p>
          <w:p w14:paraId="06278655" w14:textId="3770C0AB" w:rsidR="008C08DA" w:rsidRPr="00662906" w:rsidRDefault="008C08DA" w:rsidP="007E6C89">
            <w:pPr>
              <w:pStyle w:val="ListParagraph"/>
              <w:numPr>
                <w:ilvl w:val="0"/>
                <w:numId w:val="150"/>
              </w:numPr>
              <w:spacing w:before="40" w:after="40"/>
              <w:ind w:left="367"/>
              <w:jc w:val="center"/>
              <w:rPr>
                <w:rFonts w:eastAsia="Arial" w:cs="Arial"/>
                <w:color w:val="394A58"/>
                <w:sz w:val="16"/>
                <w:szCs w:val="16"/>
              </w:rPr>
            </w:pPr>
            <w:r w:rsidRPr="00662906">
              <w:rPr>
                <w:rFonts w:eastAsia="Arial" w:cs="Arial"/>
                <w:color w:val="394A58"/>
                <w:sz w:val="16"/>
                <w:szCs w:val="16"/>
              </w:rPr>
              <w:t>Develop a rating and review system for RE suppliers</w:t>
            </w:r>
          </w:p>
          <w:p w14:paraId="6AA49456" w14:textId="2EB94F07" w:rsidR="008C08DA" w:rsidRPr="00662906" w:rsidRDefault="008C08DA" w:rsidP="007E6C89">
            <w:pPr>
              <w:pStyle w:val="ListParagraph"/>
              <w:numPr>
                <w:ilvl w:val="0"/>
                <w:numId w:val="150"/>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Conduct digital marketing campaigns to drive traffic and usage</w:t>
            </w:r>
          </w:p>
        </w:tc>
        <w:tc>
          <w:tcPr>
            <w:tcW w:w="1276" w:type="dxa"/>
            <w:shd w:val="clear" w:color="auto" w:fill="FFFFFF"/>
            <w:tcMar>
              <w:left w:w="57" w:type="dxa"/>
              <w:right w:w="57" w:type="dxa"/>
            </w:tcMar>
          </w:tcPr>
          <w:p w14:paraId="46DBA69F" w14:textId="7181DDB6" w:rsidR="008C08DA" w:rsidRPr="00662906" w:rsidRDefault="008C08DA" w:rsidP="007E6C89">
            <w:pPr>
              <w:spacing w:before="40" w:after="40"/>
              <w:jc w:val="center"/>
              <w:rPr>
                <w:rFonts w:eastAsia="Arial" w:cs="Arial"/>
                <w:color w:val="53575A"/>
                <w:sz w:val="16"/>
                <w:szCs w:val="16"/>
              </w:rPr>
            </w:pPr>
            <w:r w:rsidRPr="00662906">
              <w:rPr>
                <w:rFonts w:cs="Arial"/>
                <w:sz w:val="16"/>
                <w:szCs w:val="16"/>
              </w:rPr>
              <w:lastRenderedPageBreak/>
              <w:t>Continental</w:t>
            </w:r>
          </w:p>
        </w:tc>
        <w:tc>
          <w:tcPr>
            <w:tcW w:w="1070" w:type="dxa"/>
            <w:shd w:val="clear" w:color="auto" w:fill="FFFFFF"/>
            <w:tcMar>
              <w:left w:w="57" w:type="dxa"/>
              <w:right w:w="57" w:type="dxa"/>
            </w:tcMar>
          </w:tcPr>
          <w:p w14:paraId="7393F381" w14:textId="1E237EE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African Union</w:t>
            </w:r>
          </w:p>
        </w:tc>
        <w:tc>
          <w:tcPr>
            <w:tcW w:w="1198" w:type="dxa"/>
            <w:shd w:val="clear" w:color="auto" w:fill="FFFFFF"/>
            <w:tcMar>
              <w:left w:w="57" w:type="dxa"/>
              <w:right w:w="57" w:type="dxa"/>
            </w:tcMar>
          </w:tcPr>
          <w:p w14:paraId="0DF1A296" w14:textId="43D75FCC"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 xml:space="preserve">RE Technology Firms, </w:t>
            </w:r>
            <w:r w:rsidRPr="00662906">
              <w:rPr>
                <w:rFonts w:cs="Arial"/>
                <w:sz w:val="16"/>
                <w:szCs w:val="16"/>
              </w:rPr>
              <w:lastRenderedPageBreak/>
              <w:t>Agricultural Cooperatives</w:t>
            </w:r>
          </w:p>
        </w:tc>
        <w:tc>
          <w:tcPr>
            <w:tcW w:w="851" w:type="dxa"/>
            <w:shd w:val="clear" w:color="auto" w:fill="FFFFFF"/>
            <w:tcMar>
              <w:left w:w="57" w:type="dxa"/>
              <w:right w:w="57" w:type="dxa"/>
            </w:tcMar>
          </w:tcPr>
          <w:p w14:paraId="09F71EC0" w14:textId="72810833" w:rsidR="008C08DA" w:rsidRPr="00662906" w:rsidRDefault="008C08DA" w:rsidP="007E6C89">
            <w:pPr>
              <w:spacing w:before="40" w:after="40"/>
              <w:jc w:val="center"/>
              <w:rPr>
                <w:rFonts w:eastAsia="Arial" w:cs="Arial"/>
                <w:color w:val="53575A"/>
                <w:sz w:val="16"/>
                <w:szCs w:val="16"/>
              </w:rPr>
            </w:pPr>
            <w:r w:rsidRPr="00662906">
              <w:rPr>
                <w:rFonts w:cs="Arial"/>
                <w:sz w:val="16"/>
                <w:szCs w:val="16"/>
              </w:rPr>
              <w:lastRenderedPageBreak/>
              <w:t>Medium Term</w:t>
            </w:r>
          </w:p>
        </w:tc>
        <w:tc>
          <w:tcPr>
            <w:tcW w:w="1842" w:type="dxa"/>
            <w:shd w:val="clear" w:color="auto" w:fill="FFFFFF"/>
          </w:tcPr>
          <w:p w14:paraId="2C25ADDE" w14:textId="30CBEAF8"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E-platform featuring RE solutions and providers</w:t>
            </w:r>
          </w:p>
          <w:p w14:paraId="3C8BFA69" w14:textId="4A8335F9"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Rating/feedback mechanism</w:t>
            </w:r>
          </w:p>
          <w:p w14:paraId="22416116" w14:textId="4BC759A8"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Marketing campaign analytics</w:t>
            </w:r>
          </w:p>
        </w:tc>
        <w:tc>
          <w:tcPr>
            <w:tcW w:w="1701" w:type="dxa"/>
            <w:shd w:val="clear" w:color="auto" w:fill="FFFFFF"/>
          </w:tcPr>
          <w:p w14:paraId="41365857" w14:textId="77BA3EBA" w:rsidR="008C08DA" w:rsidRPr="00662906" w:rsidRDefault="008C08DA" w:rsidP="007E6C89">
            <w:pPr>
              <w:spacing w:before="40" w:after="40"/>
              <w:jc w:val="center"/>
              <w:rPr>
                <w:rFonts w:eastAsia="Arial" w:cs="Arial"/>
                <w:color w:val="53575A"/>
                <w:sz w:val="16"/>
                <w:szCs w:val="16"/>
              </w:rPr>
            </w:pPr>
            <w:r w:rsidRPr="00662906">
              <w:rPr>
                <w:rFonts w:cs="Arial"/>
                <w:sz w:val="16"/>
                <w:szCs w:val="16"/>
              </w:rPr>
              <w:lastRenderedPageBreak/>
              <w:t xml:space="preserve">Easier access to vetted RE technologies and providers, boosting adoption rates and </w:t>
            </w:r>
            <w:r w:rsidRPr="00662906">
              <w:rPr>
                <w:rFonts w:cs="Arial"/>
                <w:sz w:val="16"/>
                <w:szCs w:val="16"/>
              </w:rPr>
              <w:lastRenderedPageBreak/>
              <w:t>bridging information gaps across the continent</w:t>
            </w:r>
          </w:p>
        </w:tc>
        <w:tc>
          <w:tcPr>
            <w:tcW w:w="1843" w:type="dxa"/>
            <w:shd w:val="clear" w:color="auto" w:fill="FFFFFF"/>
          </w:tcPr>
          <w:p w14:paraId="4DAF7C09"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lastRenderedPageBreak/>
              <w:t>Marketplace platform launched (Yes/No)</w:t>
            </w:r>
          </w:p>
          <w:p w14:paraId="603641A8"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Number of suppliers listed</w:t>
            </w:r>
          </w:p>
          <w:p w14:paraId="3D46B560" w14:textId="1C81A273"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lastRenderedPageBreak/>
              <w:t>Rating system established (Yes/No)</w:t>
            </w:r>
          </w:p>
        </w:tc>
      </w:tr>
      <w:tr w:rsidR="008C08DA" w:rsidRPr="00662906" w14:paraId="2A609C06" w14:textId="77777777" w:rsidTr="007E6C89">
        <w:trPr>
          <w:trHeight w:val="300"/>
        </w:trPr>
        <w:tc>
          <w:tcPr>
            <w:tcW w:w="167" w:type="dxa"/>
            <w:shd w:val="clear" w:color="auto" w:fill="FFFFFF"/>
            <w:tcMar>
              <w:left w:w="57" w:type="dxa"/>
              <w:right w:w="57" w:type="dxa"/>
            </w:tcMar>
          </w:tcPr>
          <w:p w14:paraId="5723494B" w14:textId="77777777" w:rsidR="008C08DA" w:rsidRPr="00662906" w:rsidRDefault="008C08DA"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8</w:t>
            </w:r>
          </w:p>
        </w:tc>
        <w:tc>
          <w:tcPr>
            <w:tcW w:w="1248" w:type="dxa"/>
            <w:shd w:val="clear" w:color="auto" w:fill="FFFFFF"/>
            <w:tcMar>
              <w:left w:w="57" w:type="dxa"/>
              <w:right w:w="57" w:type="dxa"/>
            </w:tcMar>
          </w:tcPr>
          <w:p w14:paraId="7FBFA96B" w14:textId="267DAE1E"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Public Awareness Campaigns on the Benefits of Renewables in Agriculture</w:t>
            </w:r>
          </w:p>
        </w:tc>
        <w:tc>
          <w:tcPr>
            <w:tcW w:w="3260" w:type="dxa"/>
            <w:tcBorders>
              <w:top w:val="single" w:sz="4" w:space="0" w:color="9F2241"/>
              <w:left w:val="nil"/>
              <w:bottom w:val="single" w:sz="4" w:space="0" w:color="9F2241"/>
              <w:right w:val="nil"/>
            </w:tcBorders>
            <w:tcMar>
              <w:left w:w="57" w:type="dxa"/>
              <w:right w:w="57" w:type="dxa"/>
            </w:tcMar>
          </w:tcPr>
          <w:p w14:paraId="55F77E1D" w14:textId="77A189B5" w:rsidR="008C08DA" w:rsidRPr="00662906" w:rsidRDefault="008C08DA" w:rsidP="007E6C89">
            <w:pPr>
              <w:pStyle w:val="ListParagraph"/>
              <w:numPr>
                <w:ilvl w:val="0"/>
                <w:numId w:val="151"/>
              </w:numPr>
              <w:spacing w:before="40" w:after="40"/>
              <w:ind w:left="367"/>
              <w:jc w:val="center"/>
              <w:rPr>
                <w:rFonts w:eastAsia="Arial" w:cs="Arial"/>
                <w:color w:val="394A58"/>
                <w:sz w:val="16"/>
                <w:szCs w:val="16"/>
              </w:rPr>
            </w:pPr>
            <w:r w:rsidRPr="00662906">
              <w:rPr>
                <w:rFonts w:eastAsia="Arial" w:cs="Arial"/>
                <w:color w:val="394A58"/>
                <w:sz w:val="16"/>
                <w:szCs w:val="16"/>
              </w:rPr>
              <w:t>Host workshops, seminars, and social media outreach spotlighting cost savings and environmental benefits</w:t>
            </w:r>
          </w:p>
          <w:p w14:paraId="12AE0D82" w14:textId="56158423" w:rsidR="008C08DA" w:rsidRPr="00662906" w:rsidRDefault="008C08DA" w:rsidP="007E6C89">
            <w:pPr>
              <w:pStyle w:val="ListParagraph"/>
              <w:numPr>
                <w:ilvl w:val="0"/>
                <w:numId w:val="151"/>
              </w:numPr>
              <w:spacing w:before="40" w:after="40"/>
              <w:ind w:left="367"/>
              <w:jc w:val="center"/>
              <w:rPr>
                <w:rFonts w:eastAsia="Arial" w:cs="Arial"/>
                <w:color w:val="394A58"/>
                <w:sz w:val="16"/>
                <w:szCs w:val="16"/>
              </w:rPr>
            </w:pPr>
            <w:r w:rsidRPr="00662906">
              <w:rPr>
                <w:rFonts w:eastAsia="Arial" w:cs="Arial"/>
                <w:color w:val="394A58"/>
                <w:sz w:val="16"/>
                <w:szCs w:val="16"/>
              </w:rPr>
              <w:t>Feature farmer success stories and demonstrate</w:t>
            </w:r>
            <w:r w:rsidR="00E87869" w:rsidRPr="00662906">
              <w:rPr>
                <w:rFonts w:eastAsia="Arial" w:cs="Arial"/>
                <w:color w:val="394A58"/>
                <w:sz w:val="16"/>
                <w:szCs w:val="16"/>
              </w:rPr>
              <w:t xml:space="preserve"> return on Investment (</w:t>
            </w:r>
            <w:r w:rsidRPr="00662906">
              <w:rPr>
                <w:rFonts w:eastAsia="Arial" w:cs="Arial"/>
                <w:color w:val="394A58"/>
                <w:sz w:val="16"/>
                <w:szCs w:val="16"/>
              </w:rPr>
              <w:t>ROI</w:t>
            </w:r>
            <w:r w:rsidR="00E87869" w:rsidRPr="00662906">
              <w:rPr>
                <w:rFonts w:eastAsia="Arial" w:cs="Arial"/>
                <w:color w:val="394A58"/>
                <w:sz w:val="16"/>
                <w:szCs w:val="16"/>
              </w:rPr>
              <w:t>)</w:t>
            </w:r>
            <w:r w:rsidRPr="00662906">
              <w:rPr>
                <w:rFonts w:eastAsia="Arial" w:cs="Arial"/>
                <w:color w:val="394A58"/>
                <w:sz w:val="16"/>
                <w:szCs w:val="16"/>
              </w:rPr>
              <w:t xml:space="preserve"> to potential adopters</w:t>
            </w:r>
          </w:p>
          <w:p w14:paraId="000E3C34" w14:textId="348FF579" w:rsidR="008C08DA" w:rsidRPr="00662906" w:rsidRDefault="008C08DA" w:rsidP="007E6C89">
            <w:pPr>
              <w:pStyle w:val="ListParagraph"/>
              <w:numPr>
                <w:ilvl w:val="0"/>
                <w:numId w:val="151"/>
              </w:numPr>
              <w:spacing w:before="40" w:after="40"/>
              <w:ind w:left="367"/>
              <w:jc w:val="center"/>
              <w:rPr>
                <w:rFonts w:eastAsia="Arial" w:cs="Arial"/>
                <w:color w:val="394A58"/>
                <w:sz w:val="16"/>
                <w:szCs w:val="16"/>
              </w:rPr>
            </w:pPr>
            <w:r w:rsidRPr="00662906">
              <w:rPr>
                <w:rFonts w:eastAsia="Arial" w:cs="Arial"/>
                <w:color w:val="394A58"/>
                <w:sz w:val="16"/>
                <w:szCs w:val="16"/>
              </w:rPr>
              <w:t>Engage local media to broadcast renewable energy testimonials</w:t>
            </w:r>
          </w:p>
        </w:tc>
        <w:tc>
          <w:tcPr>
            <w:tcW w:w="1276" w:type="dxa"/>
            <w:shd w:val="clear" w:color="auto" w:fill="FFFFFF"/>
            <w:tcMar>
              <w:left w:w="57" w:type="dxa"/>
              <w:right w:w="57" w:type="dxa"/>
            </w:tcMar>
          </w:tcPr>
          <w:p w14:paraId="3D283636" w14:textId="5B247BCB"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4AB48C9C" w14:textId="0B2D49B6"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0B831FBB" w14:textId="493A0E26"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Media Houses, Educational Institutions, NGOs</w:t>
            </w:r>
          </w:p>
        </w:tc>
        <w:tc>
          <w:tcPr>
            <w:tcW w:w="851" w:type="dxa"/>
            <w:shd w:val="clear" w:color="auto" w:fill="FFFFFF"/>
            <w:tcMar>
              <w:left w:w="57" w:type="dxa"/>
              <w:right w:w="57" w:type="dxa"/>
            </w:tcMar>
          </w:tcPr>
          <w:p w14:paraId="4065015B" w14:textId="72DEAF51"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6EF324E5" w14:textId="4460C6B2"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Campaign materials (videos, brochures, radio segments)</w:t>
            </w:r>
          </w:p>
          <w:p w14:paraId="00DB5A75" w14:textId="08316DDF"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Success story portfolio</w:t>
            </w:r>
          </w:p>
          <w:p w14:paraId="4D8FDF1C" w14:textId="17693FF9"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Audience outreach metrics</w:t>
            </w:r>
          </w:p>
        </w:tc>
        <w:tc>
          <w:tcPr>
            <w:tcW w:w="1701" w:type="dxa"/>
            <w:shd w:val="clear" w:color="auto" w:fill="FFFFFF"/>
          </w:tcPr>
          <w:p w14:paraId="236F05A6" w14:textId="3F054B66" w:rsidR="008C08DA" w:rsidRPr="00662906" w:rsidRDefault="008C08DA" w:rsidP="007E6C89">
            <w:pPr>
              <w:spacing w:before="40" w:after="40"/>
              <w:jc w:val="center"/>
              <w:rPr>
                <w:rFonts w:eastAsia="Arial" w:cs="Arial"/>
                <w:color w:val="53575A"/>
                <w:sz w:val="16"/>
                <w:szCs w:val="16"/>
              </w:rPr>
            </w:pPr>
            <w:r w:rsidRPr="00662906">
              <w:rPr>
                <w:rFonts w:cs="Arial"/>
                <w:sz w:val="16"/>
                <w:szCs w:val="16"/>
              </w:rPr>
              <w:t>Broadened acceptance of RE in agriculture, translating into higher demand for green solutions and an accelerated transition to sustainable practices</w:t>
            </w:r>
          </w:p>
        </w:tc>
        <w:tc>
          <w:tcPr>
            <w:tcW w:w="1843" w:type="dxa"/>
            <w:shd w:val="clear" w:color="auto" w:fill="FFFFFF"/>
          </w:tcPr>
          <w:p w14:paraId="5CC0FE0A"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Campaign materials produced (Yes/No)</w:t>
            </w:r>
          </w:p>
          <w:p w14:paraId="7A246002"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Coverage in local media (Yes/No)</w:t>
            </w:r>
          </w:p>
          <w:p w14:paraId="3248B550" w14:textId="245C0B25"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Increase in inquiries or adoption rates (Yes/No)</w:t>
            </w:r>
          </w:p>
        </w:tc>
      </w:tr>
      <w:tr w:rsidR="008C08DA" w:rsidRPr="00662906" w14:paraId="74122E62" w14:textId="77777777" w:rsidTr="007E6C89">
        <w:trPr>
          <w:trHeight w:val="300"/>
        </w:trPr>
        <w:tc>
          <w:tcPr>
            <w:tcW w:w="167" w:type="dxa"/>
            <w:shd w:val="clear" w:color="auto" w:fill="FFFFFF"/>
            <w:tcMar>
              <w:left w:w="57" w:type="dxa"/>
              <w:right w:w="57" w:type="dxa"/>
            </w:tcMar>
          </w:tcPr>
          <w:p w14:paraId="364C4F69" w14:textId="163530D2" w:rsidR="008C08DA" w:rsidRPr="00662906" w:rsidRDefault="008C08DA" w:rsidP="007E6C89">
            <w:pPr>
              <w:spacing w:before="40" w:after="40"/>
              <w:jc w:val="center"/>
              <w:rPr>
                <w:rFonts w:eastAsia="Arial" w:cs="Arial"/>
                <w:color w:val="53575A"/>
                <w:sz w:val="16"/>
                <w:szCs w:val="16"/>
              </w:rPr>
            </w:pPr>
            <w:r w:rsidRPr="00662906">
              <w:rPr>
                <w:rFonts w:eastAsia="Arial" w:cs="Arial"/>
                <w:color w:val="53575A"/>
                <w:sz w:val="16"/>
                <w:szCs w:val="16"/>
              </w:rPr>
              <w:t>9</w:t>
            </w:r>
          </w:p>
        </w:tc>
        <w:tc>
          <w:tcPr>
            <w:tcW w:w="1248" w:type="dxa"/>
            <w:shd w:val="clear" w:color="auto" w:fill="FFFFFF"/>
            <w:tcMar>
              <w:left w:w="57" w:type="dxa"/>
              <w:right w:w="57" w:type="dxa"/>
            </w:tcMar>
          </w:tcPr>
          <w:p w14:paraId="288F4E3B" w14:textId="3E8D8A2B" w:rsidR="008C08DA" w:rsidRPr="00662906" w:rsidRDefault="008C08DA" w:rsidP="007E6C89">
            <w:pPr>
              <w:spacing w:before="40" w:after="40"/>
              <w:jc w:val="center"/>
              <w:rPr>
                <w:rFonts w:cs="Arial"/>
                <w:sz w:val="16"/>
                <w:szCs w:val="16"/>
              </w:rPr>
            </w:pPr>
            <w:r w:rsidRPr="00662906">
              <w:rPr>
                <w:rFonts w:cs="Arial"/>
                <w:sz w:val="16"/>
                <w:szCs w:val="16"/>
              </w:rPr>
              <w:t>Regulatory Frameworks for On-farm Renewable Energy</w:t>
            </w:r>
          </w:p>
        </w:tc>
        <w:tc>
          <w:tcPr>
            <w:tcW w:w="3260" w:type="dxa"/>
            <w:tcBorders>
              <w:top w:val="single" w:sz="4" w:space="0" w:color="9F2241"/>
              <w:left w:val="nil"/>
              <w:bottom w:val="single" w:sz="4" w:space="0" w:color="9F2241"/>
              <w:right w:val="nil"/>
            </w:tcBorders>
            <w:tcMar>
              <w:left w:w="57" w:type="dxa"/>
              <w:right w:w="57" w:type="dxa"/>
            </w:tcMar>
          </w:tcPr>
          <w:p w14:paraId="6D61D929" w14:textId="2F02EAA7" w:rsidR="008C08DA" w:rsidRPr="00662906" w:rsidRDefault="008C08DA" w:rsidP="007E6C89">
            <w:pPr>
              <w:pStyle w:val="ListParagraph"/>
              <w:numPr>
                <w:ilvl w:val="0"/>
                <w:numId w:val="152"/>
              </w:numPr>
              <w:spacing w:before="40" w:after="40"/>
              <w:ind w:left="367"/>
              <w:jc w:val="center"/>
              <w:rPr>
                <w:rFonts w:eastAsia="Arial" w:cs="Arial"/>
                <w:color w:val="394A58"/>
                <w:sz w:val="16"/>
                <w:szCs w:val="16"/>
              </w:rPr>
            </w:pPr>
            <w:r w:rsidRPr="00662906">
              <w:rPr>
                <w:rFonts w:eastAsia="Arial" w:cs="Arial"/>
                <w:color w:val="394A58"/>
                <w:sz w:val="16"/>
                <w:szCs w:val="16"/>
              </w:rPr>
              <w:t>Draft model regulations covering small-to-large scale RE installations on farms</w:t>
            </w:r>
          </w:p>
          <w:p w14:paraId="5DD4F41A" w14:textId="17D39594" w:rsidR="008C08DA" w:rsidRPr="00662906" w:rsidRDefault="008C08DA" w:rsidP="007E6C89">
            <w:pPr>
              <w:pStyle w:val="ListParagraph"/>
              <w:numPr>
                <w:ilvl w:val="0"/>
                <w:numId w:val="152"/>
              </w:numPr>
              <w:spacing w:before="40" w:after="40"/>
              <w:ind w:left="367"/>
              <w:jc w:val="center"/>
              <w:rPr>
                <w:rFonts w:eastAsia="Arial" w:cs="Arial"/>
                <w:color w:val="394A58"/>
                <w:sz w:val="16"/>
                <w:szCs w:val="16"/>
              </w:rPr>
            </w:pPr>
            <w:r w:rsidRPr="00662906">
              <w:rPr>
                <w:rFonts w:eastAsia="Arial" w:cs="Arial"/>
                <w:color w:val="394A58"/>
                <w:sz w:val="16"/>
                <w:szCs w:val="16"/>
              </w:rPr>
              <w:t>Consult with energy companies, farmers, and regulators to refine policy</w:t>
            </w:r>
          </w:p>
          <w:p w14:paraId="1CB8F42B" w14:textId="1AC12C74" w:rsidR="008C08DA" w:rsidRPr="00662906" w:rsidRDefault="008C08DA" w:rsidP="007E6C89">
            <w:pPr>
              <w:pStyle w:val="ListParagraph"/>
              <w:numPr>
                <w:ilvl w:val="0"/>
                <w:numId w:val="152"/>
              </w:numPr>
              <w:spacing w:before="40" w:after="40"/>
              <w:ind w:left="367"/>
              <w:jc w:val="center"/>
              <w:rPr>
                <w:rFonts w:eastAsia="Arial" w:cs="Arial"/>
                <w:color w:val="394A58"/>
                <w:sz w:val="16"/>
                <w:szCs w:val="16"/>
              </w:rPr>
            </w:pPr>
            <w:r w:rsidRPr="00662906">
              <w:rPr>
                <w:rFonts w:eastAsia="Arial" w:cs="Arial"/>
                <w:color w:val="394A58"/>
                <w:sz w:val="16"/>
                <w:szCs w:val="16"/>
              </w:rPr>
              <w:t>Implement and enforce regulations through local authorities</w:t>
            </w:r>
          </w:p>
        </w:tc>
        <w:tc>
          <w:tcPr>
            <w:tcW w:w="1276" w:type="dxa"/>
            <w:shd w:val="clear" w:color="auto" w:fill="FFFFFF"/>
            <w:tcMar>
              <w:left w:w="57" w:type="dxa"/>
              <w:right w:w="57" w:type="dxa"/>
            </w:tcMar>
          </w:tcPr>
          <w:p w14:paraId="7E7BDB13" w14:textId="3CC895B2" w:rsidR="008C08DA" w:rsidRPr="00662906" w:rsidRDefault="008C08DA" w:rsidP="007E6C89">
            <w:pPr>
              <w:spacing w:before="40" w:after="40"/>
              <w:jc w:val="center"/>
              <w:rPr>
                <w:rFonts w:cs="Arial"/>
                <w:sz w:val="16"/>
                <w:szCs w:val="16"/>
              </w:rPr>
            </w:pPr>
            <w:r w:rsidRPr="00662906">
              <w:rPr>
                <w:rFonts w:cs="Arial"/>
                <w:sz w:val="16"/>
                <w:szCs w:val="16"/>
              </w:rPr>
              <w:t>National</w:t>
            </w:r>
          </w:p>
        </w:tc>
        <w:tc>
          <w:tcPr>
            <w:tcW w:w="1070" w:type="dxa"/>
            <w:shd w:val="clear" w:color="auto" w:fill="FFFFFF"/>
            <w:tcMar>
              <w:left w:w="57" w:type="dxa"/>
              <w:right w:w="57" w:type="dxa"/>
            </w:tcMar>
          </w:tcPr>
          <w:p w14:paraId="709076B7" w14:textId="74E0BD96" w:rsidR="008C08DA" w:rsidRPr="00662906" w:rsidRDefault="008C08DA" w:rsidP="007E6C89">
            <w:pPr>
              <w:spacing w:before="40" w:after="40"/>
              <w:jc w:val="center"/>
              <w:rPr>
                <w:rFonts w:cs="Arial"/>
                <w:sz w:val="16"/>
                <w:szCs w:val="16"/>
              </w:rPr>
            </w:pPr>
            <w:r w:rsidRPr="00662906">
              <w:rPr>
                <w:rFonts w:cs="Arial"/>
                <w:sz w:val="16"/>
                <w:szCs w:val="16"/>
              </w:rPr>
              <w:t>Ministries in charge of Agriculture</w:t>
            </w:r>
          </w:p>
        </w:tc>
        <w:tc>
          <w:tcPr>
            <w:tcW w:w="1198" w:type="dxa"/>
            <w:shd w:val="clear" w:color="auto" w:fill="FFFFFF"/>
            <w:tcMar>
              <w:left w:w="57" w:type="dxa"/>
              <w:right w:w="57" w:type="dxa"/>
            </w:tcMar>
          </w:tcPr>
          <w:p w14:paraId="11844484" w14:textId="77777777" w:rsidR="008C08DA" w:rsidRPr="00662906" w:rsidRDefault="008C08DA" w:rsidP="007E6C89">
            <w:pPr>
              <w:spacing w:before="40" w:after="40"/>
              <w:jc w:val="center"/>
              <w:rPr>
                <w:rFonts w:cs="Arial"/>
                <w:sz w:val="16"/>
                <w:szCs w:val="16"/>
              </w:rPr>
            </w:pPr>
            <w:r w:rsidRPr="00662906">
              <w:rPr>
                <w:rFonts w:cs="Arial"/>
                <w:sz w:val="16"/>
                <w:szCs w:val="16"/>
              </w:rPr>
              <w:t>Ministries in charge of energy</w:t>
            </w:r>
          </w:p>
          <w:p w14:paraId="71272C69" w14:textId="29512032" w:rsidR="008C08DA" w:rsidRPr="00662906" w:rsidRDefault="008C08DA" w:rsidP="007E6C89">
            <w:pPr>
              <w:spacing w:before="40" w:after="40"/>
              <w:jc w:val="center"/>
              <w:rPr>
                <w:rFonts w:cs="Arial"/>
                <w:sz w:val="16"/>
                <w:szCs w:val="16"/>
              </w:rPr>
            </w:pPr>
            <w:r w:rsidRPr="00662906">
              <w:rPr>
                <w:rFonts w:cs="Arial"/>
                <w:sz w:val="16"/>
                <w:szCs w:val="16"/>
              </w:rPr>
              <w:t>National energy regulators</w:t>
            </w:r>
          </w:p>
        </w:tc>
        <w:tc>
          <w:tcPr>
            <w:tcW w:w="851" w:type="dxa"/>
            <w:shd w:val="clear" w:color="auto" w:fill="FFFFFF"/>
            <w:tcMar>
              <w:left w:w="57" w:type="dxa"/>
              <w:right w:w="57" w:type="dxa"/>
            </w:tcMar>
          </w:tcPr>
          <w:p w14:paraId="06DFA193" w14:textId="75E4EFC1" w:rsidR="008C08DA" w:rsidRPr="00662906" w:rsidRDefault="008C08DA" w:rsidP="007E6C89">
            <w:pPr>
              <w:spacing w:before="40" w:after="40"/>
              <w:jc w:val="center"/>
              <w:rPr>
                <w:rFonts w:cs="Arial"/>
                <w:sz w:val="16"/>
                <w:szCs w:val="16"/>
              </w:rPr>
            </w:pPr>
            <w:r w:rsidRPr="00662906">
              <w:rPr>
                <w:rFonts w:cs="Arial"/>
                <w:sz w:val="16"/>
                <w:szCs w:val="16"/>
              </w:rPr>
              <w:t>Short Term</w:t>
            </w:r>
          </w:p>
        </w:tc>
        <w:tc>
          <w:tcPr>
            <w:tcW w:w="1842" w:type="dxa"/>
            <w:shd w:val="clear" w:color="auto" w:fill="FFFFFF"/>
          </w:tcPr>
          <w:p w14:paraId="7A6D60AE" w14:textId="0A7D291B"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legislation/regulatory guidelines</w:t>
            </w:r>
          </w:p>
          <w:p w14:paraId="5122DA3D" w14:textId="21A6B590"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consultation reports</w:t>
            </w:r>
          </w:p>
          <w:p w14:paraId="4C462765" w14:textId="611B530A" w:rsidR="008C08DA" w:rsidRPr="00662906" w:rsidRDefault="008C08DA"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Published regulations for on-farm RE</w:t>
            </w:r>
          </w:p>
        </w:tc>
        <w:tc>
          <w:tcPr>
            <w:tcW w:w="1701" w:type="dxa"/>
            <w:shd w:val="clear" w:color="auto" w:fill="FFFFFF"/>
          </w:tcPr>
          <w:p w14:paraId="3A6220DD" w14:textId="492A5C33" w:rsidR="008C08DA" w:rsidRPr="00662906" w:rsidRDefault="008C08DA" w:rsidP="007E6C89">
            <w:pPr>
              <w:spacing w:before="40" w:after="40"/>
              <w:jc w:val="center"/>
              <w:rPr>
                <w:rFonts w:cs="Arial"/>
                <w:sz w:val="16"/>
                <w:szCs w:val="16"/>
              </w:rPr>
            </w:pPr>
            <w:r w:rsidRPr="00662906">
              <w:rPr>
                <w:rFonts w:cs="Arial"/>
                <w:sz w:val="16"/>
                <w:szCs w:val="16"/>
              </w:rPr>
              <w:t>Supportive legal environment enabling farmers to install and operate RE systems with minimal bureaucratic barriers, promoting sector-wide innovation and cost efficiency</w:t>
            </w:r>
          </w:p>
        </w:tc>
        <w:tc>
          <w:tcPr>
            <w:tcW w:w="1843" w:type="dxa"/>
            <w:shd w:val="clear" w:color="auto" w:fill="FFFFFF"/>
          </w:tcPr>
          <w:p w14:paraId="16B3773C" w14:textId="77777777"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Regulations drafted (Yes/No)</w:t>
            </w:r>
          </w:p>
          <w:p w14:paraId="00291647" w14:textId="77777777" w:rsidR="001917D5"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Stakeholder consultations completed (Yes/No)</w:t>
            </w:r>
          </w:p>
          <w:p w14:paraId="61938996" w14:textId="5DD99B56" w:rsidR="008C08DA" w:rsidRPr="00662906" w:rsidRDefault="008C08DA"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Regulatory framework published (Yes/No)</w:t>
            </w:r>
          </w:p>
        </w:tc>
      </w:tr>
    </w:tbl>
    <w:p w14:paraId="2BE225EB" w14:textId="32C46BE0" w:rsidR="0041795F" w:rsidRPr="00662906" w:rsidRDefault="00D26121" w:rsidP="00D26121">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p>
    <w:p w14:paraId="6B39F44B" w14:textId="77777777" w:rsidR="00EA52FB" w:rsidRPr="00662906" w:rsidRDefault="00EA52FB" w:rsidP="001C34B9">
      <w:pPr>
        <w:pStyle w:val="Caption"/>
      </w:pPr>
      <w:bookmarkStart w:id="685" w:name="_Toc171955604"/>
      <w:bookmarkStart w:id="686" w:name="_Toc176430332"/>
    </w:p>
    <w:p w14:paraId="0FB34091" w14:textId="77777777" w:rsidR="00EA52FB" w:rsidRPr="00662906" w:rsidRDefault="00EA52FB" w:rsidP="001C34B9">
      <w:pPr>
        <w:pStyle w:val="Caption"/>
      </w:pPr>
    </w:p>
    <w:p w14:paraId="59ABFFF7" w14:textId="77777777" w:rsidR="00EA52FB" w:rsidRPr="00662906" w:rsidRDefault="00EA52FB" w:rsidP="001C34B9">
      <w:pPr>
        <w:pStyle w:val="Caption"/>
      </w:pPr>
    </w:p>
    <w:p w14:paraId="5E997C74" w14:textId="77777777" w:rsidR="00EA52FB" w:rsidRPr="00662906" w:rsidRDefault="00EA52FB" w:rsidP="001C34B9">
      <w:pPr>
        <w:pStyle w:val="Caption"/>
      </w:pPr>
    </w:p>
    <w:p w14:paraId="25E6F73E" w14:textId="77777777" w:rsidR="00EA52FB" w:rsidRPr="00662906" w:rsidRDefault="00EA52FB" w:rsidP="001C34B9">
      <w:pPr>
        <w:pStyle w:val="Caption"/>
      </w:pPr>
    </w:p>
    <w:p w14:paraId="69D562AF" w14:textId="77777777" w:rsidR="00EA52FB" w:rsidRPr="00662906" w:rsidRDefault="00EA52FB" w:rsidP="001C34B9">
      <w:pPr>
        <w:pStyle w:val="Caption"/>
      </w:pPr>
    </w:p>
    <w:p w14:paraId="6C433A72" w14:textId="77777777" w:rsidR="00EA52FB" w:rsidRPr="00662906" w:rsidRDefault="00EA52FB" w:rsidP="001C34B9">
      <w:pPr>
        <w:pStyle w:val="Caption"/>
      </w:pPr>
    </w:p>
    <w:p w14:paraId="35686266" w14:textId="77777777" w:rsidR="00EA52FB" w:rsidRPr="00662906" w:rsidRDefault="00EA52FB" w:rsidP="001C34B9">
      <w:pPr>
        <w:pStyle w:val="Caption"/>
      </w:pPr>
    </w:p>
    <w:p w14:paraId="0C7A50CD" w14:textId="77777777" w:rsidR="00EA52FB" w:rsidRPr="00662906" w:rsidRDefault="00EA52FB" w:rsidP="001C34B9">
      <w:pPr>
        <w:pStyle w:val="Caption"/>
      </w:pPr>
    </w:p>
    <w:p w14:paraId="73C34C13" w14:textId="7EF34D67" w:rsidR="00E41AAF" w:rsidRPr="00662906" w:rsidRDefault="07A1CB6B" w:rsidP="001C34B9">
      <w:pPr>
        <w:pStyle w:val="Caption"/>
      </w:pPr>
      <w:bookmarkStart w:id="687" w:name="_Toc197433919"/>
      <w:r w:rsidRPr="00662906">
        <w:lastRenderedPageBreak/>
        <w:t xml:space="preserve">Table </w:t>
      </w:r>
      <w:fldSimple w:instr=" SEQ Table \* ARABIC ">
        <w:r w:rsidR="00610F61">
          <w:rPr>
            <w:noProof/>
          </w:rPr>
          <w:t>31</w:t>
        </w:r>
      </w:fldSimple>
      <w:r w:rsidR="580CBDC9" w:rsidRPr="00662906">
        <w:t xml:space="preserve">: Strategic Intervention </w:t>
      </w:r>
      <w:r w:rsidR="00815D4D" w:rsidRPr="00662906">
        <w:t>3</w:t>
      </w:r>
      <w:r w:rsidR="580CBDC9" w:rsidRPr="00662906">
        <w:t>. Enhancement of Agricultural Extension Services</w:t>
      </w:r>
      <w:bookmarkEnd w:id="685"/>
      <w:bookmarkEnd w:id="686"/>
      <w:bookmarkEnd w:id="687"/>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CA4D7C" w:rsidRPr="00662906" w14:paraId="000F0DCD" w14:textId="77777777" w:rsidTr="007E6C89">
        <w:trPr>
          <w:trHeight w:val="360"/>
        </w:trPr>
        <w:tc>
          <w:tcPr>
            <w:tcW w:w="14456" w:type="dxa"/>
            <w:gridSpan w:val="10"/>
            <w:shd w:val="clear" w:color="auto" w:fill="B4A269"/>
            <w:vAlign w:val="center"/>
          </w:tcPr>
          <w:p w14:paraId="397CB3EB" w14:textId="687A507F"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00C450B3" w:rsidRPr="00662906">
              <w:rPr>
                <w:rFonts w:eastAsia="Arial" w:cs="Arial"/>
                <w:bCs/>
                <w:color w:val="FFFFFF"/>
                <w:sz w:val="16"/>
                <w:szCs w:val="16"/>
              </w:rPr>
              <w:t>The lack of robust agricultural extension services in many parts of Africa hampers the dissemination of modern farming techniques and technologies, widening the gap between agricultural research and farm-level practices. This intervention focuses on enhancing these services to bridge the knowledge gap, enabling farmers to adopt sustainable, efficient, and climate-resilient farming methods. By improving farmer education and access to technical support, the pathway aims to increase productivity, strengthen food security, and empower rural communities with the tools to drive agricultural transformation.</w:t>
            </w:r>
          </w:p>
        </w:tc>
      </w:tr>
      <w:tr w:rsidR="00477DEF" w:rsidRPr="00662906" w14:paraId="45231723" w14:textId="77777777" w:rsidTr="007E6C89">
        <w:trPr>
          <w:trHeight w:val="699"/>
        </w:trPr>
        <w:tc>
          <w:tcPr>
            <w:tcW w:w="1415" w:type="dxa"/>
            <w:gridSpan w:val="2"/>
            <w:shd w:val="clear" w:color="auto" w:fill="B4A269"/>
            <w:tcMar>
              <w:left w:w="57" w:type="dxa"/>
              <w:right w:w="57" w:type="dxa"/>
            </w:tcMar>
            <w:vAlign w:val="center"/>
          </w:tcPr>
          <w:p w14:paraId="5C911344"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449CEE79" w14:textId="77777777" w:rsidR="00CA4D7C" w:rsidRPr="00662906" w:rsidRDefault="00CA4D7C"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5375661B"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59DB04F4"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4259FB1A"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1102F4F5"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397C0CAF"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66FF5975"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6D17CD12" w14:textId="77777777" w:rsidR="00CA4D7C" w:rsidRPr="00662906" w:rsidRDefault="00CA4D7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F46853" w:rsidRPr="00662906" w14:paraId="499E8102" w14:textId="77777777" w:rsidTr="007E6C89">
        <w:trPr>
          <w:trHeight w:val="1413"/>
        </w:trPr>
        <w:tc>
          <w:tcPr>
            <w:tcW w:w="167" w:type="dxa"/>
            <w:shd w:val="clear" w:color="auto" w:fill="FFFFFF"/>
            <w:tcMar>
              <w:left w:w="57" w:type="dxa"/>
              <w:right w:w="57" w:type="dxa"/>
            </w:tcMar>
          </w:tcPr>
          <w:p w14:paraId="6E3B6D42" w14:textId="77777777" w:rsidR="00F46853" w:rsidRPr="00662906" w:rsidRDefault="00F46853"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78DB6B1E" w14:textId="4936136A"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Build Capacity of Extension Workers in Energy Applications in Agriculture</w:t>
            </w:r>
          </w:p>
        </w:tc>
        <w:tc>
          <w:tcPr>
            <w:tcW w:w="3260" w:type="dxa"/>
            <w:tcBorders>
              <w:bottom w:val="single" w:sz="2" w:space="0" w:color="9F2241"/>
            </w:tcBorders>
            <w:shd w:val="clear" w:color="auto" w:fill="FFFFFF"/>
            <w:tcMar>
              <w:left w:w="57" w:type="dxa"/>
              <w:right w:w="57" w:type="dxa"/>
            </w:tcMar>
          </w:tcPr>
          <w:p w14:paraId="78F0976F" w14:textId="3882FF0F" w:rsidR="00F46853" w:rsidRPr="00662906" w:rsidRDefault="00F46853" w:rsidP="007E6C89">
            <w:pPr>
              <w:pStyle w:val="ListParagraph"/>
              <w:numPr>
                <w:ilvl w:val="0"/>
                <w:numId w:val="153"/>
              </w:numPr>
              <w:spacing w:before="0" w:after="0"/>
              <w:ind w:left="368"/>
              <w:jc w:val="center"/>
              <w:rPr>
                <w:rFonts w:cs="Arial"/>
                <w:sz w:val="16"/>
                <w:szCs w:val="16"/>
              </w:rPr>
            </w:pPr>
            <w:r w:rsidRPr="00662906">
              <w:rPr>
                <w:rFonts w:cs="Arial"/>
                <w:sz w:val="16"/>
                <w:szCs w:val="16"/>
              </w:rPr>
              <w:t>Develop and deliver specialized training modules on energy-efficient and renewable energy technologies</w:t>
            </w:r>
          </w:p>
          <w:p w14:paraId="40EE6B78" w14:textId="147FB626" w:rsidR="00F46853" w:rsidRPr="00662906" w:rsidRDefault="00F46853" w:rsidP="007E6C89">
            <w:pPr>
              <w:pStyle w:val="ListParagraph"/>
              <w:numPr>
                <w:ilvl w:val="0"/>
                <w:numId w:val="153"/>
              </w:numPr>
              <w:spacing w:before="0" w:after="0"/>
              <w:ind w:left="368"/>
              <w:jc w:val="center"/>
              <w:rPr>
                <w:rFonts w:cs="Arial"/>
                <w:sz w:val="16"/>
                <w:szCs w:val="16"/>
              </w:rPr>
            </w:pPr>
            <w:r w:rsidRPr="00662906">
              <w:rPr>
                <w:rFonts w:cs="Arial"/>
                <w:sz w:val="16"/>
                <w:szCs w:val="16"/>
              </w:rPr>
              <w:t>Conduct in-person workshops for extension officers in multiple regions</w:t>
            </w:r>
          </w:p>
          <w:p w14:paraId="42E4D049" w14:textId="0B70982B" w:rsidR="00F46853" w:rsidRPr="00662906" w:rsidRDefault="00F46853" w:rsidP="007E6C89">
            <w:pPr>
              <w:pStyle w:val="ListParagraph"/>
              <w:numPr>
                <w:ilvl w:val="0"/>
                <w:numId w:val="153"/>
              </w:numPr>
              <w:spacing w:before="0" w:after="0"/>
              <w:ind w:left="368"/>
              <w:jc w:val="center"/>
              <w:rPr>
                <w:rFonts w:cs="Arial"/>
                <w:sz w:val="16"/>
                <w:szCs w:val="16"/>
              </w:rPr>
            </w:pPr>
            <w:r w:rsidRPr="00662906">
              <w:rPr>
                <w:rFonts w:cs="Arial"/>
                <w:sz w:val="16"/>
                <w:szCs w:val="16"/>
              </w:rPr>
              <w:t>Provide continuous refresher courses and mentorship programs</w:t>
            </w:r>
          </w:p>
        </w:tc>
        <w:tc>
          <w:tcPr>
            <w:tcW w:w="1276" w:type="dxa"/>
            <w:shd w:val="clear" w:color="auto" w:fill="FFFFFF"/>
            <w:tcMar>
              <w:left w:w="57" w:type="dxa"/>
              <w:right w:w="57" w:type="dxa"/>
            </w:tcMar>
          </w:tcPr>
          <w:p w14:paraId="5F174D9F" w14:textId="6B3C117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1C09A315" w14:textId="7A77E144"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Ministries of Agriculture</w:t>
            </w:r>
          </w:p>
        </w:tc>
        <w:tc>
          <w:tcPr>
            <w:tcW w:w="1198" w:type="dxa"/>
            <w:shd w:val="clear" w:color="auto" w:fill="FFFFFF"/>
            <w:tcMar>
              <w:left w:w="57" w:type="dxa"/>
              <w:right w:w="57" w:type="dxa"/>
            </w:tcMar>
          </w:tcPr>
          <w:p w14:paraId="38C219B2" w14:textId="6409ED74"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Agricultural Colleges, International NGOs</w:t>
            </w:r>
          </w:p>
        </w:tc>
        <w:tc>
          <w:tcPr>
            <w:tcW w:w="851" w:type="dxa"/>
            <w:shd w:val="clear" w:color="auto" w:fill="FFFFFF"/>
            <w:tcMar>
              <w:left w:w="57" w:type="dxa"/>
              <w:right w:w="57" w:type="dxa"/>
            </w:tcMar>
          </w:tcPr>
          <w:p w14:paraId="09609CEE" w14:textId="6BE76FC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2B836FA0" w14:textId="027B7F2A"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curricula and manuals</w:t>
            </w:r>
          </w:p>
          <w:p w14:paraId="6C5E0A6A" w14:textId="56CA19F1"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List of trained extension officers</w:t>
            </w:r>
          </w:p>
          <w:p w14:paraId="748A00F8" w14:textId="783B704D"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Refresher course schedules</w:t>
            </w:r>
          </w:p>
        </w:tc>
        <w:tc>
          <w:tcPr>
            <w:tcW w:w="1701" w:type="dxa"/>
            <w:shd w:val="clear" w:color="auto" w:fill="FFFFFF"/>
          </w:tcPr>
          <w:p w14:paraId="6D542606" w14:textId="4C5C51D6"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Extension workers equipped with up-to-date knowledge, enabling widespread adoption of energy-efficient and renewable energy practices in farming</w:t>
            </w:r>
          </w:p>
        </w:tc>
        <w:tc>
          <w:tcPr>
            <w:tcW w:w="1843" w:type="dxa"/>
            <w:shd w:val="clear" w:color="auto" w:fill="FFFFFF"/>
          </w:tcPr>
          <w:p w14:paraId="0C31E3AE"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Training modules produced (Yes/No)</w:t>
            </w:r>
          </w:p>
          <w:p w14:paraId="70F83957"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extension workers trained</w:t>
            </w:r>
          </w:p>
          <w:p w14:paraId="4713472E" w14:textId="7DBCA21B"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Mentorship program operational (Yes/No)</w:t>
            </w:r>
          </w:p>
        </w:tc>
      </w:tr>
      <w:tr w:rsidR="00F46853" w:rsidRPr="00662906" w14:paraId="047207D1" w14:textId="77777777" w:rsidTr="007E6C89">
        <w:trPr>
          <w:trHeight w:val="300"/>
        </w:trPr>
        <w:tc>
          <w:tcPr>
            <w:tcW w:w="167" w:type="dxa"/>
            <w:shd w:val="clear" w:color="auto" w:fill="FFFFFF"/>
            <w:tcMar>
              <w:left w:w="57" w:type="dxa"/>
              <w:right w:w="57" w:type="dxa"/>
            </w:tcMar>
          </w:tcPr>
          <w:p w14:paraId="60C806A3" w14:textId="77777777" w:rsidR="00F46853" w:rsidRPr="00662906" w:rsidRDefault="00F46853"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74B37E0B" w14:textId="3A939D6E"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Deploy Digital Tools for Extension Services</w:t>
            </w:r>
          </w:p>
        </w:tc>
        <w:tc>
          <w:tcPr>
            <w:tcW w:w="3260" w:type="dxa"/>
            <w:tcBorders>
              <w:bottom w:val="single" w:sz="4" w:space="0" w:color="9F2241"/>
            </w:tcBorders>
            <w:shd w:val="clear" w:color="auto" w:fill="FFFFFF"/>
            <w:tcMar>
              <w:left w:w="57" w:type="dxa"/>
              <w:right w:w="57" w:type="dxa"/>
            </w:tcMar>
          </w:tcPr>
          <w:p w14:paraId="3A05A31D" w14:textId="2252086C" w:rsidR="00F46853" w:rsidRPr="00662906" w:rsidRDefault="00F46853" w:rsidP="007E6C89">
            <w:pPr>
              <w:pStyle w:val="ListParagraph"/>
              <w:numPr>
                <w:ilvl w:val="0"/>
                <w:numId w:val="154"/>
              </w:numPr>
              <w:spacing w:before="40" w:after="40"/>
              <w:ind w:left="368"/>
              <w:jc w:val="center"/>
              <w:rPr>
                <w:rFonts w:eastAsia="Arial" w:cs="Arial"/>
                <w:color w:val="394A58"/>
                <w:sz w:val="16"/>
                <w:szCs w:val="16"/>
              </w:rPr>
            </w:pPr>
            <w:r w:rsidRPr="00662906">
              <w:rPr>
                <w:rFonts w:eastAsia="Arial" w:cs="Arial"/>
                <w:color w:val="394A58"/>
                <w:sz w:val="16"/>
                <w:szCs w:val="16"/>
              </w:rPr>
              <w:t>Design user-friendly mobile apps and online portals with real-time weather data, energy management tips, and best farming practices</w:t>
            </w:r>
          </w:p>
          <w:p w14:paraId="054F670E" w14:textId="4019E7DC" w:rsidR="00F46853" w:rsidRPr="00662906" w:rsidRDefault="00F46853" w:rsidP="007E6C89">
            <w:pPr>
              <w:pStyle w:val="ListParagraph"/>
              <w:numPr>
                <w:ilvl w:val="0"/>
                <w:numId w:val="154"/>
              </w:numPr>
              <w:spacing w:before="40" w:after="40"/>
              <w:ind w:left="368"/>
              <w:jc w:val="center"/>
              <w:rPr>
                <w:rFonts w:eastAsia="Arial" w:cs="Arial"/>
                <w:color w:val="394A58"/>
                <w:sz w:val="16"/>
                <w:szCs w:val="16"/>
              </w:rPr>
            </w:pPr>
            <w:r w:rsidRPr="00662906">
              <w:rPr>
                <w:rFonts w:eastAsia="Arial" w:cs="Arial"/>
                <w:color w:val="394A58"/>
                <w:sz w:val="16"/>
                <w:szCs w:val="16"/>
              </w:rPr>
              <w:t>Conduct pilot testing in selected regions to refine the tools</w:t>
            </w:r>
          </w:p>
          <w:p w14:paraId="7F76CCF1" w14:textId="5CE25879" w:rsidR="00F46853" w:rsidRPr="00662906" w:rsidRDefault="00F46853" w:rsidP="007E6C89">
            <w:pPr>
              <w:pStyle w:val="ListParagraph"/>
              <w:numPr>
                <w:ilvl w:val="0"/>
                <w:numId w:val="154"/>
              </w:numPr>
              <w:spacing w:before="40" w:after="40"/>
              <w:ind w:left="368"/>
              <w:jc w:val="center"/>
              <w:rPr>
                <w:rFonts w:eastAsia="Arial" w:cs="Arial"/>
                <w:color w:val="394A58"/>
                <w:sz w:val="16"/>
                <w:szCs w:val="16"/>
              </w:rPr>
            </w:pPr>
            <w:r w:rsidRPr="00662906">
              <w:rPr>
                <w:rFonts w:eastAsia="Arial" w:cs="Arial"/>
                <w:color w:val="394A58"/>
                <w:sz w:val="16"/>
                <w:szCs w:val="16"/>
              </w:rPr>
              <w:t>Train extension workers to guide farmers on effectively using digital platforms</w:t>
            </w:r>
          </w:p>
        </w:tc>
        <w:tc>
          <w:tcPr>
            <w:tcW w:w="1276" w:type="dxa"/>
            <w:shd w:val="clear" w:color="auto" w:fill="FFFFFF"/>
            <w:tcMar>
              <w:left w:w="57" w:type="dxa"/>
              <w:right w:w="57" w:type="dxa"/>
            </w:tcMar>
          </w:tcPr>
          <w:p w14:paraId="0BA14931" w14:textId="28B9048F"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45819838" w14:textId="4BF98A6E"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 ICT Agencies</w:t>
            </w:r>
          </w:p>
        </w:tc>
        <w:tc>
          <w:tcPr>
            <w:tcW w:w="1198" w:type="dxa"/>
            <w:shd w:val="clear" w:color="auto" w:fill="FFFFFF"/>
            <w:tcMar>
              <w:left w:w="57" w:type="dxa"/>
              <w:right w:w="57" w:type="dxa"/>
            </w:tcMar>
          </w:tcPr>
          <w:p w14:paraId="17B977C2" w14:textId="177C1517"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Technology Companies, Universities</w:t>
            </w:r>
          </w:p>
        </w:tc>
        <w:tc>
          <w:tcPr>
            <w:tcW w:w="851" w:type="dxa"/>
            <w:shd w:val="clear" w:color="auto" w:fill="FFFFFF"/>
            <w:tcMar>
              <w:left w:w="57" w:type="dxa"/>
              <w:right w:w="57" w:type="dxa"/>
            </w:tcMar>
          </w:tcPr>
          <w:p w14:paraId="41341808" w14:textId="352EDAB8"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6C848B80" w14:textId="38B72397"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Functional mobile apps/online portals</w:t>
            </w:r>
          </w:p>
          <w:p w14:paraId="33E89414" w14:textId="5B04BB47"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test reports</w:t>
            </w:r>
          </w:p>
          <w:p w14:paraId="6DDC5ED1" w14:textId="105F8A93"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extension workers on digital tool usage</w:t>
            </w:r>
          </w:p>
        </w:tc>
        <w:tc>
          <w:tcPr>
            <w:tcW w:w="1701" w:type="dxa"/>
            <w:shd w:val="clear" w:color="auto" w:fill="FFFFFF"/>
          </w:tcPr>
          <w:p w14:paraId="3A2E5F8D" w14:textId="0CBC5750"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Increased access to timely, data-driven advice for farmers, improving on-farm energy use and overall productivity</w:t>
            </w:r>
          </w:p>
        </w:tc>
        <w:tc>
          <w:tcPr>
            <w:tcW w:w="1843" w:type="dxa"/>
            <w:shd w:val="clear" w:color="auto" w:fill="FFFFFF"/>
          </w:tcPr>
          <w:p w14:paraId="48A3EE67"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Digital tools developed (Yes/No)</w:t>
            </w:r>
          </w:p>
          <w:p w14:paraId="7C88072E" w14:textId="77777777" w:rsidR="001917D5" w:rsidRPr="00662906" w:rsidRDefault="00F46853" w:rsidP="007E6C89">
            <w:pPr>
              <w:pStyle w:val="ListParagraph"/>
              <w:numPr>
                <w:ilvl w:val="0"/>
                <w:numId w:val="63"/>
              </w:numPr>
              <w:spacing w:before="40" w:after="40"/>
              <w:ind w:left="321"/>
              <w:jc w:val="center"/>
            </w:pPr>
            <w:r w:rsidRPr="00662906">
              <w:rPr>
                <w:rFonts w:eastAsia="Arial" w:cs="Arial"/>
                <w:color w:val="53575A"/>
                <w:sz w:val="16"/>
                <w:szCs w:val="16"/>
              </w:rPr>
              <w:t>Number of pilot tests conducted</w:t>
            </w:r>
          </w:p>
          <w:p w14:paraId="0AA203A2" w14:textId="1B252EFB" w:rsidR="00F46853" w:rsidRPr="00662906" w:rsidRDefault="00F46853" w:rsidP="007E6C89">
            <w:pPr>
              <w:pStyle w:val="ListParagraph"/>
              <w:numPr>
                <w:ilvl w:val="0"/>
                <w:numId w:val="63"/>
              </w:numPr>
              <w:spacing w:before="40" w:after="40"/>
              <w:ind w:left="321"/>
              <w:jc w:val="center"/>
            </w:pPr>
            <w:r w:rsidRPr="00662906">
              <w:rPr>
                <w:rFonts w:eastAsia="Arial" w:cs="Arial"/>
                <w:color w:val="53575A"/>
                <w:sz w:val="16"/>
                <w:szCs w:val="16"/>
              </w:rPr>
              <w:t>Farmers adopting digital platforms (Yes/No)</w:t>
            </w:r>
          </w:p>
        </w:tc>
      </w:tr>
      <w:tr w:rsidR="00F46853" w:rsidRPr="00662906" w14:paraId="51A482D1" w14:textId="77777777" w:rsidTr="007E6C89">
        <w:trPr>
          <w:trHeight w:val="300"/>
        </w:trPr>
        <w:tc>
          <w:tcPr>
            <w:tcW w:w="167" w:type="dxa"/>
            <w:shd w:val="clear" w:color="auto" w:fill="FFFFFF"/>
            <w:tcMar>
              <w:left w:w="57" w:type="dxa"/>
              <w:right w:w="57" w:type="dxa"/>
            </w:tcMar>
          </w:tcPr>
          <w:p w14:paraId="25A2859D" w14:textId="77777777" w:rsidR="00F46853" w:rsidRPr="00662906" w:rsidRDefault="00F46853"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66ECA3B6" w14:textId="4C0B4938"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Establish Continental Extension Service Network</w:t>
            </w:r>
          </w:p>
        </w:tc>
        <w:tc>
          <w:tcPr>
            <w:tcW w:w="3260" w:type="dxa"/>
            <w:tcBorders>
              <w:top w:val="single" w:sz="4" w:space="0" w:color="9F2241"/>
              <w:left w:val="nil"/>
              <w:bottom w:val="single" w:sz="4" w:space="0" w:color="9F2241"/>
              <w:right w:val="nil"/>
            </w:tcBorders>
            <w:tcMar>
              <w:left w:w="57" w:type="dxa"/>
              <w:right w:w="57" w:type="dxa"/>
            </w:tcMar>
          </w:tcPr>
          <w:p w14:paraId="4D23BBB5" w14:textId="3CE0A77B" w:rsidR="00F46853" w:rsidRPr="00662906" w:rsidRDefault="00F46853" w:rsidP="007E6C89">
            <w:pPr>
              <w:pStyle w:val="ListParagraph"/>
              <w:numPr>
                <w:ilvl w:val="0"/>
                <w:numId w:val="155"/>
              </w:numPr>
              <w:spacing w:before="40" w:after="40"/>
              <w:ind w:left="368"/>
              <w:jc w:val="center"/>
              <w:rPr>
                <w:rFonts w:eastAsia="Arial" w:cs="Arial"/>
                <w:color w:val="394A58"/>
                <w:sz w:val="16"/>
                <w:szCs w:val="16"/>
              </w:rPr>
            </w:pPr>
            <w:r w:rsidRPr="00662906">
              <w:rPr>
                <w:rFonts w:eastAsia="Arial" w:cs="Arial"/>
                <w:color w:val="394A58"/>
                <w:sz w:val="16"/>
                <w:szCs w:val="16"/>
              </w:rPr>
              <w:t>Create an online repository of best practices, case studies, and policy guidelines</w:t>
            </w:r>
          </w:p>
          <w:p w14:paraId="6EE4DB7A" w14:textId="1185FB3E" w:rsidR="00F46853" w:rsidRPr="00662906" w:rsidRDefault="00F46853" w:rsidP="007E6C89">
            <w:pPr>
              <w:pStyle w:val="ListParagraph"/>
              <w:numPr>
                <w:ilvl w:val="0"/>
                <w:numId w:val="155"/>
              </w:numPr>
              <w:spacing w:before="40" w:after="40"/>
              <w:ind w:left="368"/>
              <w:jc w:val="center"/>
              <w:rPr>
                <w:rFonts w:eastAsia="Arial" w:cs="Arial"/>
                <w:color w:val="394A58"/>
                <w:sz w:val="16"/>
                <w:szCs w:val="16"/>
              </w:rPr>
            </w:pPr>
            <w:r w:rsidRPr="00662906">
              <w:rPr>
                <w:rFonts w:eastAsia="Arial" w:cs="Arial"/>
                <w:color w:val="394A58"/>
                <w:sz w:val="16"/>
                <w:szCs w:val="16"/>
              </w:rPr>
              <w:t>Facilitate regular virtual meetings and conferences among extension officers in different regions</w:t>
            </w:r>
          </w:p>
          <w:p w14:paraId="700C7EA6" w14:textId="7FEA76CC" w:rsidR="00F46853" w:rsidRPr="00662906" w:rsidRDefault="00F46853" w:rsidP="007E6C89">
            <w:pPr>
              <w:pStyle w:val="ListParagraph"/>
              <w:numPr>
                <w:ilvl w:val="0"/>
                <w:numId w:val="155"/>
              </w:numPr>
              <w:spacing w:before="40" w:after="40"/>
              <w:ind w:left="368"/>
              <w:jc w:val="center"/>
              <w:rPr>
                <w:rFonts w:eastAsia="Arial" w:cs="Arial"/>
                <w:color w:val="394A58"/>
                <w:sz w:val="16"/>
                <w:szCs w:val="16"/>
              </w:rPr>
            </w:pPr>
            <w:r w:rsidRPr="00662906">
              <w:rPr>
                <w:rFonts w:eastAsia="Arial" w:cs="Arial"/>
                <w:color w:val="394A58"/>
                <w:sz w:val="16"/>
                <w:szCs w:val="16"/>
              </w:rPr>
              <w:t>Collect and share region-specific success stories and challenges</w:t>
            </w:r>
          </w:p>
        </w:tc>
        <w:tc>
          <w:tcPr>
            <w:tcW w:w="1276" w:type="dxa"/>
            <w:shd w:val="clear" w:color="auto" w:fill="FFFFFF"/>
            <w:tcMar>
              <w:left w:w="57" w:type="dxa"/>
              <w:right w:w="57" w:type="dxa"/>
            </w:tcMar>
          </w:tcPr>
          <w:p w14:paraId="2A63A5D6" w14:textId="618985E1"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4BDDBC36" w14:textId="73E1FC0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African Union</w:t>
            </w:r>
          </w:p>
        </w:tc>
        <w:tc>
          <w:tcPr>
            <w:tcW w:w="1198" w:type="dxa"/>
            <w:shd w:val="clear" w:color="auto" w:fill="FFFFFF"/>
            <w:tcMar>
              <w:left w:w="57" w:type="dxa"/>
              <w:right w:w="57" w:type="dxa"/>
            </w:tcMar>
          </w:tcPr>
          <w:p w14:paraId="148A49AC" w14:textId="357DC1F3" w:rsidR="00F46853" w:rsidRPr="00662906" w:rsidRDefault="00E87869" w:rsidP="007E6C89">
            <w:pPr>
              <w:spacing w:before="40" w:after="40"/>
              <w:jc w:val="center"/>
              <w:rPr>
                <w:rFonts w:eastAsia="Arial" w:cs="Arial"/>
                <w:color w:val="53575A"/>
                <w:sz w:val="16"/>
                <w:szCs w:val="16"/>
              </w:rPr>
            </w:pPr>
            <w:r w:rsidRPr="00662906">
              <w:rPr>
                <w:rFonts w:cs="Arial"/>
                <w:sz w:val="16"/>
                <w:szCs w:val="16"/>
              </w:rPr>
              <w:t>Food and Agriculture Organization (</w:t>
            </w:r>
            <w:r w:rsidR="00F46853" w:rsidRPr="00662906">
              <w:rPr>
                <w:rFonts w:cs="Arial"/>
                <w:sz w:val="16"/>
                <w:szCs w:val="16"/>
              </w:rPr>
              <w:t>FAO</w:t>
            </w:r>
            <w:r w:rsidRPr="00662906">
              <w:rPr>
                <w:rFonts w:cs="Arial"/>
                <w:sz w:val="16"/>
                <w:szCs w:val="16"/>
              </w:rPr>
              <w:t>)</w:t>
            </w:r>
            <w:r w:rsidR="00F46853" w:rsidRPr="00662906">
              <w:rPr>
                <w:rFonts w:cs="Arial"/>
                <w:sz w:val="16"/>
                <w:szCs w:val="16"/>
              </w:rPr>
              <w:t xml:space="preserve">, </w:t>
            </w:r>
            <w:r w:rsidRPr="00662906">
              <w:rPr>
                <w:rFonts w:cs="Arial"/>
                <w:sz w:val="16"/>
                <w:szCs w:val="16"/>
              </w:rPr>
              <w:t>International Fund for Agricultural Development (</w:t>
            </w:r>
            <w:r w:rsidR="00F46853" w:rsidRPr="00662906">
              <w:rPr>
                <w:rFonts w:cs="Arial"/>
                <w:sz w:val="16"/>
                <w:szCs w:val="16"/>
              </w:rPr>
              <w:t>IFAD</w:t>
            </w:r>
            <w:r w:rsidRPr="00662906">
              <w:rPr>
                <w:rFonts w:cs="Arial"/>
                <w:sz w:val="16"/>
                <w:szCs w:val="16"/>
              </w:rPr>
              <w:t>)</w:t>
            </w:r>
            <w:r w:rsidR="00F46853" w:rsidRPr="00662906">
              <w:rPr>
                <w:rFonts w:cs="Arial"/>
                <w:sz w:val="16"/>
                <w:szCs w:val="16"/>
              </w:rPr>
              <w:t>, NGOs</w:t>
            </w:r>
          </w:p>
        </w:tc>
        <w:tc>
          <w:tcPr>
            <w:tcW w:w="851" w:type="dxa"/>
            <w:shd w:val="clear" w:color="auto" w:fill="FFFFFF"/>
            <w:tcMar>
              <w:left w:w="57" w:type="dxa"/>
              <w:right w:w="57" w:type="dxa"/>
            </w:tcMar>
          </w:tcPr>
          <w:p w14:paraId="18390E19" w14:textId="7C675A0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7DB0114E" w14:textId="2793E040"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Online knowledge hub</w:t>
            </w:r>
          </w:p>
          <w:p w14:paraId="6694CF4D" w14:textId="53D7AE0E"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Regular virtual conferences</w:t>
            </w:r>
          </w:p>
          <w:p w14:paraId="1D73AF5E" w14:textId="703CD83A"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Database of success stories and challenges</w:t>
            </w:r>
          </w:p>
        </w:tc>
        <w:tc>
          <w:tcPr>
            <w:tcW w:w="1701" w:type="dxa"/>
            <w:shd w:val="clear" w:color="auto" w:fill="FFFFFF"/>
          </w:tcPr>
          <w:p w14:paraId="7A1B6038" w14:textId="306E4000"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Stronger collaboration among extension services across Africa, leading to standardized approaches and faster diffusion of innovations</w:t>
            </w:r>
          </w:p>
        </w:tc>
        <w:tc>
          <w:tcPr>
            <w:tcW w:w="1843" w:type="dxa"/>
            <w:shd w:val="clear" w:color="auto" w:fill="FFFFFF"/>
          </w:tcPr>
          <w:p w14:paraId="5338D5AD"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Knowledge hub launched (Yes/No)</w:t>
            </w:r>
          </w:p>
          <w:p w14:paraId="466A36AC"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virtual conferences held</w:t>
            </w:r>
          </w:p>
          <w:p w14:paraId="0F47D434" w14:textId="73C042BE"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Documented success stories (Yes/No)</w:t>
            </w:r>
          </w:p>
        </w:tc>
      </w:tr>
      <w:tr w:rsidR="00F46853" w:rsidRPr="00662906" w14:paraId="7718E03D" w14:textId="77777777" w:rsidTr="007E6C89">
        <w:trPr>
          <w:trHeight w:val="300"/>
        </w:trPr>
        <w:tc>
          <w:tcPr>
            <w:tcW w:w="167" w:type="dxa"/>
            <w:shd w:val="clear" w:color="auto" w:fill="FFFFFF"/>
            <w:tcMar>
              <w:left w:w="57" w:type="dxa"/>
              <w:right w:w="57" w:type="dxa"/>
            </w:tcMar>
          </w:tcPr>
          <w:p w14:paraId="2F3B610C" w14:textId="77777777" w:rsidR="00F46853" w:rsidRPr="00662906" w:rsidRDefault="00F46853"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1406CA07" w14:textId="6804D563"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Implement Mobile Extension Services</w:t>
            </w:r>
          </w:p>
        </w:tc>
        <w:tc>
          <w:tcPr>
            <w:tcW w:w="3260" w:type="dxa"/>
            <w:tcBorders>
              <w:top w:val="single" w:sz="4" w:space="0" w:color="9F2241"/>
              <w:left w:val="nil"/>
              <w:bottom w:val="single" w:sz="4" w:space="0" w:color="9F2241"/>
              <w:right w:val="nil"/>
            </w:tcBorders>
            <w:tcMar>
              <w:left w:w="57" w:type="dxa"/>
              <w:right w:w="57" w:type="dxa"/>
            </w:tcMar>
          </w:tcPr>
          <w:p w14:paraId="44DFB6DA" w14:textId="5C044008" w:rsidR="00F46853" w:rsidRPr="00662906" w:rsidRDefault="00F46853" w:rsidP="007E6C89">
            <w:pPr>
              <w:pStyle w:val="ListParagraph"/>
              <w:numPr>
                <w:ilvl w:val="0"/>
                <w:numId w:val="156"/>
              </w:numPr>
              <w:spacing w:before="40" w:after="40"/>
              <w:ind w:left="368"/>
              <w:jc w:val="center"/>
              <w:rPr>
                <w:rFonts w:eastAsia="Arial" w:cs="Arial"/>
                <w:color w:val="394A58"/>
                <w:sz w:val="16"/>
                <w:szCs w:val="16"/>
              </w:rPr>
            </w:pPr>
            <w:r w:rsidRPr="00662906">
              <w:rPr>
                <w:rFonts w:eastAsia="Arial" w:cs="Arial"/>
                <w:color w:val="394A58"/>
                <w:sz w:val="16"/>
                <w:szCs w:val="16"/>
              </w:rPr>
              <w:t>Equip mobile units with demonstration materials on efficient irrigation, solar pumping, and sustainable land management</w:t>
            </w:r>
          </w:p>
          <w:p w14:paraId="5576AE1F" w14:textId="2A1949D3" w:rsidR="00F46853" w:rsidRPr="00662906" w:rsidRDefault="00F46853" w:rsidP="007E6C89">
            <w:pPr>
              <w:pStyle w:val="ListParagraph"/>
              <w:numPr>
                <w:ilvl w:val="0"/>
                <w:numId w:val="156"/>
              </w:numPr>
              <w:spacing w:before="40" w:after="40"/>
              <w:ind w:left="368"/>
              <w:jc w:val="center"/>
              <w:rPr>
                <w:rFonts w:eastAsia="Arial" w:cs="Arial"/>
                <w:color w:val="394A58"/>
                <w:sz w:val="16"/>
                <w:szCs w:val="16"/>
              </w:rPr>
            </w:pPr>
            <w:r w:rsidRPr="00662906">
              <w:rPr>
                <w:rFonts w:eastAsia="Arial" w:cs="Arial"/>
                <w:color w:val="394A58"/>
                <w:sz w:val="16"/>
                <w:szCs w:val="16"/>
              </w:rPr>
              <w:lastRenderedPageBreak/>
              <w:t>Coordinate schedules with local governments to cover remote communities</w:t>
            </w:r>
          </w:p>
          <w:p w14:paraId="6EAF3F77" w14:textId="682BA250" w:rsidR="00F46853" w:rsidRPr="00662906" w:rsidRDefault="00F46853" w:rsidP="007E6C89">
            <w:pPr>
              <w:pStyle w:val="ListParagraph"/>
              <w:numPr>
                <w:ilvl w:val="0"/>
                <w:numId w:val="156"/>
              </w:numPr>
              <w:spacing w:before="40" w:after="40"/>
              <w:ind w:left="368"/>
              <w:jc w:val="center"/>
              <w:rPr>
                <w:rFonts w:eastAsia="Arial" w:cs="Arial"/>
                <w:color w:val="394A58"/>
                <w:sz w:val="16"/>
                <w:szCs w:val="16"/>
              </w:rPr>
            </w:pPr>
            <w:r w:rsidRPr="00662906">
              <w:rPr>
                <w:rFonts w:eastAsia="Arial" w:cs="Arial"/>
                <w:color w:val="394A58"/>
                <w:sz w:val="16"/>
                <w:szCs w:val="16"/>
              </w:rPr>
              <w:t>Gather feedback from farmers to continuously improve service delivery</w:t>
            </w:r>
          </w:p>
        </w:tc>
        <w:tc>
          <w:tcPr>
            <w:tcW w:w="1276" w:type="dxa"/>
            <w:shd w:val="clear" w:color="auto" w:fill="FFFFFF"/>
            <w:tcMar>
              <w:left w:w="57" w:type="dxa"/>
              <w:right w:w="57" w:type="dxa"/>
            </w:tcMar>
          </w:tcPr>
          <w:p w14:paraId="5422A45A" w14:textId="23F68D2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lastRenderedPageBreak/>
              <w:t>National</w:t>
            </w:r>
          </w:p>
        </w:tc>
        <w:tc>
          <w:tcPr>
            <w:tcW w:w="1070" w:type="dxa"/>
            <w:shd w:val="clear" w:color="auto" w:fill="FFFFFF"/>
            <w:tcMar>
              <w:left w:w="57" w:type="dxa"/>
              <w:right w:w="57" w:type="dxa"/>
            </w:tcMar>
          </w:tcPr>
          <w:p w14:paraId="5007EEBB" w14:textId="4492B2EA"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Ministries of Agriculture</w:t>
            </w:r>
          </w:p>
        </w:tc>
        <w:tc>
          <w:tcPr>
            <w:tcW w:w="1198" w:type="dxa"/>
            <w:shd w:val="clear" w:color="auto" w:fill="FFFFFF"/>
            <w:tcMar>
              <w:left w:w="57" w:type="dxa"/>
              <w:right w:w="57" w:type="dxa"/>
            </w:tcMar>
          </w:tcPr>
          <w:p w14:paraId="5B5E5433" w14:textId="4AE6A45B"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Mobile Network Operators, Local Governments</w:t>
            </w:r>
          </w:p>
        </w:tc>
        <w:tc>
          <w:tcPr>
            <w:tcW w:w="851" w:type="dxa"/>
            <w:shd w:val="clear" w:color="auto" w:fill="FFFFFF"/>
            <w:tcMar>
              <w:left w:w="57" w:type="dxa"/>
              <w:right w:w="57" w:type="dxa"/>
            </w:tcMar>
          </w:tcPr>
          <w:p w14:paraId="4CD10151" w14:textId="0D3C1FB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C718F97" w14:textId="0A98138B"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Mobile unit operational plans</w:t>
            </w:r>
          </w:p>
          <w:p w14:paraId="6B9E58A3" w14:textId="028542BD"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materials and manuals</w:t>
            </w:r>
          </w:p>
          <w:p w14:paraId="4D695499" w14:textId="291B584D"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Farmer feedback reports</w:t>
            </w:r>
          </w:p>
        </w:tc>
        <w:tc>
          <w:tcPr>
            <w:tcW w:w="1701" w:type="dxa"/>
            <w:shd w:val="clear" w:color="auto" w:fill="FFFFFF"/>
          </w:tcPr>
          <w:p w14:paraId="5CDF4846" w14:textId="2CD3BF3C" w:rsidR="00F46853" w:rsidRPr="00662906" w:rsidRDefault="00F46853" w:rsidP="007E6C89">
            <w:pPr>
              <w:spacing w:before="40" w:after="40"/>
              <w:jc w:val="center"/>
              <w:rPr>
                <w:rFonts w:eastAsia="Arial" w:cs="Arial"/>
                <w:color w:val="53575A"/>
                <w:sz w:val="16"/>
                <w:szCs w:val="16"/>
              </w:rPr>
            </w:pPr>
            <w:r w:rsidRPr="00662906">
              <w:rPr>
                <w:rFonts w:cs="Arial"/>
                <w:sz w:val="16"/>
                <w:szCs w:val="16"/>
              </w:rPr>
              <w:lastRenderedPageBreak/>
              <w:t xml:space="preserve">Expanded outreach to remote areas, enhancing farmers practical skills and adoption of modern </w:t>
            </w:r>
            <w:r w:rsidRPr="00662906">
              <w:rPr>
                <w:rFonts w:cs="Arial"/>
                <w:sz w:val="16"/>
                <w:szCs w:val="16"/>
              </w:rPr>
              <w:lastRenderedPageBreak/>
              <w:t>energy-efficient farming techniques</w:t>
            </w:r>
          </w:p>
        </w:tc>
        <w:tc>
          <w:tcPr>
            <w:tcW w:w="1843" w:type="dxa"/>
            <w:shd w:val="clear" w:color="auto" w:fill="FFFFFF"/>
          </w:tcPr>
          <w:p w14:paraId="2EF02AAB"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Number of mobile units deployed</w:t>
            </w:r>
          </w:p>
          <w:p w14:paraId="6127A309" w14:textId="77777777" w:rsidR="001917D5"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Demonstrations conducted (Yes/No)</w:t>
            </w:r>
          </w:p>
          <w:p w14:paraId="48F4EC45" w14:textId="21B96A16"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Positive farmer feedback (Yes/No)</w:t>
            </w:r>
          </w:p>
        </w:tc>
      </w:tr>
      <w:tr w:rsidR="00F46853" w:rsidRPr="00662906" w14:paraId="44F8140C" w14:textId="77777777" w:rsidTr="007E6C89">
        <w:trPr>
          <w:trHeight w:val="300"/>
        </w:trPr>
        <w:tc>
          <w:tcPr>
            <w:tcW w:w="167" w:type="dxa"/>
            <w:shd w:val="clear" w:color="auto" w:fill="FFFFFF"/>
            <w:tcMar>
              <w:left w:w="57" w:type="dxa"/>
              <w:right w:w="57" w:type="dxa"/>
            </w:tcMar>
          </w:tcPr>
          <w:p w14:paraId="105F87D0" w14:textId="77777777" w:rsidR="00F46853" w:rsidRPr="00662906" w:rsidRDefault="00F46853"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5</w:t>
            </w:r>
          </w:p>
        </w:tc>
        <w:tc>
          <w:tcPr>
            <w:tcW w:w="1248" w:type="dxa"/>
            <w:shd w:val="clear" w:color="auto" w:fill="FFFFFF"/>
            <w:tcMar>
              <w:left w:w="57" w:type="dxa"/>
              <w:right w:w="57" w:type="dxa"/>
            </w:tcMar>
          </w:tcPr>
          <w:p w14:paraId="3BE9EF95" w14:textId="1C7B3453"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Develop Online Training Modules for Farmers</w:t>
            </w:r>
          </w:p>
        </w:tc>
        <w:tc>
          <w:tcPr>
            <w:tcW w:w="3260" w:type="dxa"/>
            <w:tcBorders>
              <w:top w:val="single" w:sz="4" w:space="0" w:color="9F2241"/>
              <w:left w:val="nil"/>
              <w:bottom w:val="single" w:sz="4" w:space="0" w:color="9F2241"/>
              <w:right w:val="nil"/>
            </w:tcBorders>
            <w:tcMar>
              <w:left w:w="57" w:type="dxa"/>
              <w:right w:w="57" w:type="dxa"/>
            </w:tcMar>
          </w:tcPr>
          <w:p w14:paraId="1330BB32" w14:textId="2731F21B" w:rsidR="00F46853" w:rsidRPr="00662906" w:rsidRDefault="00F46853" w:rsidP="007E6C89">
            <w:pPr>
              <w:pStyle w:val="ListParagraph"/>
              <w:numPr>
                <w:ilvl w:val="0"/>
                <w:numId w:val="157"/>
              </w:numPr>
              <w:spacing w:before="40" w:after="40"/>
              <w:ind w:left="368"/>
              <w:jc w:val="center"/>
              <w:rPr>
                <w:rFonts w:eastAsia="Arial" w:cs="Arial"/>
                <w:color w:val="394A58"/>
                <w:sz w:val="16"/>
                <w:szCs w:val="16"/>
              </w:rPr>
            </w:pPr>
            <w:r w:rsidRPr="00662906">
              <w:rPr>
                <w:rFonts w:eastAsia="Arial" w:cs="Arial"/>
                <w:color w:val="394A58"/>
                <w:sz w:val="16"/>
                <w:szCs w:val="16"/>
              </w:rPr>
              <w:t>Produce interactive e-learning courses on topics like energy conservation, renewable energy integration, and climate-resilient agriculture</w:t>
            </w:r>
          </w:p>
          <w:p w14:paraId="4F8A2150" w14:textId="4221B01A" w:rsidR="00F46853" w:rsidRPr="00662906" w:rsidRDefault="00F46853" w:rsidP="007E6C89">
            <w:pPr>
              <w:pStyle w:val="ListParagraph"/>
              <w:numPr>
                <w:ilvl w:val="0"/>
                <w:numId w:val="157"/>
              </w:numPr>
              <w:spacing w:before="40" w:after="40"/>
              <w:ind w:left="368"/>
              <w:jc w:val="center"/>
              <w:rPr>
                <w:rFonts w:eastAsia="Arial" w:cs="Arial"/>
                <w:color w:val="394A58"/>
                <w:sz w:val="16"/>
                <w:szCs w:val="16"/>
              </w:rPr>
            </w:pPr>
            <w:r w:rsidRPr="00662906">
              <w:rPr>
                <w:rFonts w:eastAsia="Arial" w:cs="Arial"/>
                <w:color w:val="394A58"/>
                <w:sz w:val="16"/>
                <w:szCs w:val="16"/>
              </w:rPr>
              <w:t>Host live webinars and Q&amp;A sessions with experts</w:t>
            </w:r>
          </w:p>
          <w:p w14:paraId="12E3CCCE" w14:textId="5F75F7B9" w:rsidR="00F46853" w:rsidRPr="00662906" w:rsidRDefault="00F46853" w:rsidP="007E6C89">
            <w:pPr>
              <w:pStyle w:val="ListParagraph"/>
              <w:numPr>
                <w:ilvl w:val="0"/>
                <w:numId w:val="157"/>
              </w:numPr>
              <w:spacing w:before="40" w:after="40"/>
              <w:ind w:left="368"/>
              <w:jc w:val="center"/>
              <w:rPr>
                <w:rFonts w:eastAsia="Arial" w:cs="Arial"/>
                <w:color w:val="394A58"/>
                <w:sz w:val="16"/>
                <w:szCs w:val="16"/>
              </w:rPr>
            </w:pPr>
            <w:r w:rsidRPr="00662906">
              <w:rPr>
                <w:rFonts w:eastAsia="Arial" w:cs="Arial"/>
                <w:color w:val="394A58"/>
                <w:sz w:val="16"/>
                <w:szCs w:val="16"/>
              </w:rPr>
              <w:t>Offer downloadable certifications upon course completion</w:t>
            </w:r>
          </w:p>
        </w:tc>
        <w:tc>
          <w:tcPr>
            <w:tcW w:w="1276" w:type="dxa"/>
            <w:shd w:val="clear" w:color="auto" w:fill="FFFFFF"/>
            <w:tcMar>
              <w:left w:w="57" w:type="dxa"/>
              <w:right w:w="57" w:type="dxa"/>
            </w:tcMar>
          </w:tcPr>
          <w:p w14:paraId="4834A82B" w14:textId="569A3F9E"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27244F57" w14:textId="768785CF"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African Union</w:t>
            </w:r>
          </w:p>
        </w:tc>
        <w:tc>
          <w:tcPr>
            <w:tcW w:w="1198" w:type="dxa"/>
            <w:shd w:val="clear" w:color="auto" w:fill="FFFFFF"/>
            <w:tcMar>
              <w:left w:w="57" w:type="dxa"/>
              <w:right w:w="57" w:type="dxa"/>
            </w:tcMar>
          </w:tcPr>
          <w:p w14:paraId="37048EA7" w14:textId="36D25DF3"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Educational Technology Firms, Agricultural Institutions</w:t>
            </w:r>
          </w:p>
        </w:tc>
        <w:tc>
          <w:tcPr>
            <w:tcW w:w="851" w:type="dxa"/>
            <w:shd w:val="clear" w:color="auto" w:fill="FFFFFF"/>
            <w:tcMar>
              <w:left w:w="57" w:type="dxa"/>
              <w:right w:w="57" w:type="dxa"/>
            </w:tcMar>
          </w:tcPr>
          <w:p w14:paraId="44E17289" w14:textId="595137AE"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0E0542CD" w14:textId="79D1B8F6"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E-learning platform with multiple modules</w:t>
            </w:r>
          </w:p>
          <w:p w14:paraId="7AE071B5" w14:textId="2315265C"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Webinar recordings and transcripts</w:t>
            </w:r>
          </w:p>
          <w:p w14:paraId="69838164" w14:textId="43DCBC3A"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Certificate issuance system</w:t>
            </w:r>
          </w:p>
        </w:tc>
        <w:tc>
          <w:tcPr>
            <w:tcW w:w="1701" w:type="dxa"/>
            <w:shd w:val="clear" w:color="auto" w:fill="FFFFFF"/>
          </w:tcPr>
          <w:p w14:paraId="7507C659" w14:textId="01CD0B11"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Broad access to specialized knowledge, enabling farmers to independently upskill and adopt sustainable energy solutions on their farms</w:t>
            </w:r>
          </w:p>
        </w:tc>
        <w:tc>
          <w:tcPr>
            <w:tcW w:w="1843" w:type="dxa"/>
            <w:shd w:val="clear" w:color="auto" w:fill="FFFFFF"/>
          </w:tcPr>
          <w:p w14:paraId="15C4AED6"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E-learning platform launched (Yes/No)</w:t>
            </w:r>
          </w:p>
          <w:p w14:paraId="2CC5105A" w14:textId="348644DF" w:rsidR="001917D5" w:rsidRPr="00662906" w:rsidRDefault="00F46853" w:rsidP="007E6C89">
            <w:pPr>
              <w:pStyle w:val="ListParagraph"/>
              <w:numPr>
                <w:ilvl w:val="0"/>
                <w:numId w:val="63"/>
              </w:numPr>
              <w:spacing w:before="40" w:after="40"/>
              <w:ind w:left="321"/>
              <w:jc w:val="center"/>
            </w:pPr>
            <w:r w:rsidRPr="00662906">
              <w:rPr>
                <w:rFonts w:eastAsia="Arial" w:cs="Arial"/>
                <w:color w:val="53575A"/>
                <w:sz w:val="16"/>
                <w:szCs w:val="16"/>
              </w:rPr>
              <w:t>Number of course enrolments</w:t>
            </w:r>
          </w:p>
          <w:p w14:paraId="20144718" w14:textId="04BB9EBB" w:rsidR="00F46853" w:rsidRPr="00662906" w:rsidRDefault="00F46853" w:rsidP="007E6C89">
            <w:pPr>
              <w:pStyle w:val="ListParagraph"/>
              <w:numPr>
                <w:ilvl w:val="0"/>
                <w:numId w:val="63"/>
              </w:numPr>
              <w:spacing w:before="40" w:after="40"/>
              <w:ind w:left="321"/>
              <w:jc w:val="center"/>
            </w:pPr>
            <w:r w:rsidRPr="00662906">
              <w:rPr>
                <w:rFonts w:eastAsia="Arial" w:cs="Arial"/>
                <w:color w:val="53575A"/>
                <w:sz w:val="16"/>
                <w:szCs w:val="16"/>
              </w:rPr>
              <w:t>Certifications issued (Yes/No)</w:t>
            </w:r>
          </w:p>
        </w:tc>
      </w:tr>
      <w:tr w:rsidR="00F46853" w:rsidRPr="00662906" w14:paraId="6B71250D" w14:textId="77777777" w:rsidTr="007E6C89">
        <w:trPr>
          <w:trHeight w:val="300"/>
        </w:trPr>
        <w:tc>
          <w:tcPr>
            <w:tcW w:w="167" w:type="dxa"/>
            <w:shd w:val="clear" w:color="auto" w:fill="FFFFFF"/>
            <w:tcMar>
              <w:left w:w="57" w:type="dxa"/>
              <w:right w:w="57" w:type="dxa"/>
            </w:tcMar>
          </w:tcPr>
          <w:p w14:paraId="7C25F044" w14:textId="77777777" w:rsidR="00F46853" w:rsidRPr="00662906" w:rsidRDefault="00F46853"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567F4DB9" w14:textId="3D930335"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Standardize Extension Service Protocols</w:t>
            </w:r>
          </w:p>
        </w:tc>
        <w:tc>
          <w:tcPr>
            <w:tcW w:w="3260" w:type="dxa"/>
            <w:tcBorders>
              <w:top w:val="single" w:sz="4" w:space="0" w:color="9F2241"/>
              <w:left w:val="nil"/>
              <w:bottom w:val="single" w:sz="4" w:space="0" w:color="9F2241"/>
              <w:right w:val="nil"/>
            </w:tcBorders>
            <w:tcMar>
              <w:left w:w="57" w:type="dxa"/>
              <w:right w:w="57" w:type="dxa"/>
            </w:tcMar>
          </w:tcPr>
          <w:p w14:paraId="55AF51F3" w14:textId="216DBB6D" w:rsidR="00F46853" w:rsidRPr="00662906" w:rsidRDefault="00F46853" w:rsidP="007E6C89">
            <w:pPr>
              <w:pStyle w:val="ListParagraph"/>
              <w:numPr>
                <w:ilvl w:val="0"/>
                <w:numId w:val="158"/>
              </w:numPr>
              <w:spacing w:before="40" w:after="40"/>
              <w:ind w:left="368"/>
              <w:jc w:val="center"/>
              <w:rPr>
                <w:rFonts w:eastAsia="Arial" w:cs="Arial"/>
                <w:color w:val="394A58"/>
                <w:sz w:val="16"/>
                <w:szCs w:val="16"/>
              </w:rPr>
            </w:pPr>
            <w:r w:rsidRPr="00662906">
              <w:rPr>
                <w:rFonts w:eastAsia="Arial" w:cs="Arial"/>
                <w:color w:val="394A58"/>
                <w:sz w:val="16"/>
                <w:szCs w:val="16"/>
              </w:rPr>
              <w:t>Collaborate with regional bodies to define minimum standards for service delivery (curriculum, outreach methods, evaluation metrics)</w:t>
            </w:r>
          </w:p>
          <w:p w14:paraId="41E7AD25" w14:textId="09BC003F" w:rsidR="00F46853" w:rsidRPr="00662906" w:rsidRDefault="00F46853" w:rsidP="007E6C89">
            <w:pPr>
              <w:pStyle w:val="ListParagraph"/>
              <w:numPr>
                <w:ilvl w:val="0"/>
                <w:numId w:val="158"/>
              </w:numPr>
              <w:spacing w:before="40" w:after="40"/>
              <w:ind w:left="368"/>
              <w:jc w:val="center"/>
              <w:rPr>
                <w:rFonts w:eastAsia="Arial" w:cs="Arial"/>
                <w:color w:val="394A58"/>
                <w:sz w:val="16"/>
                <w:szCs w:val="16"/>
              </w:rPr>
            </w:pPr>
            <w:r w:rsidRPr="00662906">
              <w:rPr>
                <w:rFonts w:eastAsia="Arial" w:cs="Arial"/>
                <w:color w:val="394A58"/>
                <w:sz w:val="16"/>
                <w:szCs w:val="16"/>
              </w:rPr>
              <w:t>Pilot standardized protocols in select regions</w:t>
            </w:r>
          </w:p>
          <w:p w14:paraId="6B8D9643" w14:textId="49651D75" w:rsidR="00F46853" w:rsidRPr="00662906" w:rsidRDefault="00F46853" w:rsidP="007E6C89">
            <w:pPr>
              <w:pStyle w:val="ListParagraph"/>
              <w:numPr>
                <w:ilvl w:val="0"/>
                <w:numId w:val="158"/>
              </w:numPr>
              <w:spacing w:before="40" w:after="40"/>
              <w:ind w:left="368"/>
              <w:jc w:val="center"/>
              <w:rPr>
                <w:rFonts w:eastAsia="Arial" w:cs="Arial"/>
                <w:color w:val="394A58"/>
                <w:sz w:val="16"/>
                <w:szCs w:val="16"/>
              </w:rPr>
            </w:pPr>
            <w:r w:rsidRPr="00662906">
              <w:rPr>
                <w:rFonts w:eastAsia="Arial" w:cs="Arial"/>
                <w:color w:val="394A58"/>
                <w:sz w:val="16"/>
                <w:szCs w:val="16"/>
              </w:rPr>
              <w:t>Refine standards based on feedback and publish final guidelines</w:t>
            </w:r>
          </w:p>
        </w:tc>
        <w:tc>
          <w:tcPr>
            <w:tcW w:w="1276" w:type="dxa"/>
            <w:shd w:val="clear" w:color="auto" w:fill="FFFFFF"/>
            <w:tcMar>
              <w:left w:w="57" w:type="dxa"/>
              <w:right w:w="57" w:type="dxa"/>
            </w:tcMar>
          </w:tcPr>
          <w:p w14:paraId="31CA7596" w14:textId="1BD20127"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3F0DCF0A" w14:textId="62830112"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Regional Economic Communities</w:t>
            </w:r>
          </w:p>
        </w:tc>
        <w:tc>
          <w:tcPr>
            <w:tcW w:w="1198" w:type="dxa"/>
            <w:shd w:val="clear" w:color="auto" w:fill="FFFFFF"/>
            <w:tcMar>
              <w:left w:w="57" w:type="dxa"/>
              <w:right w:w="57" w:type="dxa"/>
            </w:tcMar>
          </w:tcPr>
          <w:p w14:paraId="0FCC7A6B" w14:textId="56CCE974"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 Ministries of Agriculture</w:t>
            </w:r>
          </w:p>
        </w:tc>
        <w:tc>
          <w:tcPr>
            <w:tcW w:w="851" w:type="dxa"/>
            <w:shd w:val="clear" w:color="auto" w:fill="FFFFFF"/>
            <w:tcMar>
              <w:left w:w="57" w:type="dxa"/>
              <w:right w:w="57" w:type="dxa"/>
            </w:tcMar>
          </w:tcPr>
          <w:p w14:paraId="32810ECC" w14:textId="0E24DFC9"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3222A2EA" w14:textId="7054B5C6"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 extension service standards</w:t>
            </w:r>
          </w:p>
          <w:p w14:paraId="75D0BABB" w14:textId="44411EF4"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Pilot region reports and stakeholder feedback</w:t>
            </w:r>
          </w:p>
          <w:p w14:paraId="390CEC8E" w14:textId="6E53C9DF"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Finalized protocols and guidelines</w:t>
            </w:r>
          </w:p>
        </w:tc>
        <w:tc>
          <w:tcPr>
            <w:tcW w:w="1701" w:type="dxa"/>
            <w:shd w:val="clear" w:color="auto" w:fill="FFFFFF"/>
          </w:tcPr>
          <w:p w14:paraId="3FDBE093" w14:textId="322E4612"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Consistent, high-quality extension services across multiple regions, ensuring reliable information and uniform support for energy-related agricultural needs</w:t>
            </w:r>
          </w:p>
        </w:tc>
        <w:tc>
          <w:tcPr>
            <w:tcW w:w="1843" w:type="dxa"/>
            <w:shd w:val="clear" w:color="auto" w:fill="FFFFFF"/>
          </w:tcPr>
          <w:p w14:paraId="4D86D82D"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Standard protocols drafted (Yes/No)</w:t>
            </w:r>
          </w:p>
          <w:p w14:paraId="49200D0A"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feedback collected (Yes/No)</w:t>
            </w:r>
          </w:p>
          <w:p w14:paraId="01D1DF53" w14:textId="6DA1188A"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Protocols finalized (Yes/No)</w:t>
            </w:r>
          </w:p>
        </w:tc>
      </w:tr>
      <w:tr w:rsidR="00F46853" w:rsidRPr="00662906" w14:paraId="4FE46919" w14:textId="77777777" w:rsidTr="007E6C89">
        <w:trPr>
          <w:trHeight w:val="300"/>
        </w:trPr>
        <w:tc>
          <w:tcPr>
            <w:tcW w:w="167" w:type="dxa"/>
            <w:shd w:val="clear" w:color="auto" w:fill="FFFFFF"/>
            <w:tcMar>
              <w:left w:w="57" w:type="dxa"/>
              <w:right w:w="57" w:type="dxa"/>
            </w:tcMar>
          </w:tcPr>
          <w:p w14:paraId="6EA762E0" w14:textId="77777777" w:rsidR="00F46853" w:rsidRPr="00662906" w:rsidRDefault="00F46853"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26892596" w14:textId="4BEEE4CA"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Launch Public Awareness Campaigns on Modern Farming</w:t>
            </w:r>
          </w:p>
        </w:tc>
        <w:tc>
          <w:tcPr>
            <w:tcW w:w="3260" w:type="dxa"/>
            <w:tcBorders>
              <w:top w:val="single" w:sz="4" w:space="0" w:color="9F2241"/>
              <w:left w:val="nil"/>
              <w:bottom w:val="single" w:sz="4" w:space="0" w:color="9F2241"/>
              <w:right w:val="nil"/>
            </w:tcBorders>
            <w:tcMar>
              <w:left w:w="57" w:type="dxa"/>
              <w:right w:w="57" w:type="dxa"/>
            </w:tcMar>
          </w:tcPr>
          <w:p w14:paraId="406F465D" w14:textId="0C62147B" w:rsidR="00F46853" w:rsidRPr="00662906" w:rsidRDefault="00F46853" w:rsidP="007E6C89">
            <w:pPr>
              <w:pStyle w:val="ListParagraph"/>
              <w:numPr>
                <w:ilvl w:val="0"/>
                <w:numId w:val="159"/>
              </w:numPr>
              <w:spacing w:before="40" w:after="40"/>
              <w:ind w:left="368"/>
              <w:jc w:val="center"/>
              <w:rPr>
                <w:rFonts w:eastAsia="Arial" w:cs="Arial"/>
                <w:color w:val="394A58"/>
                <w:sz w:val="16"/>
                <w:szCs w:val="16"/>
              </w:rPr>
            </w:pPr>
            <w:r w:rsidRPr="00662906">
              <w:rPr>
                <w:rFonts w:eastAsia="Arial" w:cs="Arial"/>
                <w:color w:val="394A58"/>
                <w:sz w:val="16"/>
                <w:szCs w:val="16"/>
              </w:rPr>
              <w:t>Develop multimedia campaigns (radio, TV, social media) highlighting benefits of energy-efficient agricultural practices</w:t>
            </w:r>
          </w:p>
          <w:p w14:paraId="07EB275E" w14:textId="29B870E0" w:rsidR="00F46853" w:rsidRPr="00662906" w:rsidRDefault="00F46853" w:rsidP="007E6C89">
            <w:pPr>
              <w:pStyle w:val="ListParagraph"/>
              <w:numPr>
                <w:ilvl w:val="0"/>
                <w:numId w:val="159"/>
              </w:numPr>
              <w:spacing w:before="40" w:after="40"/>
              <w:ind w:left="368"/>
              <w:jc w:val="center"/>
              <w:rPr>
                <w:rFonts w:eastAsia="Arial" w:cs="Arial"/>
                <w:color w:val="394A58"/>
                <w:sz w:val="16"/>
                <w:szCs w:val="16"/>
              </w:rPr>
            </w:pPr>
            <w:r w:rsidRPr="00662906">
              <w:rPr>
                <w:rFonts w:eastAsia="Arial" w:cs="Arial"/>
                <w:color w:val="394A58"/>
                <w:sz w:val="16"/>
                <w:szCs w:val="16"/>
              </w:rPr>
              <w:t>Partner with community leaders to adapt messages in local languages</w:t>
            </w:r>
          </w:p>
          <w:p w14:paraId="02500F50" w14:textId="53457BEF" w:rsidR="00F46853" w:rsidRPr="00662906" w:rsidRDefault="00F46853" w:rsidP="007E6C89">
            <w:pPr>
              <w:pStyle w:val="ListParagraph"/>
              <w:numPr>
                <w:ilvl w:val="0"/>
                <w:numId w:val="159"/>
              </w:numPr>
              <w:spacing w:before="40" w:after="40"/>
              <w:ind w:left="368"/>
              <w:jc w:val="center"/>
              <w:rPr>
                <w:rFonts w:eastAsia="Arial" w:cs="Arial"/>
                <w:color w:val="394A58"/>
                <w:sz w:val="16"/>
                <w:szCs w:val="16"/>
              </w:rPr>
            </w:pPr>
            <w:r w:rsidRPr="00662906">
              <w:rPr>
                <w:rFonts w:eastAsia="Arial" w:cs="Arial"/>
                <w:color w:val="394A58"/>
                <w:sz w:val="16"/>
                <w:szCs w:val="16"/>
              </w:rPr>
              <w:t>Measure changes in public perception and interest through surveys</w:t>
            </w:r>
          </w:p>
        </w:tc>
        <w:tc>
          <w:tcPr>
            <w:tcW w:w="1276" w:type="dxa"/>
            <w:shd w:val="clear" w:color="auto" w:fill="FFFFFF"/>
            <w:tcMar>
              <w:left w:w="57" w:type="dxa"/>
              <w:right w:w="57" w:type="dxa"/>
            </w:tcMar>
          </w:tcPr>
          <w:p w14:paraId="546830F3" w14:textId="37A9D0E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3C2ABFA9" w14:textId="08C0E2B3"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Ministries of Information</w:t>
            </w:r>
          </w:p>
        </w:tc>
        <w:tc>
          <w:tcPr>
            <w:tcW w:w="1198" w:type="dxa"/>
            <w:shd w:val="clear" w:color="auto" w:fill="FFFFFF"/>
            <w:tcMar>
              <w:left w:w="57" w:type="dxa"/>
              <w:right w:w="57" w:type="dxa"/>
            </w:tcMar>
          </w:tcPr>
          <w:p w14:paraId="2B54FC0A" w14:textId="77777777" w:rsidR="00F46853" w:rsidRPr="00662906" w:rsidRDefault="00F46853" w:rsidP="007E6C89">
            <w:pPr>
              <w:spacing w:before="40" w:after="40"/>
              <w:jc w:val="center"/>
              <w:rPr>
                <w:rFonts w:cs="Arial"/>
                <w:sz w:val="16"/>
                <w:szCs w:val="16"/>
              </w:rPr>
            </w:pPr>
            <w:r w:rsidRPr="00662906">
              <w:rPr>
                <w:rFonts w:cs="Arial"/>
                <w:sz w:val="16"/>
                <w:szCs w:val="16"/>
              </w:rPr>
              <w:t>Media Outlets, Community Leaders</w:t>
            </w:r>
          </w:p>
          <w:p w14:paraId="4F0777A8" w14:textId="0648954F"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Ministries in charge of agriculture, energy</w:t>
            </w:r>
          </w:p>
        </w:tc>
        <w:tc>
          <w:tcPr>
            <w:tcW w:w="851" w:type="dxa"/>
            <w:shd w:val="clear" w:color="auto" w:fill="FFFFFF"/>
            <w:tcMar>
              <w:left w:w="57" w:type="dxa"/>
              <w:right w:w="57" w:type="dxa"/>
            </w:tcMar>
          </w:tcPr>
          <w:p w14:paraId="6C8649E3" w14:textId="3DC782B6"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5AAA6A15" w14:textId="133E2B8B"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Campaign materials (radio ads, print, social media)</w:t>
            </w:r>
          </w:p>
          <w:p w14:paraId="56B48AFC" w14:textId="350DBFA1"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Localized messaging strategies</w:t>
            </w:r>
          </w:p>
          <w:p w14:paraId="77F82298" w14:textId="34735542"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Survey data on public perception</w:t>
            </w:r>
          </w:p>
        </w:tc>
        <w:tc>
          <w:tcPr>
            <w:tcW w:w="1701" w:type="dxa"/>
            <w:shd w:val="clear" w:color="auto" w:fill="FFFFFF"/>
          </w:tcPr>
          <w:p w14:paraId="05541D01" w14:textId="3442F18A"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Greater public understanding of modern, energy-saving farming methods, accelerating adoption and improving sector sustainability</w:t>
            </w:r>
          </w:p>
        </w:tc>
        <w:tc>
          <w:tcPr>
            <w:tcW w:w="1843" w:type="dxa"/>
            <w:shd w:val="clear" w:color="auto" w:fill="FFFFFF"/>
          </w:tcPr>
          <w:p w14:paraId="58375327"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Campaign launched (Yes/No)</w:t>
            </w:r>
          </w:p>
          <w:p w14:paraId="5D7DE418"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Local language adaptations (Yes/No)</w:t>
            </w:r>
          </w:p>
          <w:p w14:paraId="045BC6C0" w14:textId="41A46042"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Positive shift in survey responses (Yes/No)</w:t>
            </w:r>
          </w:p>
        </w:tc>
      </w:tr>
      <w:tr w:rsidR="00F46853" w:rsidRPr="00662906" w14:paraId="35A04E00" w14:textId="77777777" w:rsidTr="007E6C89">
        <w:trPr>
          <w:trHeight w:val="300"/>
        </w:trPr>
        <w:tc>
          <w:tcPr>
            <w:tcW w:w="167" w:type="dxa"/>
            <w:shd w:val="clear" w:color="auto" w:fill="FFFFFF"/>
            <w:tcMar>
              <w:left w:w="57" w:type="dxa"/>
              <w:right w:w="57" w:type="dxa"/>
            </w:tcMar>
          </w:tcPr>
          <w:p w14:paraId="08A0CA83" w14:textId="77777777" w:rsidR="00F46853" w:rsidRPr="00662906" w:rsidRDefault="00F46853"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1B85C2AF" w14:textId="26CBFFB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Develop Partnerships with Agribusiness for Training</w:t>
            </w:r>
          </w:p>
        </w:tc>
        <w:tc>
          <w:tcPr>
            <w:tcW w:w="3260" w:type="dxa"/>
            <w:tcBorders>
              <w:top w:val="single" w:sz="4" w:space="0" w:color="9F2241"/>
              <w:left w:val="nil"/>
              <w:bottom w:val="single" w:sz="4" w:space="0" w:color="9F2241"/>
              <w:right w:val="nil"/>
            </w:tcBorders>
            <w:tcMar>
              <w:left w:w="57" w:type="dxa"/>
              <w:right w:w="57" w:type="dxa"/>
            </w:tcMar>
          </w:tcPr>
          <w:p w14:paraId="56B830BC" w14:textId="23CF1213" w:rsidR="00F46853" w:rsidRPr="00662906" w:rsidRDefault="00F46853" w:rsidP="007E6C89">
            <w:pPr>
              <w:pStyle w:val="ListParagraph"/>
              <w:numPr>
                <w:ilvl w:val="0"/>
                <w:numId w:val="160"/>
              </w:numPr>
              <w:spacing w:before="40" w:after="40"/>
              <w:ind w:left="368"/>
              <w:jc w:val="center"/>
              <w:rPr>
                <w:rFonts w:eastAsia="Arial" w:cs="Arial"/>
                <w:color w:val="394A58"/>
                <w:sz w:val="16"/>
                <w:szCs w:val="16"/>
              </w:rPr>
            </w:pPr>
            <w:r w:rsidRPr="00662906">
              <w:rPr>
                <w:rFonts w:eastAsia="Arial" w:cs="Arial"/>
                <w:color w:val="394A58"/>
                <w:sz w:val="16"/>
                <w:szCs w:val="16"/>
              </w:rPr>
              <w:t>Identify and engage agribusiness firms willing to collaborate on training</w:t>
            </w:r>
          </w:p>
          <w:p w14:paraId="73328A5D" w14:textId="59F52E6E" w:rsidR="00F46853" w:rsidRPr="00662906" w:rsidRDefault="00F46853" w:rsidP="007E6C89">
            <w:pPr>
              <w:pStyle w:val="ListParagraph"/>
              <w:numPr>
                <w:ilvl w:val="0"/>
                <w:numId w:val="160"/>
              </w:numPr>
              <w:spacing w:before="40" w:after="40"/>
              <w:ind w:left="368"/>
              <w:jc w:val="center"/>
              <w:rPr>
                <w:rFonts w:eastAsia="Arial" w:cs="Arial"/>
                <w:color w:val="394A58"/>
                <w:sz w:val="16"/>
                <w:szCs w:val="16"/>
              </w:rPr>
            </w:pPr>
            <w:r w:rsidRPr="00662906">
              <w:rPr>
                <w:rFonts w:eastAsia="Arial" w:cs="Arial"/>
                <w:color w:val="394A58"/>
                <w:sz w:val="16"/>
                <w:szCs w:val="16"/>
              </w:rPr>
              <w:t>Integrate latest energy-related technological innovations into extension curricula</w:t>
            </w:r>
          </w:p>
          <w:p w14:paraId="0506A65D" w14:textId="253B1208" w:rsidR="00F46853" w:rsidRPr="00662906" w:rsidRDefault="00F46853" w:rsidP="007E6C89">
            <w:pPr>
              <w:pStyle w:val="ListParagraph"/>
              <w:numPr>
                <w:ilvl w:val="0"/>
                <w:numId w:val="160"/>
              </w:numPr>
              <w:spacing w:before="40" w:after="40"/>
              <w:ind w:left="368"/>
              <w:jc w:val="center"/>
              <w:rPr>
                <w:rFonts w:eastAsia="Arial" w:cs="Arial"/>
                <w:color w:val="394A58"/>
                <w:sz w:val="16"/>
                <w:szCs w:val="16"/>
              </w:rPr>
            </w:pPr>
            <w:r w:rsidRPr="00662906">
              <w:rPr>
                <w:rFonts w:eastAsia="Arial" w:cs="Arial"/>
                <w:color w:val="394A58"/>
                <w:sz w:val="16"/>
                <w:szCs w:val="16"/>
              </w:rPr>
              <w:t>Offer internships or on-site demonstrations for farmers and extension officers</w:t>
            </w:r>
          </w:p>
        </w:tc>
        <w:tc>
          <w:tcPr>
            <w:tcW w:w="1276" w:type="dxa"/>
            <w:shd w:val="clear" w:color="auto" w:fill="FFFFFF"/>
            <w:tcMar>
              <w:left w:w="57" w:type="dxa"/>
              <w:right w:w="57" w:type="dxa"/>
            </w:tcMar>
          </w:tcPr>
          <w:p w14:paraId="6B2900C5" w14:textId="29EE62F3"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1F0F6E3E" w14:textId="3956CE28"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Ministries of Agriculture</w:t>
            </w:r>
          </w:p>
        </w:tc>
        <w:tc>
          <w:tcPr>
            <w:tcW w:w="1198" w:type="dxa"/>
            <w:shd w:val="clear" w:color="auto" w:fill="FFFFFF"/>
            <w:tcMar>
              <w:left w:w="57" w:type="dxa"/>
              <w:right w:w="57" w:type="dxa"/>
            </w:tcMar>
          </w:tcPr>
          <w:p w14:paraId="2E0510EC" w14:textId="522FB21E"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Agribusiness Corporations, Local Businesses</w:t>
            </w:r>
          </w:p>
        </w:tc>
        <w:tc>
          <w:tcPr>
            <w:tcW w:w="851" w:type="dxa"/>
            <w:shd w:val="clear" w:color="auto" w:fill="FFFFFF"/>
            <w:tcMar>
              <w:left w:w="57" w:type="dxa"/>
              <w:right w:w="57" w:type="dxa"/>
            </w:tcMar>
          </w:tcPr>
          <w:p w14:paraId="136703C1" w14:textId="0AD0FDB9"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5882E410" w14:textId="131EBCCE"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Partnership agreements or MoUs</w:t>
            </w:r>
          </w:p>
          <w:p w14:paraId="30742928" w14:textId="078EC1C1"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Updated training materials with industry input</w:t>
            </w:r>
          </w:p>
          <w:p w14:paraId="2F103F48" w14:textId="250D5D63" w:rsidR="00F46853" w:rsidRPr="00662906" w:rsidRDefault="00F46853"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Internship/on-site demonstration reports</w:t>
            </w:r>
          </w:p>
        </w:tc>
        <w:tc>
          <w:tcPr>
            <w:tcW w:w="1701" w:type="dxa"/>
            <w:shd w:val="clear" w:color="auto" w:fill="FFFFFF"/>
          </w:tcPr>
          <w:p w14:paraId="1D587AA2" w14:textId="0739132D" w:rsidR="00F46853" w:rsidRPr="00662906" w:rsidRDefault="00F46853" w:rsidP="007E6C89">
            <w:pPr>
              <w:spacing w:before="40" w:after="40"/>
              <w:jc w:val="center"/>
              <w:rPr>
                <w:rFonts w:eastAsia="Arial" w:cs="Arial"/>
                <w:color w:val="53575A"/>
                <w:sz w:val="16"/>
                <w:szCs w:val="16"/>
              </w:rPr>
            </w:pPr>
            <w:r w:rsidRPr="00662906">
              <w:rPr>
                <w:rFonts w:cs="Arial"/>
                <w:sz w:val="16"/>
                <w:szCs w:val="16"/>
              </w:rPr>
              <w:t>Empowered agri-business communities with cutting-edge, energy-efficient solutions, fostering robust value chains and improved market competitiveness</w:t>
            </w:r>
          </w:p>
        </w:tc>
        <w:tc>
          <w:tcPr>
            <w:tcW w:w="1843" w:type="dxa"/>
            <w:shd w:val="clear" w:color="auto" w:fill="FFFFFF"/>
          </w:tcPr>
          <w:p w14:paraId="57F066A6"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partnership agreements signed</w:t>
            </w:r>
          </w:p>
          <w:p w14:paraId="4117C418" w14:textId="77777777"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Incorporation of industry insights into curricula (Yes/No)</w:t>
            </w:r>
          </w:p>
          <w:p w14:paraId="2A5C6520" w14:textId="77BA4C8D" w:rsidR="00F46853" w:rsidRPr="00662906" w:rsidRDefault="00F46853"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Internships/on-site demos conducted (Yes/No)</w:t>
            </w:r>
          </w:p>
        </w:tc>
      </w:tr>
    </w:tbl>
    <w:p w14:paraId="3D7696C7" w14:textId="77777777" w:rsidR="00F55014" w:rsidRPr="00662906" w:rsidRDefault="00E22760" w:rsidP="00F55014">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bookmarkStart w:id="688" w:name="_Toc176190959"/>
      <w:bookmarkStart w:id="689" w:name="_Toc176191125"/>
      <w:bookmarkStart w:id="690" w:name="_Toc176341845"/>
      <w:bookmarkStart w:id="691" w:name="_Toc176430239"/>
      <w:bookmarkStart w:id="692" w:name="_Toc176430296"/>
      <w:bookmarkStart w:id="693" w:name="_Toc176441429"/>
      <w:bookmarkStart w:id="694" w:name="_Toc176442084"/>
      <w:bookmarkStart w:id="695" w:name="_Toc171955549"/>
    </w:p>
    <w:p w14:paraId="2864CD52" w14:textId="77777777" w:rsidR="00D41C50" w:rsidRPr="00662906" w:rsidRDefault="00D41C50" w:rsidP="00672D44">
      <w:pPr>
        <w:pStyle w:val="Heading2"/>
        <w:sectPr w:rsidR="00D41C50" w:rsidRPr="00662906" w:rsidSect="005852FE">
          <w:pgSz w:w="16838" w:h="11906" w:orient="landscape"/>
          <w:pgMar w:top="1440" w:right="1440" w:bottom="1440" w:left="1440" w:header="720" w:footer="720" w:gutter="0"/>
          <w:cols w:space="720"/>
          <w:titlePg/>
          <w:docGrid w:linePitch="360"/>
        </w:sectPr>
      </w:pPr>
      <w:bookmarkStart w:id="696" w:name="_Toc178937497"/>
    </w:p>
    <w:p w14:paraId="68F631FD" w14:textId="1E8DB572" w:rsidR="005933C7" w:rsidRPr="00662906" w:rsidRDefault="005933C7" w:rsidP="00672D44">
      <w:pPr>
        <w:pStyle w:val="Heading2"/>
      </w:pPr>
      <w:bookmarkStart w:id="697" w:name="_Toc197433862"/>
      <w:r w:rsidRPr="00662906">
        <w:lastRenderedPageBreak/>
        <w:t>Clean Cooking</w:t>
      </w:r>
      <w:bookmarkEnd w:id="688"/>
      <w:bookmarkEnd w:id="689"/>
      <w:bookmarkEnd w:id="690"/>
      <w:bookmarkEnd w:id="691"/>
      <w:bookmarkEnd w:id="692"/>
      <w:bookmarkEnd w:id="693"/>
      <w:bookmarkEnd w:id="694"/>
      <w:bookmarkEnd w:id="696"/>
      <w:bookmarkEnd w:id="697"/>
    </w:p>
    <w:bookmarkEnd w:id="695"/>
    <w:p w14:paraId="413F2ADF" w14:textId="77777777" w:rsidR="00130AF3" w:rsidRPr="00662906" w:rsidRDefault="00130AF3" w:rsidP="00130AF3">
      <w:r w:rsidRPr="00662906">
        <w:t>The strategic objective of innovating and strategizing for clean cooking solutions forms a critical component of the African Union's Energy Transition Strategy. This objective arises from the urgent need to address the widespread reliance on inefficient and harmful cooking practices across the continent. A substantial portion of the African population still depends on traditional cooking methods, such as burning wood, charcoal, and agricultural residues. These practices not only contribute to environmental degradation through deforestation and pollution but also pose serious health risks due to indoor air pollution. The transition to cleaner, more efficient cooking solutions is crucial to mitigate these impacts.</w:t>
      </w:r>
    </w:p>
    <w:p w14:paraId="0EDCA1FD" w14:textId="380BDDCA" w:rsidR="00130AF3" w:rsidRPr="00662906" w:rsidRDefault="00130AF3" w:rsidP="00575CA0">
      <w:r w:rsidRPr="00662906">
        <w:t>Despite the availability of cleaner technologies, several barriers hinder their widespread adoption. Key challenges include the high cost of advanced cooking technologies, limited accessibility, entrenched traditional cooking habits, and a lack of supportive infrastructure. Additionally, the market structures necessary for the efficient distribution and maintenance of clean cooking solutions are often underdeveloped. Moreover, policy and regulatory frameworks in many African countries are not conducive to the adoption of new technologies, further complicating efforts to shift away from traditional methods.</w:t>
      </w:r>
    </w:p>
    <w:p w14:paraId="60ED37A8" w14:textId="5FCCB6FF" w:rsidR="00575CA0" w:rsidRPr="00662906" w:rsidRDefault="4EA63575" w:rsidP="00575CA0">
      <w:pPr>
        <w:rPr>
          <w:rFonts w:eastAsia="Arial" w:cs="Arial"/>
        </w:rPr>
      </w:pPr>
      <w:r w:rsidRPr="00662906">
        <w:rPr>
          <w:rFonts w:eastAsia="Arial" w:cs="Arial"/>
        </w:rPr>
        <w:t xml:space="preserve">Given these complexities, </w:t>
      </w:r>
      <w:r w:rsidR="00C426B9" w:rsidRPr="00662906">
        <w:rPr>
          <w:rFonts w:eastAsia="Arial" w:cs="Arial"/>
        </w:rPr>
        <w:t>th</w:t>
      </w:r>
      <w:r w:rsidR="00575CA0" w:rsidRPr="00662906">
        <w:rPr>
          <w:rFonts w:eastAsia="Arial" w:cs="Arial"/>
        </w:rPr>
        <w:t>e strategic</w:t>
      </w:r>
      <w:r w:rsidR="00C426B9" w:rsidRPr="00662906">
        <w:rPr>
          <w:rFonts w:eastAsia="Arial" w:cs="Arial"/>
        </w:rPr>
        <w:t xml:space="preserve"> </w:t>
      </w:r>
      <w:r w:rsidRPr="00662906">
        <w:rPr>
          <w:rFonts w:eastAsia="Arial" w:cs="Arial"/>
        </w:rPr>
        <w:t>objective</w:t>
      </w:r>
      <w:r w:rsidR="00C426B9" w:rsidRPr="00662906">
        <w:rPr>
          <w:rFonts w:eastAsia="Arial" w:cs="Arial"/>
        </w:rPr>
        <w:t xml:space="preserve"> </w:t>
      </w:r>
      <w:r w:rsidR="00575CA0" w:rsidRPr="00662906">
        <w:rPr>
          <w:rFonts w:eastAsia="Arial" w:cs="Arial"/>
          <w:b/>
          <w:bCs/>
        </w:rPr>
        <w:t xml:space="preserve">to </w:t>
      </w:r>
      <w:r w:rsidR="00CD440B" w:rsidRPr="00662906">
        <w:rPr>
          <w:rFonts w:eastAsia="Arial" w:cs="Arial"/>
          <w:b/>
          <w:bCs/>
        </w:rPr>
        <w:t>Promote the adoption of clean cooking technologies</w:t>
      </w:r>
      <w:r w:rsidR="00575CA0" w:rsidRPr="00662906">
        <w:rPr>
          <w:rFonts w:eastAsia="Arial" w:cs="Arial"/>
        </w:rPr>
        <w:t xml:space="preserve"> will allow creation of </w:t>
      </w:r>
      <w:r w:rsidR="00C426B9" w:rsidRPr="00662906">
        <w:rPr>
          <w:rFonts w:eastAsia="Arial" w:cs="Arial"/>
        </w:rPr>
        <w:t>a</w:t>
      </w:r>
      <w:r w:rsidRPr="00662906">
        <w:rPr>
          <w:rFonts w:eastAsia="Arial" w:cs="Arial"/>
        </w:rPr>
        <w:t xml:space="preserve"> holistic approach that encompasses technological innovation, </w:t>
      </w:r>
      <w:r w:rsidR="001C34B9" w:rsidRPr="00662906">
        <w:rPr>
          <w:rFonts w:eastAsia="Arial" w:cs="Arial"/>
        </w:rPr>
        <w:t>availability, accessibility</w:t>
      </w:r>
      <w:r w:rsidR="005D2AB7" w:rsidRPr="00662906">
        <w:rPr>
          <w:rFonts w:eastAsia="Arial" w:cs="Arial"/>
        </w:rPr>
        <w:t>,</w:t>
      </w:r>
      <w:r w:rsidR="00CC2B16" w:rsidRPr="00662906">
        <w:rPr>
          <w:rFonts w:eastAsia="Arial" w:cs="Arial"/>
        </w:rPr>
        <w:t xml:space="preserve"> social acceptability, </w:t>
      </w:r>
      <w:r w:rsidR="005D2AB7" w:rsidRPr="00662906">
        <w:rPr>
          <w:rFonts w:eastAsia="Arial" w:cs="Arial"/>
        </w:rPr>
        <w:t xml:space="preserve">affordability, </w:t>
      </w:r>
      <w:r w:rsidR="00CC2B16" w:rsidRPr="00662906">
        <w:rPr>
          <w:rFonts w:eastAsia="Arial" w:cs="Arial"/>
        </w:rPr>
        <w:t xml:space="preserve">with </w:t>
      </w:r>
      <w:r w:rsidR="005D2AB7" w:rsidRPr="00662906">
        <w:rPr>
          <w:rFonts w:eastAsia="Arial" w:cs="Arial"/>
        </w:rPr>
        <w:t xml:space="preserve">established </w:t>
      </w:r>
      <w:r w:rsidRPr="00662906">
        <w:rPr>
          <w:rFonts w:eastAsia="Arial" w:cs="Arial"/>
        </w:rPr>
        <w:t xml:space="preserve">market </w:t>
      </w:r>
      <w:r w:rsidR="00AE2C21" w:rsidRPr="00662906">
        <w:rPr>
          <w:rFonts w:eastAsia="Arial" w:cs="Arial"/>
        </w:rPr>
        <w:t>systems,</w:t>
      </w:r>
      <w:r w:rsidRPr="00662906">
        <w:rPr>
          <w:rFonts w:eastAsia="Arial" w:cs="Arial"/>
        </w:rPr>
        <w:t xml:space="preserve"> policy support, and public engagement. This multifaceted strategy is designed to foster an environment where modern, efficient, and culturally acceptable cooking solutions can thrive, thereby enhancing health outcomes, reducing environmental impacts, and contributing to economic and social development across Africa.</w:t>
      </w:r>
    </w:p>
    <w:p w14:paraId="62CBCD86" w14:textId="25D418C2" w:rsidR="00575CA0" w:rsidRPr="00662906" w:rsidRDefault="00CC2B16" w:rsidP="2D8B2CEE">
      <w:pPr>
        <w:rPr>
          <w:rFonts w:eastAsia="Arial" w:cs="Arial"/>
        </w:rPr>
      </w:pPr>
      <w:r w:rsidRPr="00662906">
        <w:rPr>
          <w:rFonts w:eastAsia="Arial" w:cs="Arial"/>
        </w:rPr>
        <w:t>The derived strategic interventions for this objective are as follows:</w:t>
      </w:r>
    </w:p>
    <w:p w14:paraId="45EB96CD" w14:textId="4E100137" w:rsidR="34AFE5CB" w:rsidRPr="00662906" w:rsidRDefault="4EA63575" w:rsidP="2D8B2CEE">
      <w:pPr>
        <w:spacing w:line="257" w:lineRule="auto"/>
        <w:jc w:val="left"/>
      </w:pPr>
      <w:r w:rsidRPr="00662906">
        <w:rPr>
          <w:rFonts w:eastAsia="Arial" w:cs="Arial"/>
          <w:b/>
          <w:bCs/>
        </w:rPr>
        <w:t>Strategic Interventions</w:t>
      </w:r>
    </w:p>
    <w:p w14:paraId="0CBC5E64" w14:textId="3EE29A79" w:rsidR="34AFE5CB" w:rsidRPr="00662906" w:rsidRDefault="4EA63575" w:rsidP="005C5546">
      <w:pPr>
        <w:pStyle w:val="Bullets"/>
        <w:numPr>
          <w:ilvl w:val="0"/>
          <w:numId w:val="44"/>
        </w:numPr>
        <w:rPr>
          <w:lang w:val="en-GB"/>
        </w:rPr>
      </w:pPr>
      <w:r w:rsidRPr="00662906">
        <w:rPr>
          <w:b/>
          <w:bCs/>
          <w:lang w:val="en-GB"/>
        </w:rPr>
        <w:t>Development and Deployment of Advanced Cooking Technologies:</w:t>
      </w:r>
      <w:r w:rsidRPr="00662906">
        <w:rPr>
          <w:lang w:val="en-GB"/>
        </w:rPr>
        <w:t xml:space="preserve"> Prioritize the research, development, and dissemination of advanced cooking technologies that are both affordable and suited to diverse cultural and regional culinary practices. Focus on scalable solutions that utilize locally available resources and align with the economic realities of African households.</w:t>
      </w:r>
    </w:p>
    <w:p w14:paraId="1A8869DD" w14:textId="43977018" w:rsidR="34AFE5CB" w:rsidRPr="00662906" w:rsidRDefault="4EA63575" w:rsidP="005C5546">
      <w:pPr>
        <w:pStyle w:val="Bullets"/>
        <w:numPr>
          <w:ilvl w:val="0"/>
          <w:numId w:val="44"/>
        </w:numPr>
        <w:rPr>
          <w:lang w:val="en-GB"/>
        </w:rPr>
      </w:pPr>
      <w:r w:rsidRPr="00662906">
        <w:rPr>
          <w:b/>
          <w:bCs/>
          <w:lang w:val="en-GB"/>
        </w:rPr>
        <w:t>Enhancing Market Structures and Supply Chains</w:t>
      </w:r>
      <w:r w:rsidRPr="00662906">
        <w:rPr>
          <w:lang w:val="en-GB"/>
        </w:rPr>
        <w:t>: Strengthen the production, distribution, and after-sales networks for clean cooking technologies through partnerships with local and international stakeholders. Develop innovative financing models to enhance affordability and accessibility of these technologies.</w:t>
      </w:r>
    </w:p>
    <w:p w14:paraId="43632637" w14:textId="77777777" w:rsidR="00C40810" w:rsidRPr="00662906" w:rsidRDefault="4EA63575" w:rsidP="005C5546">
      <w:pPr>
        <w:pStyle w:val="Bullets"/>
        <w:numPr>
          <w:ilvl w:val="0"/>
          <w:numId w:val="44"/>
        </w:numPr>
        <w:rPr>
          <w:lang w:val="en-GB"/>
        </w:rPr>
      </w:pPr>
      <w:r w:rsidRPr="00662906">
        <w:rPr>
          <w:b/>
          <w:bCs/>
          <w:lang w:val="en-GB"/>
        </w:rPr>
        <w:t xml:space="preserve">Policy Development and Regulatory Support: </w:t>
      </w:r>
      <w:r w:rsidRPr="00662906">
        <w:rPr>
          <w:lang w:val="en-GB"/>
        </w:rPr>
        <w:t>Develop supportive policies and regulatory frameworks that facilitate the adoption and scaling of clean cooking solutions. This includes revising existing regulations, removing barriers, and implementing incentives to foster a conducive market environment.</w:t>
      </w:r>
    </w:p>
    <w:p w14:paraId="323D97C9" w14:textId="0C76C6CF" w:rsidR="00575CA0" w:rsidRPr="00662906" w:rsidRDefault="4EA63575" w:rsidP="005C5546">
      <w:pPr>
        <w:pStyle w:val="Bullets"/>
        <w:numPr>
          <w:ilvl w:val="0"/>
          <w:numId w:val="44"/>
        </w:numPr>
        <w:rPr>
          <w:lang w:val="en-GB"/>
        </w:rPr>
      </w:pPr>
      <w:r w:rsidRPr="00662906">
        <w:rPr>
          <w:b/>
          <w:bCs/>
          <w:lang w:val="en-GB"/>
        </w:rPr>
        <w:t xml:space="preserve">Public Awareness Campaigns and Education: </w:t>
      </w:r>
      <w:r w:rsidRPr="00662906">
        <w:rPr>
          <w:lang w:val="en-GB"/>
        </w:rPr>
        <w:t>Conduct comprehensive public awareness campaigns and educational programs to shift perceptions and inform the public about the benefits of clean cooking technologies. Engage communities directly to encourage the adoption of modern, healthier, and more sustainable cooking practices.</w:t>
      </w:r>
    </w:p>
    <w:p w14:paraId="32B3F83A" w14:textId="1ADBD4E3" w:rsidR="00D41C50" w:rsidRPr="00662906" w:rsidRDefault="0CAA6CC0" w:rsidP="001C34B9">
      <w:pPr>
        <w:sectPr w:rsidR="00D41C50" w:rsidRPr="00662906" w:rsidSect="00D41C50">
          <w:pgSz w:w="11906" w:h="16838"/>
          <w:pgMar w:top="1440" w:right="1440" w:bottom="1440" w:left="1440" w:header="720" w:footer="720" w:gutter="0"/>
          <w:cols w:space="720"/>
          <w:titlePg/>
          <w:docGrid w:linePitch="360"/>
        </w:sectPr>
      </w:pPr>
      <w:r w:rsidRPr="00662906">
        <w:rPr>
          <w:rFonts w:eastAsia="Arial" w:cs="Arial"/>
        </w:rPr>
        <w:t xml:space="preserve">The proposed Actions for these strategic interventions are presented </w:t>
      </w:r>
      <w:r w:rsidR="0DC7A09C" w:rsidRPr="00662906">
        <w:rPr>
          <w:rFonts w:eastAsia="Arial" w:cs="Arial"/>
        </w:rPr>
        <w:t xml:space="preserve">in </w:t>
      </w:r>
      <w:bookmarkStart w:id="698" w:name="_Toc171955605"/>
      <w:r w:rsidR="6C3A6905" w:rsidRPr="00662906">
        <w:t xml:space="preserve">Tables </w:t>
      </w:r>
      <w:r w:rsidR="005A46CB" w:rsidRPr="00662906">
        <w:t>3</w:t>
      </w:r>
      <w:r w:rsidR="003C4B5B" w:rsidRPr="00662906">
        <w:t>2</w:t>
      </w:r>
      <w:r w:rsidR="6C3A6905" w:rsidRPr="00662906">
        <w:t>-</w:t>
      </w:r>
      <w:r w:rsidR="005A46CB" w:rsidRPr="00662906">
        <w:t>3</w:t>
      </w:r>
      <w:r w:rsidR="003C4B5B" w:rsidRPr="00662906">
        <w:t>5</w:t>
      </w:r>
      <w:r w:rsidR="6C3A6905" w:rsidRPr="00662906">
        <w:t xml:space="preserve"> </w:t>
      </w:r>
      <w:r w:rsidR="0A270B3D" w:rsidRPr="00662906">
        <w:t>below.</w:t>
      </w:r>
    </w:p>
    <w:p w14:paraId="4F20201D" w14:textId="12913DCE" w:rsidR="001A25D2" w:rsidRPr="00662906" w:rsidRDefault="001A25D2" w:rsidP="001C34B9"/>
    <w:p w14:paraId="2F14F7C9" w14:textId="1142A3E6" w:rsidR="00F30844" w:rsidRPr="00662906" w:rsidRDefault="07A1CB6B" w:rsidP="00BC0340">
      <w:pPr>
        <w:pStyle w:val="Caption"/>
      </w:pPr>
      <w:bookmarkStart w:id="699" w:name="_Toc176430333"/>
      <w:bookmarkStart w:id="700" w:name="_Toc197433920"/>
      <w:r w:rsidRPr="00662906">
        <w:t xml:space="preserve">Table </w:t>
      </w:r>
      <w:fldSimple w:instr=" SEQ Table \* ARABIC ">
        <w:r w:rsidR="00610F61">
          <w:rPr>
            <w:noProof/>
          </w:rPr>
          <w:t>32</w:t>
        </w:r>
      </w:fldSimple>
      <w:r w:rsidR="00F55014" w:rsidRPr="00662906">
        <w:t>:</w:t>
      </w:r>
      <w:r w:rsidRPr="00662906">
        <w:t xml:space="preserve"> </w:t>
      </w:r>
      <w:r w:rsidR="2DD90A11" w:rsidRPr="00662906">
        <w:t>Strategic Intervention: 1 Development and Deployment of Advanced Cooking Technologies</w:t>
      </w:r>
      <w:bookmarkEnd w:id="698"/>
      <w:bookmarkEnd w:id="699"/>
      <w:bookmarkEnd w:id="700"/>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F30844" w:rsidRPr="00662906" w14:paraId="536AECEA" w14:textId="77777777" w:rsidTr="007E6C89">
        <w:trPr>
          <w:trHeight w:val="360"/>
        </w:trPr>
        <w:tc>
          <w:tcPr>
            <w:tcW w:w="14456" w:type="dxa"/>
            <w:gridSpan w:val="10"/>
            <w:shd w:val="clear" w:color="auto" w:fill="B4A269"/>
            <w:vAlign w:val="center"/>
          </w:tcPr>
          <w:p w14:paraId="70965C96" w14:textId="3AE90015"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color w:val="FFFFFF" w:themeColor="background2"/>
                <w:sz w:val="16"/>
                <w:szCs w:val="16"/>
              </w:rPr>
              <w:t>The reliance on traditional cooking methods in Africa leads to widespread household air pollution, contributing to significant health risks, environmental degradation, and energy inefficiency. The adoption of advanced cooking technologies has remained low due to high costs, cultural preferences, and inadequate supply chains. This intervention seeks to develop and deploy affordable, user-friendly, and culturally appropriate clean cooking solutions. By improving access to advanced cooking technologies, the pathway envisions reduced air pollution, lower disease burdens, enhanced energy efficiency, and improved quality of life for millions of households.</w:t>
            </w:r>
          </w:p>
        </w:tc>
      </w:tr>
      <w:tr w:rsidR="00310C2A" w:rsidRPr="00662906" w14:paraId="4184544E" w14:textId="77777777" w:rsidTr="007E6C89">
        <w:trPr>
          <w:trHeight w:val="699"/>
        </w:trPr>
        <w:tc>
          <w:tcPr>
            <w:tcW w:w="1415" w:type="dxa"/>
            <w:gridSpan w:val="2"/>
            <w:shd w:val="clear" w:color="auto" w:fill="B4A269"/>
            <w:tcMar>
              <w:left w:w="57" w:type="dxa"/>
              <w:right w:w="57" w:type="dxa"/>
            </w:tcMar>
            <w:vAlign w:val="center"/>
          </w:tcPr>
          <w:p w14:paraId="480FA1C0"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1ABD2D4D" w14:textId="77777777" w:rsidR="00F30844" w:rsidRPr="00662906" w:rsidRDefault="00F30844"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667FA1B0"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496AB80D"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1E239FC5"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57B50243"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562498EF"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550BE56F"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446DC0A5" w14:textId="77777777" w:rsidR="00F30844" w:rsidRPr="00662906" w:rsidRDefault="00F30844"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0A5599" w:rsidRPr="00662906" w14:paraId="76C3ED19" w14:textId="77777777" w:rsidTr="007E6C89">
        <w:trPr>
          <w:trHeight w:val="1413"/>
        </w:trPr>
        <w:tc>
          <w:tcPr>
            <w:tcW w:w="167" w:type="dxa"/>
            <w:shd w:val="clear" w:color="auto" w:fill="FFFFFF"/>
            <w:tcMar>
              <w:left w:w="57" w:type="dxa"/>
              <w:right w:w="57" w:type="dxa"/>
            </w:tcMar>
          </w:tcPr>
          <w:p w14:paraId="0CA3106D" w14:textId="77777777" w:rsidR="000A5599" w:rsidRPr="00662906" w:rsidRDefault="000A5599"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66B9E223" w14:textId="0CD4C496"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Promote various CCT</w:t>
            </w:r>
            <w:r w:rsidR="00C27B49" w:rsidRPr="00662906">
              <w:rPr>
                <w:rFonts w:cs="Arial"/>
                <w:sz w:val="16"/>
                <w:szCs w:val="16"/>
              </w:rPr>
              <w:t>s</w:t>
            </w:r>
          </w:p>
        </w:tc>
        <w:tc>
          <w:tcPr>
            <w:tcW w:w="3260" w:type="dxa"/>
            <w:tcBorders>
              <w:bottom w:val="single" w:sz="2" w:space="0" w:color="9F2241"/>
            </w:tcBorders>
            <w:shd w:val="clear" w:color="auto" w:fill="FFFFFF"/>
            <w:tcMar>
              <w:left w:w="57" w:type="dxa"/>
              <w:right w:w="57" w:type="dxa"/>
            </w:tcMar>
          </w:tcPr>
          <w:p w14:paraId="5727BC7A" w14:textId="2E030F66" w:rsidR="000A5599" w:rsidRPr="00662906" w:rsidRDefault="000A5599" w:rsidP="007E6C89">
            <w:pPr>
              <w:pStyle w:val="ListParagraph"/>
              <w:numPr>
                <w:ilvl w:val="0"/>
                <w:numId w:val="161"/>
              </w:numPr>
              <w:spacing w:before="0" w:after="0"/>
              <w:ind w:left="367"/>
              <w:jc w:val="center"/>
              <w:rPr>
                <w:rFonts w:cs="Arial"/>
                <w:sz w:val="16"/>
                <w:szCs w:val="16"/>
              </w:rPr>
            </w:pPr>
            <w:r w:rsidRPr="00662906">
              <w:rPr>
                <w:rFonts w:cs="Arial"/>
                <w:sz w:val="16"/>
                <w:szCs w:val="16"/>
              </w:rPr>
              <w:t>Identify target communities and assess baseline cooking practices</w:t>
            </w:r>
          </w:p>
          <w:p w14:paraId="2A767534" w14:textId="3D15C9C1" w:rsidR="000A5599" w:rsidRPr="00662906" w:rsidRDefault="000A5599" w:rsidP="007E6C89">
            <w:pPr>
              <w:pStyle w:val="ListParagraph"/>
              <w:numPr>
                <w:ilvl w:val="0"/>
                <w:numId w:val="161"/>
              </w:numPr>
              <w:spacing w:before="0" w:after="0"/>
              <w:ind w:left="367"/>
              <w:jc w:val="center"/>
              <w:rPr>
                <w:rFonts w:cs="Arial"/>
                <w:sz w:val="16"/>
                <w:szCs w:val="16"/>
              </w:rPr>
            </w:pPr>
            <w:r w:rsidRPr="00662906">
              <w:rPr>
                <w:rFonts w:cs="Arial"/>
                <w:sz w:val="16"/>
                <w:szCs w:val="16"/>
              </w:rPr>
              <w:t>Select and disseminate information on diverse clean cooking technologies (e.g., LPG stoves, improved biomass stoves, electric induction)</w:t>
            </w:r>
          </w:p>
          <w:p w14:paraId="1D7B206A" w14:textId="467282F0" w:rsidR="000A5599" w:rsidRPr="00662906" w:rsidRDefault="000A5599" w:rsidP="007E6C89">
            <w:pPr>
              <w:pStyle w:val="ListParagraph"/>
              <w:numPr>
                <w:ilvl w:val="0"/>
                <w:numId w:val="161"/>
              </w:numPr>
              <w:spacing w:before="0" w:after="0"/>
              <w:ind w:left="367"/>
              <w:jc w:val="center"/>
              <w:rPr>
                <w:rFonts w:cs="Arial"/>
                <w:sz w:val="16"/>
                <w:szCs w:val="16"/>
              </w:rPr>
            </w:pPr>
            <w:r w:rsidRPr="00662906">
              <w:rPr>
                <w:rFonts w:cs="Arial"/>
                <w:sz w:val="16"/>
                <w:szCs w:val="16"/>
              </w:rPr>
              <w:t>Conduct training sessions for households on usage, maintenance, and safety</w:t>
            </w:r>
          </w:p>
          <w:p w14:paraId="67203981" w14:textId="37375265" w:rsidR="000A5599" w:rsidRPr="00662906" w:rsidRDefault="000A5599" w:rsidP="007E6C89">
            <w:pPr>
              <w:pStyle w:val="ListParagraph"/>
              <w:numPr>
                <w:ilvl w:val="0"/>
                <w:numId w:val="161"/>
              </w:numPr>
              <w:spacing w:before="0" w:after="0"/>
              <w:ind w:left="367"/>
              <w:jc w:val="center"/>
              <w:rPr>
                <w:rFonts w:cs="Arial"/>
                <w:sz w:val="16"/>
                <w:szCs w:val="16"/>
              </w:rPr>
            </w:pPr>
            <w:r w:rsidRPr="00662906">
              <w:rPr>
                <w:rFonts w:cs="Arial"/>
                <w:sz w:val="16"/>
                <w:szCs w:val="16"/>
              </w:rPr>
              <w:t>Track user feedback to gauge acceptance and refine technology offerings</w:t>
            </w:r>
          </w:p>
        </w:tc>
        <w:tc>
          <w:tcPr>
            <w:tcW w:w="1276" w:type="dxa"/>
            <w:shd w:val="clear" w:color="auto" w:fill="FFFFFF"/>
            <w:tcMar>
              <w:left w:w="57" w:type="dxa"/>
              <w:right w:w="57" w:type="dxa"/>
            </w:tcMar>
          </w:tcPr>
          <w:p w14:paraId="5A4AF7DB" w14:textId="45AD95C9"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09137F47" w14:textId="2F5809AD"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Ministries of Energy</w:t>
            </w:r>
          </w:p>
        </w:tc>
        <w:tc>
          <w:tcPr>
            <w:tcW w:w="1198" w:type="dxa"/>
            <w:shd w:val="clear" w:color="auto" w:fill="FFFFFF"/>
            <w:tcMar>
              <w:left w:w="57" w:type="dxa"/>
              <w:right w:w="57" w:type="dxa"/>
            </w:tcMar>
          </w:tcPr>
          <w:p w14:paraId="4C067DCA" w14:textId="5F7805F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Local Governments, NGOs</w:t>
            </w:r>
          </w:p>
        </w:tc>
        <w:tc>
          <w:tcPr>
            <w:tcW w:w="851" w:type="dxa"/>
            <w:shd w:val="clear" w:color="auto" w:fill="FFFFFF"/>
            <w:tcMar>
              <w:left w:w="57" w:type="dxa"/>
              <w:right w:w="57" w:type="dxa"/>
            </w:tcMar>
          </w:tcPr>
          <w:p w14:paraId="301494A9" w14:textId="1A8ABA7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449C9DE" w14:textId="064A48B3"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Baseline assessment reports</w:t>
            </w:r>
          </w:p>
          <w:p w14:paraId="0DD223DE" w14:textId="570B0ED3"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workshop materials</w:t>
            </w:r>
          </w:p>
          <w:p w14:paraId="67776E5F" w14:textId="59BD7BD7"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Feedback surveys and analysis</w:t>
            </w:r>
          </w:p>
        </w:tc>
        <w:tc>
          <w:tcPr>
            <w:tcW w:w="1701" w:type="dxa"/>
            <w:shd w:val="clear" w:color="auto" w:fill="FFFFFF"/>
          </w:tcPr>
          <w:p w14:paraId="6BD21BA2" w14:textId="4D88377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Broader diversity of clean cooking solutions introduced in pilot communities, increasing user awareness and acceptance of alternatives to traditional cooking methods</w:t>
            </w:r>
          </w:p>
        </w:tc>
        <w:tc>
          <w:tcPr>
            <w:tcW w:w="1843" w:type="dxa"/>
            <w:shd w:val="clear" w:color="auto" w:fill="FFFFFF"/>
          </w:tcPr>
          <w:p w14:paraId="64D39675"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Assessment completed (Yes/No)</w:t>
            </w:r>
          </w:p>
          <w:p w14:paraId="73FB7CDE" w14:textId="77777777" w:rsidR="001917D5"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training sessions conducted</w:t>
            </w:r>
          </w:p>
          <w:p w14:paraId="11F1728B" w14:textId="27654B03"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Feedback survey results compiled (Yes/No)</w:t>
            </w:r>
          </w:p>
        </w:tc>
      </w:tr>
      <w:tr w:rsidR="000A5599" w:rsidRPr="00662906" w14:paraId="2776D1E0" w14:textId="77777777" w:rsidTr="007E6C89">
        <w:trPr>
          <w:trHeight w:val="300"/>
        </w:trPr>
        <w:tc>
          <w:tcPr>
            <w:tcW w:w="167" w:type="dxa"/>
            <w:shd w:val="clear" w:color="auto" w:fill="FFFFFF"/>
            <w:tcMar>
              <w:left w:w="57" w:type="dxa"/>
              <w:right w:w="57" w:type="dxa"/>
            </w:tcMar>
          </w:tcPr>
          <w:p w14:paraId="556BD789" w14:textId="77777777" w:rsidR="000A5599" w:rsidRPr="00662906" w:rsidRDefault="000A5599"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25387B90" w14:textId="0233B47A"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Roll out Successful Pilot Projects</w:t>
            </w:r>
          </w:p>
        </w:tc>
        <w:tc>
          <w:tcPr>
            <w:tcW w:w="3260" w:type="dxa"/>
            <w:tcBorders>
              <w:bottom w:val="single" w:sz="4" w:space="0" w:color="9F2241"/>
            </w:tcBorders>
            <w:shd w:val="clear" w:color="auto" w:fill="FFFFFF"/>
            <w:tcMar>
              <w:left w:w="57" w:type="dxa"/>
              <w:right w:w="57" w:type="dxa"/>
            </w:tcMar>
          </w:tcPr>
          <w:p w14:paraId="25FF99B1" w14:textId="29D2F022" w:rsidR="000A5599" w:rsidRPr="00662906" w:rsidRDefault="000A5599" w:rsidP="007E6C89">
            <w:pPr>
              <w:pStyle w:val="ListParagraph"/>
              <w:numPr>
                <w:ilvl w:val="0"/>
                <w:numId w:val="162"/>
              </w:numPr>
              <w:spacing w:before="40" w:after="40"/>
              <w:ind w:left="367"/>
              <w:jc w:val="center"/>
              <w:rPr>
                <w:rFonts w:eastAsia="Arial" w:cs="Arial"/>
                <w:color w:val="394A58"/>
                <w:sz w:val="16"/>
                <w:szCs w:val="16"/>
              </w:rPr>
            </w:pPr>
            <w:r w:rsidRPr="00662906">
              <w:rPr>
                <w:rFonts w:eastAsia="Arial" w:cs="Arial"/>
                <w:color w:val="394A58"/>
                <w:sz w:val="16"/>
                <w:szCs w:val="16"/>
              </w:rPr>
              <w:t>Evaluate results from pilot communities (e.g., adoption rates, user satisfaction, cost savings)</w:t>
            </w:r>
          </w:p>
          <w:p w14:paraId="59B7D5D2" w14:textId="32160495" w:rsidR="000A5599" w:rsidRPr="00662906" w:rsidRDefault="000A5599" w:rsidP="007E6C89">
            <w:pPr>
              <w:pStyle w:val="ListParagraph"/>
              <w:numPr>
                <w:ilvl w:val="0"/>
                <w:numId w:val="162"/>
              </w:numPr>
              <w:spacing w:before="40" w:after="40"/>
              <w:ind w:left="367"/>
              <w:jc w:val="center"/>
              <w:rPr>
                <w:rFonts w:eastAsia="Arial" w:cs="Arial"/>
                <w:color w:val="394A58"/>
                <w:sz w:val="16"/>
                <w:szCs w:val="16"/>
              </w:rPr>
            </w:pPr>
            <w:r w:rsidRPr="00662906">
              <w:rPr>
                <w:rFonts w:eastAsia="Arial" w:cs="Arial"/>
                <w:color w:val="394A58"/>
                <w:sz w:val="16"/>
                <w:szCs w:val="16"/>
              </w:rPr>
              <w:t>Partner with local distributors/retailers to expand the supply chain</w:t>
            </w:r>
          </w:p>
          <w:p w14:paraId="7C92ADCE" w14:textId="11BAA857" w:rsidR="000A5599" w:rsidRPr="00662906" w:rsidRDefault="000A5599" w:rsidP="007E6C89">
            <w:pPr>
              <w:pStyle w:val="ListParagraph"/>
              <w:numPr>
                <w:ilvl w:val="0"/>
                <w:numId w:val="162"/>
              </w:numPr>
              <w:spacing w:before="40" w:after="40"/>
              <w:ind w:left="367"/>
              <w:jc w:val="center"/>
              <w:rPr>
                <w:rFonts w:eastAsia="Arial" w:cs="Arial"/>
                <w:color w:val="394A58"/>
                <w:sz w:val="16"/>
                <w:szCs w:val="16"/>
              </w:rPr>
            </w:pPr>
            <w:r w:rsidRPr="00662906">
              <w:rPr>
                <w:rFonts w:eastAsia="Arial" w:cs="Arial"/>
                <w:color w:val="394A58"/>
                <w:sz w:val="16"/>
                <w:szCs w:val="16"/>
              </w:rPr>
              <w:t>Develop marketing campaigns highlighting successful outcomes</w:t>
            </w:r>
          </w:p>
          <w:p w14:paraId="080927D0" w14:textId="1F2CE1A6" w:rsidR="000A5599" w:rsidRPr="00662906" w:rsidRDefault="000A5599" w:rsidP="007E6C89">
            <w:pPr>
              <w:pStyle w:val="ListParagraph"/>
              <w:numPr>
                <w:ilvl w:val="0"/>
                <w:numId w:val="162"/>
              </w:numPr>
              <w:spacing w:before="40" w:after="40"/>
              <w:ind w:left="367"/>
              <w:jc w:val="center"/>
              <w:rPr>
                <w:rFonts w:eastAsia="Arial" w:cs="Arial"/>
                <w:color w:val="394A58"/>
                <w:sz w:val="16"/>
                <w:szCs w:val="16"/>
              </w:rPr>
            </w:pPr>
            <w:r w:rsidRPr="00662906">
              <w:rPr>
                <w:rFonts w:eastAsia="Arial" w:cs="Arial"/>
                <w:color w:val="394A58"/>
                <w:sz w:val="16"/>
                <w:szCs w:val="16"/>
              </w:rPr>
              <w:t>Monitor performance and address challenges during scale-up</w:t>
            </w:r>
          </w:p>
        </w:tc>
        <w:tc>
          <w:tcPr>
            <w:tcW w:w="1276" w:type="dxa"/>
            <w:shd w:val="clear" w:color="auto" w:fill="FFFFFF"/>
            <w:tcMar>
              <w:left w:w="57" w:type="dxa"/>
              <w:right w:w="57" w:type="dxa"/>
            </w:tcMar>
          </w:tcPr>
          <w:p w14:paraId="62491DE4" w14:textId="571F3A5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2A0CB109" w14:textId="640F26A0"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Ministries of Energy</w:t>
            </w:r>
          </w:p>
        </w:tc>
        <w:tc>
          <w:tcPr>
            <w:tcW w:w="1198" w:type="dxa"/>
            <w:shd w:val="clear" w:color="auto" w:fill="FFFFFF"/>
            <w:tcMar>
              <w:left w:w="57" w:type="dxa"/>
              <w:right w:w="57" w:type="dxa"/>
            </w:tcMar>
          </w:tcPr>
          <w:p w14:paraId="43F06DC0" w14:textId="3449B958"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Governments, NGOs</w:t>
            </w:r>
          </w:p>
        </w:tc>
        <w:tc>
          <w:tcPr>
            <w:tcW w:w="851" w:type="dxa"/>
            <w:shd w:val="clear" w:color="auto" w:fill="FFFFFF"/>
            <w:tcMar>
              <w:left w:w="57" w:type="dxa"/>
              <w:right w:w="57" w:type="dxa"/>
            </w:tcMar>
          </w:tcPr>
          <w:p w14:paraId="79AF4386" w14:textId="0B582A0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6995BE1F" w14:textId="211224CF"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Evaluation reports from pilot areas</w:t>
            </w:r>
          </w:p>
          <w:p w14:paraId="30AB986F" w14:textId="6EEF60AC"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Partnerships with local distributors</w:t>
            </w:r>
          </w:p>
          <w:p w14:paraId="34CA0C27" w14:textId="0DA36808"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Marketing and expansion strategies</w:t>
            </w:r>
          </w:p>
        </w:tc>
        <w:tc>
          <w:tcPr>
            <w:tcW w:w="1701" w:type="dxa"/>
            <w:shd w:val="clear" w:color="auto" w:fill="FFFFFF"/>
          </w:tcPr>
          <w:p w14:paraId="464116D9" w14:textId="7DC3C4C9"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Significant scaling of proven clean cooking solutions, driving larger adoption rates and improving health and environmental outcomes for the wider population</w:t>
            </w:r>
          </w:p>
        </w:tc>
        <w:tc>
          <w:tcPr>
            <w:tcW w:w="1843" w:type="dxa"/>
            <w:shd w:val="clear" w:color="auto" w:fill="FFFFFF"/>
          </w:tcPr>
          <w:p w14:paraId="1788E413"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Pilot evaluation completed (Yes/No)</w:t>
            </w:r>
          </w:p>
          <w:p w14:paraId="79A27C2C"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distributor partnerships formed</w:t>
            </w:r>
          </w:p>
          <w:p w14:paraId="31370991" w14:textId="6982AAEE"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Uptake rate in new communities (Yes/No)</w:t>
            </w:r>
          </w:p>
        </w:tc>
      </w:tr>
      <w:tr w:rsidR="000A5599" w:rsidRPr="00662906" w14:paraId="50C8E4FC" w14:textId="77777777" w:rsidTr="007E6C89">
        <w:trPr>
          <w:trHeight w:val="300"/>
        </w:trPr>
        <w:tc>
          <w:tcPr>
            <w:tcW w:w="167" w:type="dxa"/>
            <w:shd w:val="clear" w:color="auto" w:fill="FFFFFF"/>
            <w:tcMar>
              <w:left w:w="57" w:type="dxa"/>
              <w:right w:w="57" w:type="dxa"/>
            </w:tcMar>
          </w:tcPr>
          <w:p w14:paraId="145E3BD2" w14:textId="77777777" w:rsidR="000A5599" w:rsidRPr="00662906" w:rsidRDefault="000A5599"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7E2998AA" w14:textId="149F6F9C"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Establish Quality Control and Standards for Clean Cooking Equipment</w:t>
            </w:r>
          </w:p>
        </w:tc>
        <w:tc>
          <w:tcPr>
            <w:tcW w:w="3260" w:type="dxa"/>
            <w:tcBorders>
              <w:top w:val="single" w:sz="4" w:space="0" w:color="9F2241"/>
              <w:left w:val="nil"/>
              <w:bottom w:val="single" w:sz="4" w:space="0" w:color="9F2241"/>
              <w:right w:val="nil"/>
            </w:tcBorders>
            <w:tcMar>
              <w:left w:w="57" w:type="dxa"/>
              <w:right w:w="57" w:type="dxa"/>
            </w:tcMar>
          </w:tcPr>
          <w:p w14:paraId="4050DD70" w14:textId="585AF94C" w:rsidR="000A5599" w:rsidRPr="00662906" w:rsidRDefault="000A5599" w:rsidP="007E6C89">
            <w:pPr>
              <w:pStyle w:val="ListParagraph"/>
              <w:numPr>
                <w:ilvl w:val="0"/>
                <w:numId w:val="163"/>
              </w:numPr>
              <w:spacing w:before="40" w:after="40"/>
              <w:ind w:left="367"/>
              <w:jc w:val="center"/>
              <w:rPr>
                <w:rFonts w:eastAsia="Arial" w:cs="Arial"/>
                <w:color w:val="394A58"/>
                <w:sz w:val="16"/>
                <w:szCs w:val="16"/>
              </w:rPr>
            </w:pPr>
            <w:r w:rsidRPr="00662906">
              <w:rPr>
                <w:rFonts w:eastAsia="Arial" w:cs="Arial"/>
                <w:color w:val="394A58"/>
                <w:sz w:val="16"/>
                <w:szCs w:val="16"/>
              </w:rPr>
              <w:t>Review international and national standards for cooking technologies</w:t>
            </w:r>
          </w:p>
          <w:p w14:paraId="794BF32B" w14:textId="351AC6AE" w:rsidR="000A5599" w:rsidRPr="00662906" w:rsidRDefault="000A5599" w:rsidP="007E6C89">
            <w:pPr>
              <w:pStyle w:val="ListParagraph"/>
              <w:numPr>
                <w:ilvl w:val="0"/>
                <w:numId w:val="163"/>
              </w:numPr>
              <w:spacing w:before="40" w:after="40"/>
              <w:ind w:left="367"/>
              <w:jc w:val="center"/>
              <w:rPr>
                <w:rFonts w:eastAsia="Arial" w:cs="Arial"/>
                <w:color w:val="394A58"/>
                <w:sz w:val="16"/>
                <w:szCs w:val="16"/>
              </w:rPr>
            </w:pPr>
            <w:r w:rsidRPr="00662906">
              <w:rPr>
                <w:rFonts w:eastAsia="Arial" w:cs="Arial"/>
                <w:color w:val="394A58"/>
                <w:sz w:val="16"/>
                <w:szCs w:val="16"/>
              </w:rPr>
              <w:t>Draft or update standards emphasizing safety, efficiency, and durability</w:t>
            </w:r>
          </w:p>
          <w:p w14:paraId="71BC9E85" w14:textId="5F44D488" w:rsidR="000A5599" w:rsidRPr="00662906" w:rsidRDefault="000A5599" w:rsidP="007E6C89">
            <w:pPr>
              <w:pStyle w:val="ListParagraph"/>
              <w:numPr>
                <w:ilvl w:val="0"/>
                <w:numId w:val="163"/>
              </w:numPr>
              <w:spacing w:before="40" w:after="40"/>
              <w:ind w:left="367"/>
              <w:jc w:val="center"/>
              <w:rPr>
                <w:rFonts w:eastAsia="Arial" w:cs="Arial"/>
                <w:color w:val="394A58"/>
                <w:sz w:val="16"/>
                <w:szCs w:val="16"/>
              </w:rPr>
            </w:pPr>
            <w:r w:rsidRPr="00662906">
              <w:rPr>
                <w:rFonts w:eastAsia="Arial" w:cs="Arial"/>
                <w:color w:val="394A58"/>
                <w:sz w:val="16"/>
                <w:szCs w:val="16"/>
              </w:rPr>
              <w:t>Organize workshops with manufacturers and regulatory bodies to finalize guidelines</w:t>
            </w:r>
          </w:p>
          <w:p w14:paraId="311F5B7E" w14:textId="4DF40A49" w:rsidR="000A5599" w:rsidRPr="00662906" w:rsidRDefault="000A5599" w:rsidP="007E6C89">
            <w:pPr>
              <w:pStyle w:val="ListParagraph"/>
              <w:numPr>
                <w:ilvl w:val="0"/>
                <w:numId w:val="163"/>
              </w:numPr>
              <w:spacing w:before="40" w:after="40"/>
              <w:ind w:left="367"/>
              <w:jc w:val="center"/>
              <w:rPr>
                <w:rFonts w:eastAsia="Arial" w:cs="Arial"/>
                <w:color w:val="394A58"/>
                <w:sz w:val="16"/>
                <w:szCs w:val="16"/>
              </w:rPr>
            </w:pPr>
            <w:r w:rsidRPr="00662906">
              <w:rPr>
                <w:rFonts w:eastAsia="Arial" w:cs="Arial"/>
                <w:color w:val="394A58"/>
                <w:sz w:val="16"/>
                <w:szCs w:val="16"/>
              </w:rPr>
              <w:t>Enforce compliance through inspections and certification</w:t>
            </w:r>
          </w:p>
        </w:tc>
        <w:tc>
          <w:tcPr>
            <w:tcW w:w="1276" w:type="dxa"/>
            <w:shd w:val="clear" w:color="auto" w:fill="FFFFFF"/>
            <w:tcMar>
              <w:left w:w="57" w:type="dxa"/>
              <w:right w:w="57" w:type="dxa"/>
            </w:tcMar>
          </w:tcPr>
          <w:p w14:paraId="1B05CA2A" w14:textId="505220B2"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48297B7C" w14:textId="79BD1CA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AUC / PAQI / AFSEC / ARSO</w:t>
            </w:r>
          </w:p>
        </w:tc>
        <w:tc>
          <w:tcPr>
            <w:tcW w:w="1198" w:type="dxa"/>
            <w:shd w:val="clear" w:color="auto" w:fill="FFFFFF"/>
            <w:tcMar>
              <w:left w:w="57" w:type="dxa"/>
              <w:right w:w="57" w:type="dxa"/>
            </w:tcMar>
          </w:tcPr>
          <w:p w14:paraId="7A730FCC" w14:textId="6702657A"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Standards Bodies, RECs</w:t>
            </w:r>
          </w:p>
        </w:tc>
        <w:tc>
          <w:tcPr>
            <w:tcW w:w="851" w:type="dxa"/>
            <w:shd w:val="clear" w:color="auto" w:fill="FFFFFF"/>
            <w:tcMar>
              <w:left w:w="57" w:type="dxa"/>
              <w:right w:w="57" w:type="dxa"/>
            </w:tcMar>
          </w:tcPr>
          <w:p w14:paraId="2B31F774" w14:textId="61FBD58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12C1A00A" w14:textId="7D064455"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Standardized guidelines and protocols</w:t>
            </w:r>
          </w:p>
          <w:p w14:paraId="29255F66" w14:textId="131C15A7"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Workshop proceedings with stakeholder input</w:t>
            </w:r>
          </w:p>
          <w:p w14:paraId="5DA4B46E" w14:textId="39272BEE"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Certification framework for clean cooking equipment</w:t>
            </w:r>
          </w:p>
        </w:tc>
        <w:tc>
          <w:tcPr>
            <w:tcW w:w="1701" w:type="dxa"/>
            <w:shd w:val="clear" w:color="auto" w:fill="FFFFFF"/>
          </w:tcPr>
          <w:p w14:paraId="12AAD228" w14:textId="5A6151F2"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Consistently high-quality, safe, and efficient cooking technologies available across African markets, building consumer trust and protecting users from subpar products</w:t>
            </w:r>
          </w:p>
        </w:tc>
        <w:tc>
          <w:tcPr>
            <w:tcW w:w="1843" w:type="dxa"/>
            <w:shd w:val="clear" w:color="auto" w:fill="FFFFFF"/>
          </w:tcPr>
          <w:p w14:paraId="54E44B8B"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Standards guidelines finalized (Yes/No)</w:t>
            </w:r>
          </w:p>
          <w:p w14:paraId="55330097"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manufacturers participating in workshops</w:t>
            </w:r>
          </w:p>
          <w:p w14:paraId="0483D682" w14:textId="20AA8CAE"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Certification system operational (Yes/No)</w:t>
            </w:r>
          </w:p>
        </w:tc>
      </w:tr>
      <w:tr w:rsidR="000A5599" w:rsidRPr="00662906" w14:paraId="3332487A" w14:textId="77777777" w:rsidTr="007E6C89">
        <w:trPr>
          <w:trHeight w:val="300"/>
        </w:trPr>
        <w:tc>
          <w:tcPr>
            <w:tcW w:w="167" w:type="dxa"/>
            <w:shd w:val="clear" w:color="auto" w:fill="FFFFFF"/>
            <w:tcMar>
              <w:left w:w="57" w:type="dxa"/>
              <w:right w:w="57" w:type="dxa"/>
            </w:tcMar>
          </w:tcPr>
          <w:p w14:paraId="46057462" w14:textId="77777777" w:rsidR="000A5599" w:rsidRPr="00662906" w:rsidRDefault="000A5599" w:rsidP="007E6C89">
            <w:pPr>
              <w:spacing w:before="40" w:after="40"/>
              <w:jc w:val="center"/>
              <w:rPr>
                <w:rFonts w:cs="Arial"/>
                <w:color w:val="53575A"/>
                <w:sz w:val="16"/>
                <w:szCs w:val="16"/>
              </w:rPr>
            </w:pPr>
            <w:r w:rsidRPr="00662906">
              <w:rPr>
                <w:rFonts w:eastAsia="Arial" w:cs="Arial"/>
                <w:color w:val="53575A"/>
                <w:sz w:val="16"/>
                <w:szCs w:val="16"/>
              </w:rPr>
              <w:lastRenderedPageBreak/>
              <w:t>4</w:t>
            </w:r>
          </w:p>
        </w:tc>
        <w:tc>
          <w:tcPr>
            <w:tcW w:w="1248" w:type="dxa"/>
            <w:shd w:val="clear" w:color="auto" w:fill="FFFFFF"/>
            <w:tcMar>
              <w:left w:w="57" w:type="dxa"/>
              <w:right w:w="57" w:type="dxa"/>
            </w:tcMar>
          </w:tcPr>
          <w:p w14:paraId="5A4EAF76" w14:textId="43896B7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Implement Tax Incentives for Clean Cooking Technologies</w:t>
            </w:r>
          </w:p>
        </w:tc>
        <w:tc>
          <w:tcPr>
            <w:tcW w:w="3260" w:type="dxa"/>
            <w:tcBorders>
              <w:top w:val="single" w:sz="4" w:space="0" w:color="9F2241"/>
              <w:left w:val="nil"/>
              <w:bottom w:val="single" w:sz="4" w:space="0" w:color="9F2241"/>
              <w:right w:val="nil"/>
            </w:tcBorders>
            <w:tcMar>
              <w:left w:w="57" w:type="dxa"/>
              <w:right w:w="57" w:type="dxa"/>
            </w:tcMar>
          </w:tcPr>
          <w:p w14:paraId="3995B76D" w14:textId="6C92632E" w:rsidR="000A5599" w:rsidRPr="00662906" w:rsidRDefault="000A5599" w:rsidP="007E6C89">
            <w:pPr>
              <w:pStyle w:val="ListParagraph"/>
              <w:numPr>
                <w:ilvl w:val="0"/>
                <w:numId w:val="164"/>
              </w:numPr>
              <w:spacing w:before="40" w:after="40"/>
              <w:ind w:left="367"/>
              <w:jc w:val="center"/>
              <w:rPr>
                <w:rFonts w:eastAsia="Arial" w:cs="Arial"/>
                <w:color w:val="394A58"/>
                <w:sz w:val="16"/>
                <w:szCs w:val="16"/>
              </w:rPr>
            </w:pPr>
            <w:r w:rsidRPr="00662906">
              <w:rPr>
                <w:rFonts w:eastAsia="Arial" w:cs="Arial"/>
                <w:color w:val="394A58"/>
                <w:sz w:val="16"/>
                <w:szCs w:val="16"/>
              </w:rPr>
              <w:t>Develop a legislative proposal outlining tax relief measures (</w:t>
            </w:r>
            <w:r w:rsidR="00E87869" w:rsidRPr="00662906">
              <w:rPr>
                <w:rFonts w:eastAsia="Arial" w:cs="Arial"/>
                <w:color w:val="394A58"/>
                <w:sz w:val="16"/>
                <w:szCs w:val="16"/>
              </w:rPr>
              <w:t>Value added tax (</w:t>
            </w:r>
            <w:r w:rsidRPr="00662906">
              <w:rPr>
                <w:rFonts w:eastAsia="Arial" w:cs="Arial"/>
                <w:color w:val="394A58"/>
                <w:sz w:val="16"/>
                <w:szCs w:val="16"/>
              </w:rPr>
              <w:t>VAT</w:t>
            </w:r>
            <w:r w:rsidR="00E87869" w:rsidRPr="00662906">
              <w:rPr>
                <w:rFonts w:eastAsia="Arial" w:cs="Arial"/>
                <w:color w:val="394A58"/>
                <w:sz w:val="16"/>
                <w:szCs w:val="16"/>
              </w:rPr>
              <w:t>)</w:t>
            </w:r>
            <w:r w:rsidRPr="00662906">
              <w:rPr>
                <w:rFonts w:eastAsia="Arial" w:cs="Arial"/>
                <w:color w:val="394A58"/>
                <w:sz w:val="16"/>
                <w:szCs w:val="16"/>
              </w:rPr>
              <w:t xml:space="preserve"> exemptions, reduced import duties, etc.)</w:t>
            </w:r>
          </w:p>
          <w:p w14:paraId="3FAAA2DF" w14:textId="0A25F25C" w:rsidR="000A5599" w:rsidRPr="00662906" w:rsidRDefault="000A5599" w:rsidP="007E6C89">
            <w:pPr>
              <w:pStyle w:val="ListParagraph"/>
              <w:numPr>
                <w:ilvl w:val="0"/>
                <w:numId w:val="164"/>
              </w:numPr>
              <w:spacing w:before="40" w:after="40"/>
              <w:ind w:left="367"/>
              <w:jc w:val="center"/>
              <w:rPr>
                <w:rFonts w:eastAsia="Arial" w:cs="Arial"/>
                <w:color w:val="394A58"/>
                <w:sz w:val="16"/>
                <w:szCs w:val="16"/>
              </w:rPr>
            </w:pPr>
            <w:r w:rsidRPr="00662906">
              <w:rPr>
                <w:rFonts w:eastAsia="Arial" w:cs="Arial"/>
                <w:color w:val="394A58"/>
                <w:sz w:val="16"/>
                <w:szCs w:val="16"/>
              </w:rPr>
              <w:t>Engage industry stakeholders and policymakers to refine incentive structures</w:t>
            </w:r>
          </w:p>
          <w:p w14:paraId="1037096D" w14:textId="6E9A3EA5" w:rsidR="000A5599" w:rsidRPr="00662906" w:rsidRDefault="000A5599" w:rsidP="007E6C89">
            <w:pPr>
              <w:pStyle w:val="ListParagraph"/>
              <w:numPr>
                <w:ilvl w:val="0"/>
                <w:numId w:val="164"/>
              </w:numPr>
              <w:spacing w:before="40" w:after="40"/>
              <w:ind w:left="367"/>
              <w:jc w:val="center"/>
              <w:rPr>
                <w:rFonts w:eastAsia="Arial" w:cs="Arial"/>
                <w:color w:val="394A58"/>
                <w:sz w:val="16"/>
                <w:szCs w:val="16"/>
              </w:rPr>
            </w:pPr>
            <w:r w:rsidRPr="00662906">
              <w:rPr>
                <w:rFonts w:eastAsia="Arial" w:cs="Arial"/>
                <w:color w:val="394A58"/>
                <w:sz w:val="16"/>
                <w:szCs w:val="16"/>
              </w:rPr>
              <w:t>Establish clear eligibility criteria and application procedures</w:t>
            </w:r>
          </w:p>
          <w:p w14:paraId="2A665C49" w14:textId="2973944B" w:rsidR="000A5599" w:rsidRPr="00662906" w:rsidRDefault="000A5599" w:rsidP="007E6C89">
            <w:pPr>
              <w:pStyle w:val="ListParagraph"/>
              <w:numPr>
                <w:ilvl w:val="0"/>
                <w:numId w:val="164"/>
              </w:numPr>
              <w:spacing w:before="40" w:after="40"/>
              <w:ind w:left="367"/>
              <w:jc w:val="center"/>
              <w:rPr>
                <w:rFonts w:eastAsia="Arial" w:cs="Arial"/>
                <w:color w:val="394A58"/>
                <w:sz w:val="16"/>
                <w:szCs w:val="16"/>
              </w:rPr>
            </w:pPr>
            <w:r w:rsidRPr="00662906">
              <w:rPr>
                <w:rFonts w:eastAsia="Arial" w:cs="Arial"/>
                <w:color w:val="394A58"/>
                <w:sz w:val="16"/>
                <w:szCs w:val="16"/>
              </w:rPr>
              <w:t>Track the impact of incentives on product affordability and adoption</w:t>
            </w:r>
          </w:p>
        </w:tc>
        <w:tc>
          <w:tcPr>
            <w:tcW w:w="1276" w:type="dxa"/>
            <w:shd w:val="clear" w:color="auto" w:fill="FFFFFF"/>
            <w:tcMar>
              <w:left w:w="57" w:type="dxa"/>
              <w:right w:w="57" w:type="dxa"/>
            </w:tcMar>
          </w:tcPr>
          <w:p w14:paraId="33EF15EA" w14:textId="153C996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76289117" w14:textId="50D6D99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Ministries of Finance</w:t>
            </w:r>
          </w:p>
        </w:tc>
        <w:tc>
          <w:tcPr>
            <w:tcW w:w="1198" w:type="dxa"/>
            <w:shd w:val="clear" w:color="auto" w:fill="FFFFFF"/>
            <w:tcMar>
              <w:left w:w="57" w:type="dxa"/>
              <w:right w:w="57" w:type="dxa"/>
            </w:tcMar>
          </w:tcPr>
          <w:p w14:paraId="4CEFA3D6" w14:textId="77777777" w:rsidR="000A5599" w:rsidRPr="00662906" w:rsidRDefault="000A5599" w:rsidP="007E6C89">
            <w:pPr>
              <w:spacing w:before="40" w:after="40"/>
              <w:jc w:val="center"/>
              <w:rPr>
                <w:rFonts w:cs="Arial"/>
                <w:sz w:val="16"/>
                <w:szCs w:val="16"/>
              </w:rPr>
            </w:pPr>
            <w:r w:rsidRPr="00662906">
              <w:rPr>
                <w:rFonts w:cs="Arial"/>
                <w:sz w:val="16"/>
                <w:szCs w:val="16"/>
              </w:rPr>
              <w:t>Tax Authorities, Industry Stakeholders</w:t>
            </w:r>
          </w:p>
          <w:p w14:paraId="0D530C74" w14:textId="2E622698"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Ministries in charge of energy,</w:t>
            </w:r>
          </w:p>
        </w:tc>
        <w:tc>
          <w:tcPr>
            <w:tcW w:w="851" w:type="dxa"/>
            <w:shd w:val="clear" w:color="auto" w:fill="FFFFFF"/>
            <w:tcMar>
              <w:left w:w="57" w:type="dxa"/>
              <w:right w:w="57" w:type="dxa"/>
            </w:tcMar>
          </w:tcPr>
          <w:p w14:paraId="46118399" w14:textId="169C1DF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72757D99" w14:textId="637DC6A4"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Legislative proposals or policy briefs</w:t>
            </w:r>
          </w:p>
          <w:p w14:paraId="20605B6F" w14:textId="78303949"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Stakeholder consultation reports</w:t>
            </w:r>
          </w:p>
          <w:p w14:paraId="7A0D1459" w14:textId="61271E22"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Published eligibility criteria</w:t>
            </w:r>
          </w:p>
        </w:tc>
        <w:tc>
          <w:tcPr>
            <w:tcW w:w="1701" w:type="dxa"/>
            <w:shd w:val="clear" w:color="auto" w:fill="FFFFFF"/>
          </w:tcPr>
          <w:p w14:paraId="62D28B3F" w14:textId="6291A5BA"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Lower upfront costs and enhanced market competitiveness of clean cooking solutions, leading to increased affordability for end users and manufacturers alike</w:t>
            </w:r>
          </w:p>
        </w:tc>
        <w:tc>
          <w:tcPr>
            <w:tcW w:w="1843" w:type="dxa"/>
            <w:shd w:val="clear" w:color="auto" w:fill="FFFFFF"/>
          </w:tcPr>
          <w:p w14:paraId="49E3B14C"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Incentive policy approved (Yes/No)</w:t>
            </w:r>
          </w:p>
          <w:p w14:paraId="3F159264"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eligible products identified</w:t>
            </w:r>
          </w:p>
          <w:p w14:paraId="6566C8CD" w14:textId="399DE1BE"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Adoption rate post-incentive introduction (Yes/No)</w:t>
            </w:r>
          </w:p>
        </w:tc>
      </w:tr>
      <w:tr w:rsidR="000A5599" w:rsidRPr="00662906" w14:paraId="79A619B3" w14:textId="77777777" w:rsidTr="007E6C89">
        <w:trPr>
          <w:trHeight w:val="300"/>
        </w:trPr>
        <w:tc>
          <w:tcPr>
            <w:tcW w:w="167" w:type="dxa"/>
            <w:shd w:val="clear" w:color="auto" w:fill="FFFFFF"/>
            <w:tcMar>
              <w:left w:w="57" w:type="dxa"/>
              <w:right w:w="57" w:type="dxa"/>
            </w:tcMar>
          </w:tcPr>
          <w:p w14:paraId="2B133F4C" w14:textId="77777777" w:rsidR="000A5599" w:rsidRPr="00662906" w:rsidRDefault="000A5599"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1C700B52" w14:textId="09EDBDF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Launch Awareness Campaigns for New Technologies</w:t>
            </w:r>
          </w:p>
        </w:tc>
        <w:tc>
          <w:tcPr>
            <w:tcW w:w="3260" w:type="dxa"/>
            <w:tcBorders>
              <w:top w:val="single" w:sz="4" w:space="0" w:color="9F2241"/>
              <w:left w:val="nil"/>
              <w:bottom w:val="single" w:sz="4" w:space="0" w:color="9F2241"/>
              <w:right w:val="nil"/>
            </w:tcBorders>
            <w:tcMar>
              <w:left w:w="57" w:type="dxa"/>
              <w:right w:w="57" w:type="dxa"/>
            </w:tcMar>
          </w:tcPr>
          <w:p w14:paraId="69EA921B" w14:textId="0768C2AD" w:rsidR="000A5599" w:rsidRPr="00662906" w:rsidRDefault="000A5599" w:rsidP="007E6C89">
            <w:pPr>
              <w:pStyle w:val="ListParagraph"/>
              <w:numPr>
                <w:ilvl w:val="0"/>
                <w:numId w:val="165"/>
              </w:numPr>
              <w:spacing w:before="40" w:after="40"/>
              <w:ind w:left="367"/>
              <w:jc w:val="center"/>
              <w:rPr>
                <w:rFonts w:eastAsia="Arial" w:cs="Arial"/>
                <w:color w:val="394A58"/>
                <w:sz w:val="16"/>
                <w:szCs w:val="16"/>
              </w:rPr>
            </w:pPr>
            <w:r w:rsidRPr="00662906">
              <w:rPr>
                <w:rFonts w:eastAsia="Arial" w:cs="Arial"/>
                <w:color w:val="394A58"/>
                <w:sz w:val="16"/>
                <w:szCs w:val="16"/>
              </w:rPr>
              <w:t>Design targeted messages highlighting health benefits, cost savings, and environmental advantages</w:t>
            </w:r>
          </w:p>
          <w:p w14:paraId="66F41808" w14:textId="57C66800" w:rsidR="000A5599" w:rsidRPr="00662906" w:rsidRDefault="000A5599" w:rsidP="007E6C89">
            <w:pPr>
              <w:pStyle w:val="ListParagraph"/>
              <w:numPr>
                <w:ilvl w:val="0"/>
                <w:numId w:val="165"/>
              </w:numPr>
              <w:spacing w:before="40" w:after="40"/>
              <w:ind w:left="367"/>
              <w:jc w:val="center"/>
              <w:rPr>
                <w:rFonts w:eastAsia="Arial" w:cs="Arial"/>
                <w:color w:val="394A58"/>
                <w:sz w:val="16"/>
                <w:szCs w:val="16"/>
              </w:rPr>
            </w:pPr>
            <w:r w:rsidRPr="00662906">
              <w:rPr>
                <w:rFonts w:eastAsia="Arial" w:cs="Arial"/>
                <w:color w:val="394A58"/>
                <w:sz w:val="16"/>
                <w:szCs w:val="16"/>
              </w:rPr>
              <w:t>Utilize radio, TV, social media, and community gatherings for broad outreach</w:t>
            </w:r>
          </w:p>
          <w:p w14:paraId="3D4ADF45" w14:textId="066F695E" w:rsidR="000A5599" w:rsidRPr="00662906" w:rsidRDefault="000A5599" w:rsidP="007E6C89">
            <w:pPr>
              <w:pStyle w:val="ListParagraph"/>
              <w:numPr>
                <w:ilvl w:val="0"/>
                <w:numId w:val="165"/>
              </w:numPr>
              <w:spacing w:before="40" w:after="40"/>
              <w:ind w:left="367"/>
              <w:jc w:val="center"/>
              <w:rPr>
                <w:rFonts w:eastAsia="Arial" w:cs="Arial"/>
                <w:color w:val="394A58"/>
                <w:sz w:val="16"/>
                <w:szCs w:val="16"/>
              </w:rPr>
            </w:pPr>
            <w:r w:rsidRPr="00662906">
              <w:rPr>
                <w:rFonts w:eastAsia="Arial" w:cs="Arial"/>
                <w:color w:val="394A58"/>
                <w:sz w:val="16"/>
                <w:szCs w:val="16"/>
              </w:rPr>
              <w:t>Feature real-life testimonials from pilot users</w:t>
            </w:r>
          </w:p>
          <w:p w14:paraId="7E705CAA" w14:textId="056CC57A" w:rsidR="000A5599" w:rsidRPr="00662906" w:rsidRDefault="000A5599" w:rsidP="007E6C89">
            <w:pPr>
              <w:pStyle w:val="ListParagraph"/>
              <w:numPr>
                <w:ilvl w:val="0"/>
                <w:numId w:val="165"/>
              </w:numPr>
              <w:spacing w:before="40" w:after="40"/>
              <w:ind w:left="367"/>
              <w:jc w:val="center"/>
              <w:rPr>
                <w:rFonts w:eastAsia="Arial" w:cs="Arial"/>
                <w:color w:val="394A58"/>
                <w:sz w:val="16"/>
                <w:szCs w:val="16"/>
              </w:rPr>
            </w:pPr>
            <w:r w:rsidRPr="00662906">
              <w:rPr>
                <w:rFonts w:eastAsia="Arial" w:cs="Arial"/>
                <w:color w:val="394A58"/>
                <w:sz w:val="16"/>
                <w:szCs w:val="16"/>
              </w:rPr>
              <w:t>Measure shifts in public perception and intention to adopt CCT</w:t>
            </w:r>
          </w:p>
        </w:tc>
        <w:tc>
          <w:tcPr>
            <w:tcW w:w="1276" w:type="dxa"/>
            <w:shd w:val="clear" w:color="auto" w:fill="FFFFFF"/>
            <w:tcMar>
              <w:left w:w="57" w:type="dxa"/>
              <w:right w:w="57" w:type="dxa"/>
            </w:tcMar>
          </w:tcPr>
          <w:p w14:paraId="379FD3AE" w14:textId="7E36EAF7"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09887FAC" w14:textId="1BE0FC32"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Ministries of Energy</w:t>
            </w:r>
          </w:p>
        </w:tc>
        <w:tc>
          <w:tcPr>
            <w:tcW w:w="1198" w:type="dxa"/>
            <w:shd w:val="clear" w:color="auto" w:fill="FFFFFF"/>
            <w:tcMar>
              <w:left w:w="57" w:type="dxa"/>
              <w:right w:w="57" w:type="dxa"/>
            </w:tcMar>
          </w:tcPr>
          <w:p w14:paraId="5496AB92" w14:textId="2137C463"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RECs, Media, Universities, Local NGOs</w:t>
            </w:r>
          </w:p>
        </w:tc>
        <w:tc>
          <w:tcPr>
            <w:tcW w:w="851" w:type="dxa"/>
            <w:shd w:val="clear" w:color="auto" w:fill="FFFFFF"/>
            <w:tcMar>
              <w:left w:w="57" w:type="dxa"/>
              <w:right w:w="57" w:type="dxa"/>
            </w:tcMar>
          </w:tcPr>
          <w:p w14:paraId="3340E1D2" w14:textId="7375C29C"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410034E0" w14:textId="4F8D27B6"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Awareness campaign materials (radio spots, brochures, videos)</w:t>
            </w:r>
          </w:p>
          <w:p w14:paraId="3FF95FA0" w14:textId="6CFE1C05"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Testimonial case studies</w:t>
            </w:r>
          </w:p>
          <w:p w14:paraId="7EB57A7C" w14:textId="4AF89329"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Public perception survey results</w:t>
            </w:r>
          </w:p>
        </w:tc>
        <w:tc>
          <w:tcPr>
            <w:tcW w:w="1701" w:type="dxa"/>
            <w:shd w:val="clear" w:color="auto" w:fill="FFFFFF"/>
          </w:tcPr>
          <w:p w14:paraId="1328E381" w14:textId="088FB13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Increased public understanding of clean cooking benefits, boosting consumer demand and willingness to transition away from traditional stoves</w:t>
            </w:r>
          </w:p>
        </w:tc>
        <w:tc>
          <w:tcPr>
            <w:tcW w:w="1843" w:type="dxa"/>
            <w:shd w:val="clear" w:color="auto" w:fill="FFFFFF"/>
          </w:tcPr>
          <w:p w14:paraId="78EA0093"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Campaign materials produced (Yes/No)</w:t>
            </w:r>
          </w:p>
          <w:p w14:paraId="4424FD57"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media channels engaged</w:t>
            </w:r>
          </w:p>
          <w:p w14:paraId="0DC27F9B" w14:textId="5A17C8D9"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Positive shift in public perception (Yes/No)</w:t>
            </w:r>
          </w:p>
        </w:tc>
      </w:tr>
      <w:tr w:rsidR="000A5599" w:rsidRPr="00662906" w14:paraId="2EE3179C" w14:textId="77777777" w:rsidTr="007E6C89">
        <w:trPr>
          <w:trHeight w:val="300"/>
        </w:trPr>
        <w:tc>
          <w:tcPr>
            <w:tcW w:w="167" w:type="dxa"/>
            <w:shd w:val="clear" w:color="auto" w:fill="FFFFFF"/>
            <w:tcMar>
              <w:left w:w="57" w:type="dxa"/>
              <w:right w:w="57" w:type="dxa"/>
            </w:tcMar>
          </w:tcPr>
          <w:p w14:paraId="7434D14C" w14:textId="77777777" w:rsidR="000A5599" w:rsidRPr="00662906" w:rsidRDefault="000A5599"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294E58C1" w14:textId="009E0DA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Create a Clean Cooking Technology Certification Program</w:t>
            </w:r>
          </w:p>
        </w:tc>
        <w:tc>
          <w:tcPr>
            <w:tcW w:w="3260" w:type="dxa"/>
            <w:tcBorders>
              <w:top w:val="single" w:sz="4" w:space="0" w:color="9F2241"/>
              <w:left w:val="nil"/>
              <w:bottom w:val="single" w:sz="4" w:space="0" w:color="9F2241"/>
              <w:right w:val="nil"/>
            </w:tcBorders>
            <w:tcMar>
              <w:left w:w="57" w:type="dxa"/>
              <w:right w:w="57" w:type="dxa"/>
            </w:tcMar>
          </w:tcPr>
          <w:p w14:paraId="28F7C8A5" w14:textId="7B29EDF2" w:rsidR="000A5599" w:rsidRPr="00662906" w:rsidRDefault="000A5599" w:rsidP="007E6C89">
            <w:pPr>
              <w:pStyle w:val="ListParagraph"/>
              <w:numPr>
                <w:ilvl w:val="0"/>
                <w:numId w:val="166"/>
              </w:numPr>
              <w:spacing w:before="40" w:after="40"/>
              <w:ind w:left="367"/>
              <w:jc w:val="center"/>
              <w:rPr>
                <w:rFonts w:eastAsia="Arial" w:cs="Arial"/>
                <w:color w:val="394A58"/>
                <w:sz w:val="16"/>
                <w:szCs w:val="16"/>
              </w:rPr>
            </w:pPr>
            <w:r w:rsidRPr="00662906">
              <w:rPr>
                <w:rFonts w:eastAsia="Arial" w:cs="Arial"/>
                <w:color w:val="394A58"/>
                <w:sz w:val="16"/>
                <w:szCs w:val="16"/>
              </w:rPr>
              <w:t>Develop criteria for certification (efficiency thresholds, emissions limits, safety standards)</w:t>
            </w:r>
          </w:p>
          <w:p w14:paraId="44D92377" w14:textId="4FD4E126" w:rsidR="000A5599" w:rsidRPr="00662906" w:rsidRDefault="000A5599" w:rsidP="007E6C89">
            <w:pPr>
              <w:pStyle w:val="ListParagraph"/>
              <w:numPr>
                <w:ilvl w:val="0"/>
                <w:numId w:val="166"/>
              </w:numPr>
              <w:spacing w:before="40" w:after="40"/>
              <w:ind w:left="367"/>
              <w:jc w:val="center"/>
              <w:rPr>
                <w:rFonts w:eastAsia="Arial" w:cs="Arial"/>
                <w:color w:val="394A58"/>
                <w:sz w:val="16"/>
                <w:szCs w:val="16"/>
              </w:rPr>
            </w:pPr>
            <w:r w:rsidRPr="00662906">
              <w:rPr>
                <w:rFonts w:eastAsia="Arial" w:cs="Arial"/>
                <w:color w:val="394A58"/>
                <w:sz w:val="16"/>
                <w:szCs w:val="16"/>
              </w:rPr>
              <w:t>Collaborate with regional agencies and labs to test and validate technologies</w:t>
            </w:r>
          </w:p>
          <w:p w14:paraId="5932734B" w14:textId="129A62F7" w:rsidR="000A5599" w:rsidRPr="00662906" w:rsidRDefault="000A5599" w:rsidP="007E6C89">
            <w:pPr>
              <w:pStyle w:val="ListParagraph"/>
              <w:numPr>
                <w:ilvl w:val="0"/>
                <w:numId w:val="166"/>
              </w:numPr>
              <w:spacing w:before="40" w:after="40"/>
              <w:ind w:left="367"/>
              <w:jc w:val="center"/>
              <w:rPr>
                <w:rFonts w:eastAsia="Arial" w:cs="Arial"/>
                <w:color w:val="394A58"/>
                <w:sz w:val="16"/>
                <w:szCs w:val="16"/>
              </w:rPr>
            </w:pPr>
            <w:r w:rsidRPr="00662906">
              <w:rPr>
                <w:rFonts w:eastAsia="Arial" w:cs="Arial"/>
                <w:color w:val="394A58"/>
                <w:sz w:val="16"/>
                <w:szCs w:val="16"/>
              </w:rPr>
              <w:t>Launch a public registry of certified products</w:t>
            </w:r>
          </w:p>
          <w:p w14:paraId="7B26EF0B" w14:textId="427EB0D8" w:rsidR="000A5599" w:rsidRPr="00662906" w:rsidRDefault="000A5599" w:rsidP="007E6C89">
            <w:pPr>
              <w:pStyle w:val="ListParagraph"/>
              <w:numPr>
                <w:ilvl w:val="0"/>
                <w:numId w:val="166"/>
              </w:numPr>
              <w:spacing w:before="40" w:after="40"/>
              <w:ind w:left="367"/>
              <w:jc w:val="center"/>
              <w:rPr>
                <w:rFonts w:eastAsia="Arial" w:cs="Arial"/>
                <w:color w:val="394A58"/>
                <w:sz w:val="16"/>
                <w:szCs w:val="16"/>
              </w:rPr>
            </w:pPr>
            <w:r w:rsidRPr="00662906">
              <w:rPr>
                <w:rFonts w:eastAsia="Arial" w:cs="Arial"/>
                <w:color w:val="394A58"/>
                <w:sz w:val="16"/>
                <w:szCs w:val="16"/>
              </w:rPr>
              <w:t>Periodically update certification criteria to reflect new innovations</w:t>
            </w:r>
          </w:p>
        </w:tc>
        <w:tc>
          <w:tcPr>
            <w:tcW w:w="1276" w:type="dxa"/>
            <w:shd w:val="clear" w:color="auto" w:fill="FFFFFF"/>
            <w:tcMar>
              <w:left w:w="57" w:type="dxa"/>
              <w:right w:w="57" w:type="dxa"/>
            </w:tcMar>
          </w:tcPr>
          <w:p w14:paraId="1FAD75D4" w14:textId="07B7C0C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Regional</w:t>
            </w:r>
          </w:p>
        </w:tc>
        <w:tc>
          <w:tcPr>
            <w:tcW w:w="1070" w:type="dxa"/>
            <w:shd w:val="clear" w:color="auto" w:fill="FFFFFF"/>
            <w:tcMar>
              <w:left w:w="57" w:type="dxa"/>
              <w:right w:w="57" w:type="dxa"/>
            </w:tcMar>
          </w:tcPr>
          <w:p w14:paraId="5C8E112B" w14:textId="2F6C422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Regional Economic Communities</w:t>
            </w:r>
          </w:p>
        </w:tc>
        <w:tc>
          <w:tcPr>
            <w:tcW w:w="1198" w:type="dxa"/>
            <w:shd w:val="clear" w:color="auto" w:fill="FFFFFF"/>
            <w:tcMar>
              <w:left w:w="57" w:type="dxa"/>
              <w:right w:w="57" w:type="dxa"/>
            </w:tcMar>
          </w:tcPr>
          <w:p w14:paraId="51357F94" w14:textId="6731B4A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Certification Bodies, AFREC</w:t>
            </w:r>
          </w:p>
        </w:tc>
        <w:tc>
          <w:tcPr>
            <w:tcW w:w="851" w:type="dxa"/>
            <w:shd w:val="clear" w:color="auto" w:fill="FFFFFF"/>
            <w:tcMar>
              <w:left w:w="57" w:type="dxa"/>
              <w:right w:w="57" w:type="dxa"/>
            </w:tcMar>
          </w:tcPr>
          <w:p w14:paraId="0C6C2C42" w14:textId="78ECE54D"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50F409A2" w14:textId="5E0DDF8B"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Certification criteria and testing protocols</w:t>
            </w:r>
          </w:p>
          <w:p w14:paraId="3D22702E" w14:textId="19CAFFE5"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Operational certification registry</w:t>
            </w:r>
          </w:p>
          <w:p w14:paraId="3FE30D17" w14:textId="68E03884"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Updated criteria for periodic review</w:t>
            </w:r>
          </w:p>
        </w:tc>
        <w:tc>
          <w:tcPr>
            <w:tcW w:w="1701" w:type="dxa"/>
            <w:shd w:val="clear" w:color="auto" w:fill="FFFFFF"/>
          </w:tcPr>
          <w:p w14:paraId="0479F65D" w14:textId="0B8EE40D"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Higher consumer confidence in verified clean cooking solutions, encouraging manufacturers to innovate and maintain high-quality products</w:t>
            </w:r>
          </w:p>
        </w:tc>
        <w:tc>
          <w:tcPr>
            <w:tcW w:w="1843" w:type="dxa"/>
            <w:shd w:val="clear" w:color="auto" w:fill="FFFFFF"/>
          </w:tcPr>
          <w:p w14:paraId="5D81094B"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Criteria document published (Yes/No)</w:t>
            </w:r>
          </w:p>
          <w:p w14:paraId="3A4E61A1"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Registry of certified products launched (Yes/No)</w:t>
            </w:r>
          </w:p>
          <w:p w14:paraId="53CE5D6E" w14:textId="6C04401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Technologies re-assessed periodically (Yes/No)</w:t>
            </w:r>
          </w:p>
        </w:tc>
      </w:tr>
      <w:tr w:rsidR="000A5599" w:rsidRPr="00662906" w14:paraId="7DC74655" w14:textId="77777777" w:rsidTr="007E6C89">
        <w:trPr>
          <w:trHeight w:val="300"/>
        </w:trPr>
        <w:tc>
          <w:tcPr>
            <w:tcW w:w="167" w:type="dxa"/>
            <w:shd w:val="clear" w:color="auto" w:fill="FFFFFF"/>
            <w:tcMar>
              <w:left w:w="57" w:type="dxa"/>
              <w:right w:w="57" w:type="dxa"/>
            </w:tcMar>
          </w:tcPr>
          <w:p w14:paraId="590D7C8F" w14:textId="77777777" w:rsidR="000A5599" w:rsidRPr="00662906" w:rsidRDefault="000A5599"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75705F53" w14:textId="4A7F1789"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Implement Consumer Financing Programs for Innovative Clean Cooking Technologies</w:t>
            </w:r>
          </w:p>
        </w:tc>
        <w:tc>
          <w:tcPr>
            <w:tcW w:w="3260" w:type="dxa"/>
            <w:tcBorders>
              <w:top w:val="single" w:sz="4" w:space="0" w:color="9F2241"/>
              <w:left w:val="nil"/>
              <w:bottom w:val="single" w:sz="4" w:space="0" w:color="9F2241"/>
              <w:right w:val="nil"/>
            </w:tcBorders>
            <w:tcMar>
              <w:left w:w="57" w:type="dxa"/>
              <w:right w:w="57" w:type="dxa"/>
            </w:tcMar>
          </w:tcPr>
          <w:p w14:paraId="4BE5048F" w14:textId="47D34F8F" w:rsidR="000A5599" w:rsidRPr="00662906" w:rsidRDefault="000A5599" w:rsidP="007E6C89">
            <w:pPr>
              <w:pStyle w:val="ListParagraph"/>
              <w:numPr>
                <w:ilvl w:val="0"/>
                <w:numId w:val="167"/>
              </w:numPr>
              <w:spacing w:before="40" w:after="40"/>
              <w:ind w:left="367"/>
              <w:jc w:val="center"/>
              <w:rPr>
                <w:rFonts w:eastAsia="Arial" w:cs="Arial"/>
                <w:color w:val="394A58"/>
                <w:sz w:val="16"/>
                <w:szCs w:val="16"/>
              </w:rPr>
            </w:pPr>
            <w:r w:rsidRPr="00662906">
              <w:rPr>
                <w:rFonts w:eastAsia="Arial" w:cs="Arial"/>
                <w:color w:val="394A58"/>
                <w:sz w:val="16"/>
                <w:szCs w:val="16"/>
              </w:rPr>
              <w:t>Partner with microfinance institutions to design low-interest loan or pay-as-you-go schemes</w:t>
            </w:r>
          </w:p>
          <w:p w14:paraId="2BECB20D" w14:textId="109FF2C6" w:rsidR="000A5599" w:rsidRPr="00662906" w:rsidRDefault="000A5599" w:rsidP="007E6C89">
            <w:pPr>
              <w:pStyle w:val="ListParagraph"/>
              <w:numPr>
                <w:ilvl w:val="0"/>
                <w:numId w:val="167"/>
              </w:numPr>
              <w:spacing w:before="40" w:after="40"/>
              <w:ind w:left="367"/>
              <w:jc w:val="center"/>
              <w:rPr>
                <w:rFonts w:eastAsia="Arial" w:cs="Arial"/>
                <w:color w:val="394A58"/>
                <w:sz w:val="16"/>
                <w:szCs w:val="16"/>
              </w:rPr>
            </w:pPr>
            <w:r w:rsidRPr="00662906">
              <w:rPr>
                <w:rFonts w:eastAsia="Arial" w:cs="Arial"/>
                <w:color w:val="394A58"/>
                <w:sz w:val="16"/>
                <w:szCs w:val="16"/>
              </w:rPr>
              <w:t>Roll out pilot financing programs in target communities</w:t>
            </w:r>
          </w:p>
          <w:p w14:paraId="327756DE" w14:textId="633156E4" w:rsidR="000A5599" w:rsidRPr="00662906" w:rsidRDefault="000A5599" w:rsidP="007E6C89">
            <w:pPr>
              <w:pStyle w:val="ListParagraph"/>
              <w:numPr>
                <w:ilvl w:val="0"/>
                <w:numId w:val="167"/>
              </w:numPr>
              <w:spacing w:before="40" w:after="40"/>
              <w:ind w:left="367"/>
              <w:jc w:val="center"/>
              <w:rPr>
                <w:rFonts w:eastAsia="Arial" w:cs="Arial"/>
                <w:color w:val="394A58"/>
                <w:sz w:val="16"/>
                <w:szCs w:val="16"/>
              </w:rPr>
            </w:pPr>
            <w:r w:rsidRPr="00662906">
              <w:rPr>
                <w:rFonts w:eastAsia="Arial" w:cs="Arial"/>
                <w:color w:val="394A58"/>
                <w:sz w:val="16"/>
                <w:szCs w:val="16"/>
              </w:rPr>
              <w:t>Train local NGOs on consumer finance literacy to reduce loan defaults</w:t>
            </w:r>
          </w:p>
          <w:p w14:paraId="663AEDD8" w14:textId="0B543F2C" w:rsidR="000A5599" w:rsidRPr="00662906" w:rsidRDefault="000A5599" w:rsidP="007E6C89">
            <w:pPr>
              <w:pStyle w:val="ListParagraph"/>
              <w:numPr>
                <w:ilvl w:val="0"/>
                <w:numId w:val="167"/>
              </w:numPr>
              <w:spacing w:before="40" w:after="40"/>
              <w:ind w:left="367"/>
              <w:jc w:val="center"/>
              <w:rPr>
                <w:rFonts w:eastAsia="Arial" w:cs="Arial"/>
                <w:color w:val="394A58"/>
                <w:sz w:val="16"/>
                <w:szCs w:val="16"/>
              </w:rPr>
            </w:pPr>
            <w:r w:rsidRPr="00662906">
              <w:rPr>
                <w:rFonts w:eastAsia="Arial" w:cs="Arial"/>
                <w:color w:val="394A58"/>
                <w:sz w:val="16"/>
                <w:szCs w:val="16"/>
              </w:rPr>
              <w:t>Evaluate repayment rates and overall consumer satisfaction</w:t>
            </w:r>
          </w:p>
        </w:tc>
        <w:tc>
          <w:tcPr>
            <w:tcW w:w="1276" w:type="dxa"/>
            <w:shd w:val="clear" w:color="auto" w:fill="FFFFFF"/>
            <w:tcMar>
              <w:left w:w="57" w:type="dxa"/>
              <w:right w:w="57" w:type="dxa"/>
            </w:tcMar>
          </w:tcPr>
          <w:p w14:paraId="7DC36B4E" w14:textId="3325AB5E"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4CF8887F" w14:textId="472BFA4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Development Banks</w:t>
            </w:r>
          </w:p>
        </w:tc>
        <w:tc>
          <w:tcPr>
            <w:tcW w:w="1198" w:type="dxa"/>
            <w:shd w:val="clear" w:color="auto" w:fill="FFFFFF"/>
            <w:tcMar>
              <w:left w:w="57" w:type="dxa"/>
              <w:right w:w="57" w:type="dxa"/>
            </w:tcMar>
          </w:tcPr>
          <w:p w14:paraId="75993F09" w14:textId="7D2E7546"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Microfinance Institutions, NGOs</w:t>
            </w:r>
          </w:p>
        </w:tc>
        <w:tc>
          <w:tcPr>
            <w:tcW w:w="851" w:type="dxa"/>
            <w:shd w:val="clear" w:color="auto" w:fill="FFFFFF"/>
            <w:tcMar>
              <w:left w:w="57" w:type="dxa"/>
              <w:right w:w="57" w:type="dxa"/>
            </w:tcMar>
          </w:tcPr>
          <w:p w14:paraId="13142060" w14:textId="7A55F0B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7B1A4DBA" w14:textId="58ACA989"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Consumer financing models (loan, pay-as-you-go)</w:t>
            </w:r>
          </w:p>
          <w:p w14:paraId="3B24D806" w14:textId="2210AB4D"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Pilot roll-out reports</w:t>
            </w:r>
          </w:p>
          <w:p w14:paraId="33C275ED" w14:textId="41D8FC8E"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materials on financial literacy</w:t>
            </w:r>
          </w:p>
        </w:tc>
        <w:tc>
          <w:tcPr>
            <w:tcW w:w="1701" w:type="dxa"/>
            <w:shd w:val="clear" w:color="auto" w:fill="FFFFFF"/>
          </w:tcPr>
          <w:p w14:paraId="4632E11C" w14:textId="03CF825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Higher adoption of clean cooking technologies by low-income households, driven by accessible financing options that ease upfront costs</w:t>
            </w:r>
          </w:p>
        </w:tc>
        <w:tc>
          <w:tcPr>
            <w:tcW w:w="1843" w:type="dxa"/>
            <w:shd w:val="clear" w:color="auto" w:fill="FFFFFF"/>
          </w:tcPr>
          <w:p w14:paraId="7A1BB40E"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Financing schemes launched (Yes/No)</w:t>
            </w:r>
          </w:p>
          <w:p w14:paraId="13D7671D"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Default rates monitored (Yes/No)</w:t>
            </w:r>
          </w:p>
          <w:p w14:paraId="52CC2C2B" w14:textId="499B77E9"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households benefiting from financing</w:t>
            </w:r>
          </w:p>
        </w:tc>
      </w:tr>
      <w:tr w:rsidR="000A5599" w:rsidRPr="00662906" w14:paraId="669C8F8D" w14:textId="77777777" w:rsidTr="007E6C89">
        <w:trPr>
          <w:trHeight w:val="300"/>
        </w:trPr>
        <w:tc>
          <w:tcPr>
            <w:tcW w:w="167" w:type="dxa"/>
            <w:shd w:val="clear" w:color="auto" w:fill="FFFFFF"/>
            <w:tcMar>
              <w:left w:w="57" w:type="dxa"/>
              <w:right w:w="57" w:type="dxa"/>
            </w:tcMar>
          </w:tcPr>
          <w:p w14:paraId="60E22D7A" w14:textId="77777777" w:rsidR="000A5599" w:rsidRPr="00662906" w:rsidRDefault="000A5599"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5FF7923C" w14:textId="08B6C861"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 xml:space="preserve">Develop Cookbooks for Traditional </w:t>
            </w:r>
            <w:r w:rsidRPr="00662906">
              <w:rPr>
                <w:rFonts w:cs="Arial"/>
                <w:sz w:val="16"/>
                <w:szCs w:val="16"/>
              </w:rPr>
              <w:lastRenderedPageBreak/>
              <w:t>Recipes Using Advanced Cooking Technologies</w:t>
            </w:r>
          </w:p>
        </w:tc>
        <w:tc>
          <w:tcPr>
            <w:tcW w:w="3260" w:type="dxa"/>
            <w:tcBorders>
              <w:top w:val="single" w:sz="4" w:space="0" w:color="9F2241"/>
              <w:left w:val="nil"/>
              <w:bottom w:val="single" w:sz="4" w:space="0" w:color="9F2241"/>
              <w:right w:val="nil"/>
            </w:tcBorders>
            <w:tcMar>
              <w:left w:w="57" w:type="dxa"/>
              <w:right w:w="57" w:type="dxa"/>
            </w:tcMar>
          </w:tcPr>
          <w:p w14:paraId="18E6DF06" w14:textId="76DF552C" w:rsidR="000A5599" w:rsidRPr="00662906" w:rsidRDefault="000A5599" w:rsidP="007E6C89">
            <w:pPr>
              <w:pStyle w:val="ListParagraph"/>
              <w:numPr>
                <w:ilvl w:val="0"/>
                <w:numId w:val="168"/>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Identify popular local dishes and adapt them for modern, efficient stoves</w:t>
            </w:r>
          </w:p>
          <w:p w14:paraId="6C06A798" w14:textId="4D99AC6F" w:rsidR="000A5599" w:rsidRPr="00662906" w:rsidRDefault="000A5599" w:rsidP="007E6C89">
            <w:pPr>
              <w:pStyle w:val="ListParagraph"/>
              <w:numPr>
                <w:ilvl w:val="0"/>
                <w:numId w:val="168"/>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Partner with culinary experts and community leaders to test and refine recipes</w:t>
            </w:r>
          </w:p>
          <w:p w14:paraId="74D629DA" w14:textId="4C91A8CC" w:rsidR="000A5599" w:rsidRPr="00662906" w:rsidRDefault="000A5599" w:rsidP="007E6C89">
            <w:pPr>
              <w:pStyle w:val="ListParagraph"/>
              <w:numPr>
                <w:ilvl w:val="0"/>
                <w:numId w:val="168"/>
              </w:numPr>
              <w:spacing w:before="40" w:after="40"/>
              <w:ind w:left="367"/>
              <w:jc w:val="center"/>
              <w:rPr>
                <w:rFonts w:eastAsia="Arial" w:cs="Arial"/>
                <w:color w:val="394A58"/>
                <w:sz w:val="16"/>
                <w:szCs w:val="16"/>
              </w:rPr>
            </w:pPr>
            <w:r w:rsidRPr="00662906">
              <w:rPr>
                <w:rFonts w:eastAsia="Arial" w:cs="Arial"/>
                <w:color w:val="394A58"/>
                <w:sz w:val="16"/>
                <w:szCs w:val="16"/>
              </w:rPr>
              <w:t>Publish and distribute cookbooks (print, digital) in multiple local languages</w:t>
            </w:r>
          </w:p>
        </w:tc>
        <w:tc>
          <w:tcPr>
            <w:tcW w:w="1276" w:type="dxa"/>
            <w:shd w:val="clear" w:color="auto" w:fill="FFFFFF"/>
            <w:tcMar>
              <w:left w:w="57" w:type="dxa"/>
              <w:right w:w="57" w:type="dxa"/>
            </w:tcMar>
          </w:tcPr>
          <w:p w14:paraId="571077D2" w14:textId="4DFFB6A7" w:rsidR="000A5599" w:rsidRPr="00662906" w:rsidRDefault="000A5599" w:rsidP="007E6C89">
            <w:pPr>
              <w:spacing w:before="40" w:after="40"/>
              <w:jc w:val="center"/>
              <w:rPr>
                <w:rFonts w:eastAsia="Arial" w:cs="Arial"/>
                <w:color w:val="53575A"/>
                <w:sz w:val="16"/>
                <w:szCs w:val="16"/>
              </w:rPr>
            </w:pPr>
            <w:r w:rsidRPr="00662906">
              <w:rPr>
                <w:rFonts w:cs="Arial"/>
                <w:sz w:val="16"/>
                <w:szCs w:val="16"/>
              </w:rPr>
              <w:lastRenderedPageBreak/>
              <w:t>National (Pilot AU Member States)</w:t>
            </w:r>
          </w:p>
        </w:tc>
        <w:tc>
          <w:tcPr>
            <w:tcW w:w="1070" w:type="dxa"/>
            <w:shd w:val="clear" w:color="auto" w:fill="FFFFFF"/>
            <w:tcMar>
              <w:left w:w="57" w:type="dxa"/>
              <w:right w:w="57" w:type="dxa"/>
            </w:tcMar>
          </w:tcPr>
          <w:p w14:paraId="2DD19539" w14:textId="660F0459"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Ministries of Energy</w:t>
            </w:r>
          </w:p>
        </w:tc>
        <w:tc>
          <w:tcPr>
            <w:tcW w:w="1198" w:type="dxa"/>
            <w:shd w:val="clear" w:color="auto" w:fill="FFFFFF"/>
            <w:tcMar>
              <w:left w:w="57" w:type="dxa"/>
              <w:right w:w="57" w:type="dxa"/>
            </w:tcMar>
          </w:tcPr>
          <w:p w14:paraId="5C566EB1" w14:textId="6926C8CF"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National Food Authorities</w:t>
            </w:r>
          </w:p>
        </w:tc>
        <w:tc>
          <w:tcPr>
            <w:tcW w:w="851" w:type="dxa"/>
            <w:shd w:val="clear" w:color="auto" w:fill="FFFFFF"/>
            <w:tcMar>
              <w:left w:w="57" w:type="dxa"/>
              <w:right w:w="57" w:type="dxa"/>
            </w:tcMar>
          </w:tcPr>
          <w:p w14:paraId="7AE164F9" w14:textId="0FF29E6B" w:rsidR="000A5599" w:rsidRPr="00662906" w:rsidRDefault="000A559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30D15416" w14:textId="69E25269"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Recipe collection adapted for clean cooking</w:t>
            </w:r>
          </w:p>
          <w:p w14:paraId="6993A33C" w14:textId="0D8D7FCC"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lastRenderedPageBreak/>
              <w:t>Community feedback reports</w:t>
            </w:r>
          </w:p>
          <w:p w14:paraId="04921274" w14:textId="5F272C3F"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Multilingual cookbook distribution</w:t>
            </w:r>
          </w:p>
        </w:tc>
        <w:tc>
          <w:tcPr>
            <w:tcW w:w="1701" w:type="dxa"/>
            <w:shd w:val="clear" w:color="auto" w:fill="FFFFFF"/>
          </w:tcPr>
          <w:p w14:paraId="72DAB14C" w14:textId="4AC91A1A" w:rsidR="000A5599" w:rsidRPr="00662906" w:rsidRDefault="000A5599" w:rsidP="007E6C89">
            <w:pPr>
              <w:spacing w:before="40" w:after="40"/>
              <w:jc w:val="center"/>
              <w:rPr>
                <w:rFonts w:eastAsia="Arial" w:cs="Arial"/>
                <w:color w:val="53575A"/>
                <w:sz w:val="16"/>
                <w:szCs w:val="16"/>
              </w:rPr>
            </w:pPr>
            <w:r w:rsidRPr="00662906">
              <w:rPr>
                <w:rFonts w:cs="Arial"/>
                <w:sz w:val="16"/>
                <w:szCs w:val="16"/>
              </w:rPr>
              <w:lastRenderedPageBreak/>
              <w:t xml:space="preserve">Increased user acceptance and cultural alignment of </w:t>
            </w:r>
            <w:r w:rsidRPr="00662906">
              <w:rPr>
                <w:rFonts w:cs="Arial"/>
                <w:sz w:val="16"/>
                <w:szCs w:val="16"/>
              </w:rPr>
              <w:lastRenderedPageBreak/>
              <w:t>new cooking methods, facilitating a smoother transition and sustained usage of advanced technologies</w:t>
            </w:r>
          </w:p>
        </w:tc>
        <w:tc>
          <w:tcPr>
            <w:tcW w:w="1843" w:type="dxa"/>
            <w:shd w:val="clear" w:color="auto" w:fill="FFFFFF"/>
          </w:tcPr>
          <w:p w14:paraId="6D4C2BEA"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Cookbook produced (Yes/No)</w:t>
            </w:r>
          </w:p>
          <w:p w14:paraId="1E3DA92B"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Number of local languages included</w:t>
            </w:r>
          </w:p>
          <w:p w14:paraId="62BF7947" w14:textId="3E8FA585"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Adoption feedback from users (Yes/No)</w:t>
            </w:r>
          </w:p>
        </w:tc>
      </w:tr>
      <w:tr w:rsidR="000A5599" w:rsidRPr="00662906" w14:paraId="644286C3" w14:textId="77777777" w:rsidTr="007E6C89">
        <w:trPr>
          <w:trHeight w:val="300"/>
        </w:trPr>
        <w:tc>
          <w:tcPr>
            <w:tcW w:w="167" w:type="dxa"/>
            <w:shd w:val="clear" w:color="auto" w:fill="FFFFFF"/>
            <w:tcMar>
              <w:left w:w="57" w:type="dxa"/>
              <w:right w:w="57" w:type="dxa"/>
            </w:tcMar>
          </w:tcPr>
          <w:p w14:paraId="1F3C109B" w14:textId="77777777" w:rsidR="000A5599" w:rsidRPr="00662906" w:rsidRDefault="000A5599"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9</w:t>
            </w:r>
          </w:p>
        </w:tc>
        <w:tc>
          <w:tcPr>
            <w:tcW w:w="1248" w:type="dxa"/>
            <w:shd w:val="clear" w:color="auto" w:fill="FFFFFF"/>
            <w:tcMar>
              <w:left w:w="57" w:type="dxa"/>
              <w:right w:w="57" w:type="dxa"/>
            </w:tcMar>
          </w:tcPr>
          <w:p w14:paraId="5E55D1DD" w14:textId="6731D580" w:rsidR="000A5599" w:rsidRPr="00662906" w:rsidRDefault="000A5599" w:rsidP="007E6C89">
            <w:pPr>
              <w:spacing w:before="40" w:after="40"/>
              <w:jc w:val="center"/>
              <w:rPr>
                <w:rFonts w:cs="Arial"/>
                <w:sz w:val="16"/>
                <w:szCs w:val="16"/>
              </w:rPr>
            </w:pPr>
            <w:r w:rsidRPr="00662906">
              <w:rPr>
                <w:rFonts w:cs="Arial"/>
                <w:sz w:val="16"/>
                <w:szCs w:val="16"/>
              </w:rPr>
              <w:t>Deployment of Clean Cooking Solutions in Institutional Kitchens</w:t>
            </w:r>
          </w:p>
        </w:tc>
        <w:tc>
          <w:tcPr>
            <w:tcW w:w="3260" w:type="dxa"/>
            <w:tcBorders>
              <w:top w:val="single" w:sz="4" w:space="0" w:color="9F2241"/>
              <w:left w:val="nil"/>
              <w:bottom w:val="single" w:sz="4" w:space="0" w:color="9F2241"/>
              <w:right w:val="nil"/>
            </w:tcBorders>
            <w:tcMar>
              <w:left w:w="57" w:type="dxa"/>
              <w:right w:w="57" w:type="dxa"/>
            </w:tcMar>
          </w:tcPr>
          <w:p w14:paraId="6C0C5FB1" w14:textId="17F15958" w:rsidR="000A5599" w:rsidRPr="00662906" w:rsidRDefault="000A5599" w:rsidP="007E6C89">
            <w:pPr>
              <w:pStyle w:val="ListParagraph"/>
              <w:numPr>
                <w:ilvl w:val="0"/>
                <w:numId w:val="169"/>
              </w:numPr>
              <w:spacing w:before="40" w:after="40"/>
              <w:ind w:left="367"/>
              <w:jc w:val="center"/>
              <w:rPr>
                <w:rFonts w:eastAsia="Arial" w:cs="Arial"/>
                <w:color w:val="394A58"/>
                <w:sz w:val="16"/>
                <w:szCs w:val="16"/>
              </w:rPr>
            </w:pPr>
            <w:r w:rsidRPr="00662906">
              <w:rPr>
                <w:rFonts w:eastAsia="Arial" w:cs="Arial"/>
                <w:color w:val="394A58"/>
                <w:sz w:val="16"/>
                <w:szCs w:val="16"/>
              </w:rPr>
              <w:t>Conduct baseline assessments of cooking energy needs in schools, refugee camps, prisons, etc.</w:t>
            </w:r>
          </w:p>
          <w:p w14:paraId="31C00469" w14:textId="1313301E" w:rsidR="000A5599" w:rsidRPr="00662906" w:rsidRDefault="000A5599" w:rsidP="007E6C89">
            <w:pPr>
              <w:pStyle w:val="ListParagraph"/>
              <w:numPr>
                <w:ilvl w:val="0"/>
                <w:numId w:val="169"/>
              </w:numPr>
              <w:spacing w:before="40" w:after="40"/>
              <w:ind w:left="367"/>
              <w:jc w:val="center"/>
              <w:rPr>
                <w:rFonts w:eastAsia="Arial" w:cs="Arial"/>
                <w:color w:val="394A58"/>
                <w:sz w:val="16"/>
                <w:szCs w:val="16"/>
              </w:rPr>
            </w:pPr>
            <w:r w:rsidRPr="00662906">
              <w:rPr>
                <w:rFonts w:eastAsia="Arial" w:cs="Arial"/>
                <w:color w:val="394A58"/>
                <w:sz w:val="16"/>
                <w:szCs w:val="16"/>
              </w:rPr>
              <w:t>Install large-scale clean cooking systems (biogas, LPG, energy-efficient stoves)</w:t>
            </w:r>
          </w:p>
          <w:p w14:paraId="2E75F468" w14:textId="70D36BD9" w:rsidR="000A5599" w:rsidRPr="00662906" w:rsidRDefault="000A5599" w:rsidP="007E6C89">
            <w:pPr>
              <w:pStyle w:val="ListParagraph"/>
              <w:numPr>
                <w:ilvl w:val="0"/>
                <w:numId w:val="169"/>
              </w:numPr>
              <w:spacing w:before="40" w:after="40"/>
              <w:ind w:left="367"/>
              <w:jc w:val="center"/>
              <w:rPr>
                <w:rFonts w:eastAsia="Arial" w:cs="Arial"/>
                <w:color w:val="394A58"/>
                <w:sz w:val="16"/>
                <w:szCs w:val="16"/>
              </w:rPr>
            </w:pPr>
            <w:r w:rsidRPr="00662906">
              <w:rPr>
                <w:rFonts w:eastAsia="Arial" w:cs="Arial"/>
                <w:color w:val="394A58"/>
                <w:sz w:val="16"/>
                <w:szCs w:val="16"/>
              </w:rPr>
              <w:t>Train personnel on operation, maintenance, and safety practices</w:t>
            </w:r>
          </w:p>
          <w:p w14:paraId="76ADEEDD" w14:textId="7294ACB1" w:rsidR="000A5599" w:rsidRPr="00662906" w:rsidRDefault="000A5599" w:rsidP="007E6C89">
            <w:pPr>
              <w:pStyle w:val="ListParagraph"/>
              <w:numPr>
                <w:ilvl w:val="0"/>
                <w:numId w:val="169"/>
              </w:numPr>
              <w:spacing w:before="40" w:after="40"/>
              <w:ind w:left="367"/>
              <w:jc w:val="center"/>
              <w:rPr>
                <w:rFonts w:eastAsia="Arial" w:cs="Arial"/>
                <w:color w:val="394A58"/>
                <w:sz w:val="16"/>
                <w:szCs w:val="16"/>
              </w:rPr>
            </w:pPr>
            <w:r w:rsidRPr="00662906">
              <w:rPr>
                <w:rFonts w:eastAsia="Arial" w:cs="Arial"/>
                <w:color w:val="394A58"/>
                <w:sz w:val="16"/>
                <w:szCs w:val="16"/>
              </w:rPr>
              <w:t>Monitor fuel consumption and air quality improvements</w:t>
            </w:r>
          </w:p>
        </w:tc>
        <w:tc>
          <w:tcPr>
            <w:tcW w:w="1276" w:type="dxa"/>
            <w:shd w:val="clear" w:color="auto" w:fill="FFFFFF"/>
            <w:tcMar>
              <w:left w:w="57" w:type="dxa"/>
              <w:right w:w="57" w:type="dxa"/>
            </w:tcMar>
          </w:tcPr>
          <w:p w14:paraId="09B195B1" w14:textId="69B433F4" w:rsidR="000A5599" w:rsidRPr="00662906" w:rsidRDefault="000A5599" w:rsidP="007E6C89">
            <w:pPr>
              <w:spacing w:before="40" w:after="40"/>
              <w:jc w:val="center"/>
              <w:rPr>
                <w:rFonts w:cs="Arial"/>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7CC84F16" w14:textId="413A039D" w:rsidR="000A5599" w:rsidRPr="00662906" w:rsidRDefault="000A5599" w:rsidP="007E6C89">
            <w:pPr>
              <w:spacing w:before="40" w:after="40"/>
              <w:jc w:val="center"/>
              <w:rPr>
                <w:rFonts w:cs="Arial"/>
                <w:sz w:val="16"/>
                <w:szCs w:val="16"/>
              </w:rPr>
            </w:pPr>
            <w:r w:rsidRPr="00662906">
              <w:rPr>
                <w:rFonts w:cs="Arial"/>
                <w:sz w:val="16"/>
                <w:szCs w:val="16"/>
              </w:rPr>
              <w:t>National Ministries of Energy</w:t>
            </w:r>
          </w:p>
        </w:tc>
        <w:tc>
          <w:tcPr>
            <w:tcW w:w="1198" w:type="dxa"/>
            <w:shd w:val="clear" w:color="auto" w:fill="FFFFFF"/>
            <w:tcMar>
              <w:left w:w="57" w:type="dxa"/>
              <w:right w:w="57" w:type="dxa"/>
            </w:tcMar>
          </w:tcPr>
          <w:p w14:paraId="2B8EEA24" w14:textId="17B4F102" w:rsidR="000A5599" w:rsidRPr="00662906" w:rsidRDefault="000A5599" w:rsidP="007E6C89">
            <w:pPr>
              <w:spacing w:before="40" w:after="40"/>
              <w:jc w:val="center"/>
              <w:rPr>
                <w:rFonts w:cs="Arial"/>
                <w:sz w:val="16"/>
                <w:szCs w:val="16"/>
              </w:rPr>
            </w:pPr>
            <w:r w:rsidRPr="00662906">
              <w:rPr>
                <w:rFonts w:cs="Arial"/>
                <w:sz w:val="16"/>
                <w:szCs w:val="16"/>
              </w:rPr>
              <w:t>AFREC,</w:t>
            </w:r>
            <w:r w:rsidR="00E87869" w:rsidRPr="00662906">
              <w:rPr>
                <w:rFonts w:cs="Arial"/>
                <w:sz w:val="16"/>
                <w:szCs w:val="16"/>
              </w:rPr>
              <w:t xml:space="preserve"> World Food Programme (</w:t>
            </w:r>
            <w:r w:rsidRPr="00662906">
              <w:rPr>
                <w:rFonts w:cs="Arial"/>
                <w:sz w:val="16"/>
                <w:szCs w:val="16"/>
              </w:rPr>
              <w:t>WFP</w:t>
            </w:r>
            <w:r w:rsidR="00E87869" w:rsidRPr="00662906">
              <w:rPr>
                <w:rFonts w:cs="Arial"/>
                <w:sz w:val="16"/>
                <w:szCs w:val="16"/>
              </w:rPr>
              <w:t>)</w:t>
            </w:r>
            <w:r w:rsidRPr="00662906">
              <w:rPr>
                <w:rFonts w:cs="Arial"/>
                <w:sz w:val="16"/>
                <w:szCs w:val="16"/>
              </w:rPr>
              <w:t xml:space="preserve">, </w:t>
            </w:r>
            <w:r w:rsidR="00E87869" w:rsidRPr="00662906">
              <w:rPr>
                <w:rFonts w:cs="Arial"/>
                <w:sz w:val="16"/>
                <w:szCs w:val="16"/>
              </w:rPr>
              <w:t>United Nations High Commissioner for Refugees (</w:t>
            </w:r>
            <w:r w:rsidRPr="00662906">
              <w:rPr>
                <w:rFonts w:cs="Arial"/>
                <w:sz w:val="16"/>
                <w:szCs w:val="16"/>
              </w:rPr>
              <w:t>UNHCR</w:t>
            </w:r>
            <w:r w:rsidR="00E87869" w:rsidRPr="00662906">
              <w:rPr>
                <w:rFonts w:cs="Arial"/>
                <w:sz w:val="16"/>
                <w:szCs w:val="16"/>
              </w:rPr>
              <w:t>)</w:t>
            </w:r>
            <w:r w:rsidRPr="00662906">
              <w:rPr>
                <w:rFonts w:cs="Arial"/>
                <w:sz w:val="16"/>
                <w:szCs w:val="16"/>
              </w:rPr>
              <w:t>, NGOs</w:t>
            </w:r>
          </w:p>
        </w:tc>
        <w:tc>
          <w:tcPr>
            <w:tcW w:w="851" w:type="dxa"/>
            <w:shd w:val="clear" w:color="auto" w:fill="FFFFFF"/>
            <w:tcMar>
              <w:left w:w="57" w:type="dxa"/>
              <w:right w:w="57" w:type="dxa"/>
            </w:tcMar>
          </w:tcPr>
          <w:p w14:paraId="24B93754" w14:textId="23F00EFE" w:rsidR="000A5599" w:rsidRPr="00662906" w:rsidRDefault="000A5599" w:rsidP="007E6C89">
            <w:pPr>
              <w:spacing w:before="40" w:after="40"/>
              <w:jc w:val="center"/>
              <w:rPr>
                <w:rFonts w:cs="Arial"/>
                <w:sz w:val="16"/>
                <w:szCs w:val="16"/>
              </w:rPr>
            </w:pPr>
            <w:r w:rsidRPr="00662906">
              <w:rPr>
                <w:rFonts w:cs="Arial"/>
                <w:sz w:val="16"/>
                <w:szCs w:val="16"/>
              </w:rPr>
              <w:t>Short Term</w:t>
            </w:r>
          </w:p>
        </w:tc>
        <w:tc>
          <w:tcPr>
            <w:tcW w:w="1842" w:type="dxa"/>
            <w:shd w:val="clear" w:color="auto" w:fill="FFFFFF"/>
          </w:tcPr>
          <w:p w14:paraId="216E2464" w14:textId="42FC8BFE"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Baseline reports on institutional cooking demand</w:t>
            </w:r>
          </w:p>
          <w:p w14:paraId="1976CCCC" w14:textId="2421E93C"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Installed institutional-scale clean cooking technologies</w:t>
            </w:r>
          </w:p>
          <w:p w14:paraId="280BFE50" w14:textId="71487426" w:rsidR="000A5599" w:rsidRPr="00662906" w:rsidRDefault="000A5599" w:rsidP="007E6C89">
            <w:pPr>
              <w:pStyle w:val="ListParagraph"/>
              <w:numPr>
                <w:ilvl w:val="0"/>
                <w:numId w:val="63"/>
              </w:numPr>
              <w:spacing w:before="40" w:after="40"/>
              <w:ind w:left="317"/>
              <w:jc w:val="center"/>
              <w:rPr>
                <w:rFonts w:eastAsia="Arial" w:cs="Arial"/>
                <w:color w:val="53575A"/>
                <w:sz w:val="16"/>
                <w:szCs w:val="16"/>
              </w:rPr>
            </w:pPr>
            <w:r w:rsidRPr="00662906">
              <w:rPr>
                <w:rFonts w:eastAsia="Arial" w:cs="Arial"/>
                <w:color w:val="53575A"/>
                <w:sz w:val="16"/>
                <w:szCs w:val="16"/>
              </w:rPr>
              <w:t>Training session records and maintenance logs</w:t>
            </w:r>
          </w:p>
        </w:tc>
        <w:tc>
          <w:tcPr>
            <w:tcW w:w="1701" w:type="dxa"/>
            <w:shd w:val="clear" w:color="auto" w:fill="FFFFFF"/>
          </w:tcPr>
          <w:p w14:paraId="6F280C31" w14:textId="1FFB3C00" w:rsidR="000A5599" w:rsidRPr="00662906" w:rsidRDefault="000A5599" w:rsidP="007E6C89">
            <w:pPr>
              <w:spacing w:before="40" w:after="40"/>
              <w:jc w:val="center"/>
              <w:rPr>
                <w:rFonts w:cs="Arial"/>
                <w:sz w:val="16"/>
                <w:szCs w:val="16"/>
              </w:rPr>
            </w:pPr>
            <w:r w:rsidRPr="00662906">
              <w:rPr>
                <w:rFonts w:cs="Arial"/>
                <w:sz w:val="16"/>
                <w:szCs w:val="16"/>
              </w:rPr>
              <w:t>Reduced dependence on traditional biomass in institutional settings, leading to better indoor air quality, cost savings, and a demonstration effect for wider community uptake</w:t>
            </w:r>
          </w:p>
        </w:tc>
        <w:tc>
          <w:tcPr>
            <w:tcW w:w="1843" w:type="dxa"/>
            <w:shd w:val="clear" w:color="auto" w:fill="FFFFFF"/>
          </w:tcPr>
          <w:p w14:paraId="1BCED37D" w14:textId="77777777"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Baseline assessment completed (Yes/No)</w:t>
            </w:r>
          </w:p>
          <w:p w14:paraId="1F7846D8" w14:textId="7DAA2544" w:rsidR="000A5599" w:rsidRPr="00662906" w:rsidRDefault="000A559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institutions adopting clean cooking</w:t>
            </w:r>
          </w:p>
        </w:tc>
      </w:tr>
    </w:tbl>
    <w:p w14:paraId="00F578C3" w14:textId="2F3CFE10" w:rsidR="00502B4B" w:rsidRPr="00662906" w:rsidRDefault="00CF685A" w:rsidP="00CF685A">
      <w:pPr>
        <w:rPr>
          <w:rFonts w:eastAsia="Arial" w:cs="Arial"/>
          <w:i/>
          <w:iCs/>
          <w:color w:val="B4A169"/>
          <w:sz w:val="16"/>
          <w:szCs w:val="16"/>
        </w:rPr>
      </w:pPr>
      <w:r w:rsidRPr="00662906">
        <w:rPr>
          <w:rFonts w:eastAsia="Arial" w:cs="Arial"/>
          <w:i/>
          <w:iCs/>
          <w:color w:val="B4A169"/>
          <w:sz w:val="16"/>
          <w:szCs w:val="16"/>
        </w:rPr>
        <w:t>Source: Authors' own creation</w:t>
      </w:r>
    </w:p>
    <w:p w14:paraId="65AA6881" w14:textId="2EBE046E" w:rsidR="000F437B" w:rsidRPr="00662906" w:rsidRDefault="07A1CB6B" w:rsidP="00BC0340">
      <w:pPr>
        <w:pStyle w:val="Caption"/>
      </w:pPr>
      <w:bookmarkStart w:id="701" w:name="_Toc171955606"/>
      <w:bookmarkStart w:id="702" w:name="_Toc176430334"/>
      <w:bookmarkStart w:id="703" w:name="_Toc197433921"/>
      <w:r w:rsidRPr="00662906">
        <w:t xml:space="preserve">Table </w:t>
      </w:r>
      <w:fldSimple w:instr=" SEQ Table \* ARABIC ">
        <w:r w:rsidR="00610F61">
          <w:rPr>
            <w:noProof/>
          </w:rPr>
          <w:t>33</w:t>
        </w:r>
      </w:fldSimple>
      <w:r w:rsidR="4078794D" w:rsidRPr="00662906">
        <w:t>: Strategic Intervention 2 Enhancing Market Structures and Supply Chains</w:t>
      </w:r>
      <w:bookmarkEnd w:id="701"/>
      <w:bookmarkEnd w:id="702"/>
      <w:bookmarkEnd w:id="703"/>
    </w:p>
    <w:tbl>
      <w:tblPr>
        <w:tblStyle w:val="TableGrid"/>
        <w:tblpPr w:leftFromText="180" w:rightFromText="180" w:vertAnchor="text" w:tblpY="1"/>
        <w:tblOverlap w:val="never"/>
        <w:tblW w:w="14578"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281"/>
        <w:gridCol w:w="1248"/>
        <w:gridCol w:w="8"/>
        <w:gridCol w:w="3252"/>
        <w:gridCol w:w="8"/>
        <w:gridCol w:w="1268"/>
        <w:gridCol w:w="8"/>
        <w:gridCol w:w="1062"/>
        <w:gridCol w:w="8"/>
        <w:gridCol w:w="1190"/>
        <w:gridCol w:w="8"/>
        <w:gridCol w:w="843"/>
        <w:gridCol w:w="8"/>
        <w:gridCol w:w="1834"/>
        <w:gridCol w:w="8"/>
        <w:gridCol w:w="1693"/>
        <w:gridCol w:w="8"/>
        <w:gridCol w:w="1835"/>
        <w:gridCol w:w="8"/>
      </w:tblGrid>
      <w:tr w:rsidR="00012660" w:rsidRPr="00662906" w14:paraId="6F36F5C8" w14:textId="77777777" w:rsidTr="007E6C89">
        <w:trPr>
          <w:trHeight w:val="360"/>
        </w:trPr>
        <w:tc>
          <w:tcPr>
            <w:tcW w:w="14578" w:type="dxa"/>
            <w:gridSpan w:val="19"/>
            <w:shd w:val="clear" w:color="auto" w:fill="B4A269"/>
            <w:vAlign w:val="center"/>
          </w:tcPr>
          <w:p w14:paraId="3FDB70EC" w14:textId="62FEE531"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color w:val="FFFFFF" w:themeColor="background2"/>
                <w:sz w:val="16"/>
                <w:szCs w:val="16"/>
              </w:rPr>
              <w:t>The reliance on traditional cooking methods in Africa leads to widespread household air pollution, contributing to significant health risks, environmental degradation, and energy inefficiency. The adoption of advanced cooking technologies has remained low due to high costs, cultural preferences, and inadequate supply chains. This intervention seeks to develop and deploy affordable, user-friendly, and culturally appropriate clean cooking solutions. By improving access to advanced cooking technologies, the pathway envisions reduced air pollution, lower disease burdens, enhanced energy efficiency, and improved quality of life for millions of households.</w:t>
            </w:r>
          </w:p>
        </w:tc>
      </w:tr>
      <w:tr w:rsidR="00310C2A" w:rsidRPr="00662906" w14:paraId="358DBF09" w14:textId="77777777" w:rsidTr="007E6C89">
        <w:trPr>
          <w:trHeight w:val="699"/>
        </w:trPr>
        <w:tc>
          <w:tcPr>
            <w:tcW w:w="1537" w:type="dxa"/>
            <w:gridSpan w:val="3"/>
            <w:shd w:val="clear" w:color="auto" w:fill="B4A269"/>
            <w:tcMar>
              <w:left w:w="57" w:type="dxa"/>
              <w:right w:w="57" w:type="dxa"/>
            </w:tcMar>
            <w:vAlign w:val="center"/>
          </w:tcPr>
          <w:p w14:paraId="5A4FD29D"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gridSpan w:val="2"/>
            <w:shd w:val="clear" w:color="auto" w:fill="B4A269"/>
            <w:tcMar>
              <w:left w:w="57" w:type="dxa"/>
              <w:right w:w="57" w:type="dxa"/>
            </w:tcMar>
            <w:vAlign w:val="center"/>
          </w:tcPr>
          <w:p w14:paraId="434FBD88" w14:textId="77777777" w:rsidR="00310C2A" w:rsidRPr="00662906" w:rsidRDefault="00310C2A"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gridSpan w:val="2"/>
            <w:shd w:val="clear" w:color="auto" w:fill="B4A269"/>
            <w:tcMar>
              <w:left w:w="57" w:type="dxa"/>
              <w:right w:w="57" w:type="dxa"/>
            </w:tcMar>
            <w:vAlign w:val="center"/>
          </w:tcPr>
          <w:p w14:paraId="6526E4D8"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gridSpan w:val="2"/>
            <w:shd w:val="clear" w:color="auto" w:fill="B4A269"/>
            <w:tcMar>
              <w:left w:w="57" w:type="dxa"/>
              <w:right w:w="57" w:type="dxa"/>
            </w:tcMar>
            <w:vAlign w:val="center"/>
          </w:tcPr>
          <w:p w14:paraId="20261587"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gridSpan w:val="2"/>
            <w:shd w:val="clear" w:color="auto" w:fill="B4A269"/>
            <w:tcMar>
              <w:left w:w="57" w:type="dxa"/>
              <w:right w:w="57" w:type="dxa"/>
            </w:tcMar>
            <w:vAlign w:val="center"/>
          </w:tcPr>
          <w:p w14:paraId="70149476"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gridSpan w:val="2"/>
            <w:shd w:val="clear" w:color="auto" w:fill="B4A269"/>
            <w:tcMar>
              <w:left w:w="57" w:type="dxa"/>
              <w:right w:w="57" w:type="dxa"/>
            </w:tcMar>
            <w:vAlign w:val="center"/>
          </w:tcPr>
          <w:p w14:paraId="60906A73"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gridSpan w:val="2"/>
            <w:shd w:val="clear" w:color="auto" w:fill="B4A269"/>
            <w:vAlign w:val="center"/>
          </w:tcPr>
          <w:p w14:paraId="1F50BA16"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gridSpan w:val="2"/>
            <w:shd w:val="clear" w:color="auto" w:fill="B4A269"/>
            <w:vAlign w:val="center"/>
          </w:tcPr>
          <w:p w14:paraId="76FF9E94"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gridSpan w:val="2"/>
            <w:shd w:val="clear" w:color="auto" w:fill="B4A269"/>
            <w:vAlign w:val="center"/>
          </w:tcPr>
          <w:p w14:paraId="477383A2" w14:textId="77777777" w:rsidR="00310C2A" w:rsidRPr="00662906" w:rsidRDefault="00310C2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BE032C" w:rsidRPr="00662906" w14:paraId="29BB05B2" w14:textId="77777777" w:rsidTr="007E6C89">
        <w:trPr>
          <w:gridAfter w:val="1"/>
          <w:wAfter w:w="8" w:type="dxa"/>
          <w:trHeight w:val="1413"/>
        </w:trPr>
        <w:tc>
          <w:tcPr>
            <w:tcW w:w="281" w:type="dxa"/>
            <w:shd w:val="clear" w:color="auto" w:fill="FFFFFF"/>
            <w:tcMar>
              <w:left w:w="57" w:type="dxa"/>
              <w:right w:w="57" w:type="dxa"/>
            </w:tcMar>
          </w:tcPr>
          <w:p w14:paraId="19E6864D" w14:textId="77777777" w:rsidR="00BE032C" w:rsidRPr="00662906" w:rsidRDefault="00BE032C"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3BBAFD22" w14:textId="606F7215"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Implement Policy Frameworks to Support Local Manufacturing</w:t>
            </w:r>
          </w:p>
        </w:tc>
        <w:tc>
          <w:tcPr>
            <w:tcW w:w="3260" w:type="dxa"/>
            <w:gridSpan w:val="2"/>
            <w:tcBorders>
              <w:bottom w:val="single" w:sz="2" w:space="0" w:color="9F2241"/>
            </w:tcBorders>
            <w:shd w:val="clear" w:color="auto" w:fill="FFFFFF"/>
            <w:tcMar>
              <w:left w:w="57" w:type="dxa"/>
              <w:right w:w="57" w:type="dxa"/>
            </w:tcMar>
          </w:tcPr>
          <w:p w14:paraId="74D14AC8" w14:textId="79DD4F33" w:rsidR="00BE032C" w:rsidRPr="00662906" w:rsidRDefault="00BE032C" w:rsidP="007E6C89">
            <w:pPr>
              <w:pStyle w:val="ListParagraph"/>
              <w:numPr>
                <w:ilvl w:val="0"/>
                <w:numId w:val="170"/>
              </w:numPr>
              <w:spacing w:before="0" w:after="0"/>
              <w:ind w:left="401"/>
              <w:jc w:val="center"/>
              <w:rPr>
                <w:rFonts w:cs="Arial"/>
                <w:sz w:val="16"/>
                <w:szCs w:val="16"/>
              </w:rPr>
            </w:pPr>
            <w:r w:rsidRPr="00662906">
              <w:rPr>
                <w:rFonts w:cs="Arial"/>
                <w:sz w:val="16"/>
                <w:szCs w:val="16"/>
              </w:rPr>
              <w:t>Draft policy proposals offering tax breaks, subsidies, and capacity-building programs to local manufacturers</w:t>
            </w:r>
          </w:p>
          <w:p w14:paraId="1C2EC13C" w14:textId="3A3462F8" w:rsidR="00BE032C" w:rsidRPr="00662906" w:rsidRDefault="00BE032C" w:rsidP="007E6C89">
            <w:pPr>
              <w:pStyle w:val="ListParagraph"/>
              <w:numPr>
                <w:ilvl w:val="0"/>
                <w:numId w:val="170"/>
              </w:numPr>
              <w:spacing w:before="0" w:after="0"/>
              <w:ind w:left="401"/>
              <w:jc w:val="center"/>
              <w:rPr>
                <w:rFonts w:cs="Arial"/>
                <w:sz w:val="16"/>
                <w:szCs w:val="16"/>
              </w:rPr>
            </w:pPr>
            <w:r w:rsidRPr="00662906">
              <w:rPr>
                <w:rFonts w:cs="Arial"/>
                <w:sz w:val="16"/>
                <w:szCs w:val="16"/>
              </w:rPr>
              <w:t>Organize stakeholder consultations (manufacturers, trade associations) to refine policy measures</w:t>
            </w:r>
          </w:p>
          <w:p w14:paraId="48B7E7E6" w14:textId="06C59F49" w:rsidR="00BE032C" w:rsidRPr="00662906" w:rsidRDefault="00BE032C" w:rsidP="007E6C89">
            <w:pPr>
              <w:pStyle w:val="ListParagraph"/>
              <w:numPr>
                <w:ilvl w:val="0"/>
                <w:numId w:val="170"/>
              </w:numPr>
              <w:spacing w:before="0" w:after="0"/>
              <w:ind w:left="401"/>
              <w:jc w:val="center"/>
              <w:rPr>
                <w:rFonts w:cs="Arial"/>
                <w:sz w:val="16"/>
                <w:szCs w:val="16"/>
              </w:rPr>
            </w:pPr>
            <w:r w:rsidRPr="00662906">
              <w:rPr>
                <w:rFonts w:cs="Arial"/>
                <w:sz w:val="16"/>
                <w:szCs w:val="16"/>
              </w:rPr>
              <w:t>Enact legislation or executive directives enabling financial and technical support</w:t>
            </w:r>
          </w:p>
          <w:p w14:paraId="24D057AB" w14:textId="010815D2" w:rsidR="00BE032C" w:rsidRPr="00662906" w:rsidRDefault="00BE032C" w:rsidP="007E6C89">
            <w:pPr>
              <w:pStyle w:val="ListParagraph"/>
              <w:numPr>
                <w:ilvl w:val="0"/>
                <w:numId w:val="170"/>
              </w:numPr>
              <w:spacing w:before="0" w:after="0"/>
              <w:ind w:left="401"/>
              <w:jc w:val="center"/>
              <w:rPr>
                <w:rFonts w:cs="Arial"/>
                <w:sz w:val="16"/>
                <w:szCs w:val="16"/>
              </w:rPr>
            </w:pPr>
            <w:r w:rsidRPr="00662906">
              <w:rPr>
                <w:rFonts w:cs="Arial"/>
                <w:sz w:val="16"/>
                <w:szCs w:val="16"/>
              </w:rPr>
              <w:t>Track and evaluate policy impact on domestic manufacturing growth</w:t>
            </w:r>
          </w:p>
        </w:tc>
        <w:tc>
          <w:tcPr>
            <w:tcW w:w="1276" w:type="dxa"/>
            <w:gridSpan w:val="2"/>
            <w:shd w:val="clear" w:color="auto" w:fill="FFFFFF"/>
            <w:tcMar>
              <w:left w:w="57" w:type="dxa"/>
              <w:right w:w="57" w:type="dxa"/>
            </w:tcMar>
          </w:tcPr>
          <w:p w14:paraId="67C01063" w14:textId="72A39BC5"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gridSpan w:val="2"/>
            <w:shd w:val="clear" w:color="auto" w:fill="FFFFFF"/>
            <w:tcMar>
              <w:left w:w="57" w:type="dxa"/>
              <w:right w:w="57" w:type="dxa"/>
            </w:tcMar>
          </w:tcPr>
          <w:p w14:paraId="4E419AED" w14:textId="099BD9CB"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Ministries of Trade and Industry</w:t>
            </w:r>
          </w:p>
        </w:tc>
        <w:tc>
          <w:tcPr>
            <w:tcW w:w="1198" w:type="dxa"/>
            <w:gridSpan w:val="2"/>
            <w:shd w:val="clear" w:color="auto" w:fill="FFFFFF"/>
            <w:tcMar>
              <w:left w:w="57" w:type="dxa"/>
              <w:right w:w="57" w:type="dxa"/>
            </w:tcMar>
          </w:tcPr>
          <w:p w14:paraId="7BBF2300" w14:textId="77777777" w:rsidR="00BE032C" w:rsidRPr="00662906" w:rsidRDefault="00BE032C" w:rsidP="007E6C89">
            <w:pPr>
              <w:spacing w:before="40" w:after="40"/>
              <w:jc w:val="center"/>
              <w:rPr>
                <w:rFonts w:cs="Arial"/>
                <w:sz w:val="16"/>
                <w:szCs w:val="16"/>
              </w:rPr>
            </w:pPr>
            <w:r w:rsidRPr="00662906">
              <w:rPr>
                <w:rFonts w:cs="Arial"/>
                <w:sz w:val="16"/>
                <w:szCs w:val="16"/>
              </w:rPr>
              <w:t>Local Manufacturers, Trade Associations</w:t>
            </w:r>
          </w:p>
          <w:p w14:paraId="45E164B1" w14:textId="73CDA2E6"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Ministries of energy</w:t>
            </w:r>
          </w:p>
        </w:tc>
        <w:tc>
          <w:tcPr>
            <w:tcW w:w="851" w:type="dxa"/>
            <w:gridSpan w:val="2"/>
            <w:shd w:val="clear" w:color="auto" w:fill="FFFFFF"/>
            <w:tcMar>
              <w:left w:w="57" w:type="dxa"/>
              <w:right w:w="57" w:type="dxa"/>
            </w:tcMar>
          </w:tcPr>
          <w:p w14:paraId="72E0B809" w14:textId="61B282F7"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05352D8D" w14:textId="7C60CF76"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Policy briefs and draft legislation</w:t>
            </w:r>
          </w:p>
          <w:p w14:paraId="64212D2C" w14:textId="00B40069"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Stakeholder consultation reports</w:t>
            </w:r>
          </w:p>
          <w:p w14:paraId="767EEA96" w14:textId="4394E1D4"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Enacted legislative measures</w:t>
            </w:r>
          </w:p>
        </w:tc>
        <w:tc>
          <w:tcPr>
            <w:tcW w:w="1701" w:type="dxa"/>
            <w:gridSpan w:val="2"/>
            <w:shd w:val="clear" w:color="auto" w:fill="FFFFFF"/>
          </w:tcPr>
          <w:p w14:paraId="7DFA6F34" w14:textId="76D2FD97"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Strengthened local manufacturing base for clean cooking technologies, reducing import dependence and creating local jobs</w:t>
            </w:r>
          </w:p>
        </w:tc>
        <w:tc>
          <w:tcPr>
            <w:tcW w:w="1843" w:type="dxa"/>
            <w:gridSpan w:val="2"/>
            <w:shd w:val="clear" w:color="auto" w:fill="FFFFFF"/>
          </w:tcPr>
          <w:p w14:paraId="6156FB8F"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Legislation enacted (Yes/No)</w:t>
            </w:r>
          </w:p>
          <w:p w14:paraId="390F5FE4"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local manufacturers receiving support</w:t>
            </w:r>
          </w:p>
          <w:p w14:paraId="38D3A057" w14:textId="3D4C741D"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Measurable increase in domestic production (Yes/No)</w:t>
            </w:r>
          </w:p>
        </w:tc>
      </w:tr>
      <w:tr w:rsidR="00BE032C" w:rsidRPr="00662906" w14:paraId="63587F91" w14:textId="77777777" w:rsidTr="007E6C89">
        <w:trPr>
          <w:gridAfter w:val="1"/>
          <w:wAfter w:w="8" w:type="dxa"/>
          <w:trHeight w:val="300"/>
        </w:trPr>
        <w:tc>
          <w:tcPr>
            <w:tcW w:w="281" w:type="dxa"/>
            <w:shd w:val="clear" w:color="auto" w:fill="FFFFFF"/>
            <w:tcMar>
              <w:left w:w="57" w:type="dxa"/>
              <w:right w:w="57" w:type="dxa"/>
            </w:tcMar>
          </w:tcPr>
          <w:p w14:paraId="06D63A36" w14:textId="77777777" w:rsidR="00BE032C" w:rsidRPr="00662906" w:rsidRDefault="00BE032C"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6383D41A" w14:textId="58B90CD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 xml:space="preserve">Facilitate Cross-border Clean Cooking </w:t>
            </w:r>
            <w:r w:rsidRPr="00662906">
              <w:rPr>
                <w:rFonts w:cs="Arial"/>
                <w:sz w:val="16"/>
                <w:szCs w:val="16"/>
              </w:rPr>
              <w:lastRenderedPageBreak/>
              <w:t>Equipment Trade Agreements under AfCFTA</w:t>
            </w:r>
            <w:r w:rsidRPr="00662906">
              <w:rPr>
                <w:rFonts w:eastAsia="Arial" w:cs="Arial"/>
                <w:color w:val="394A58"/>
                <w:sz w:val="16"/>
                <w:szCs w:val="16"/>
                <w:vertAlign w:val="superscript"/>
              </w:rPr>
              <w:footnoteReference w:id="40"/>
            </w:r>
          </w:p>
        </w:tc>
        <w:tc>
          <w:tcPr>
            <w:tcW w:w="3260" w:type="dxa"/>
            <w:gridSpan w:val="2"/>
            <w:tcBorders>
              <w:bottom w:val="single" w:sz="4" w:space="0" w:color="9F2241"/>
            </w:tcBorders>
            <w:shd w:val="clear" w:color="auto" w:fill="FFFFFF"/>
            <w:tcMar>
              <w:left w:w="57" w:type="dxa"/>
              <w:right w:w="57" w:type="dxa"/>
            </w:tcMar>
          </w:tcPr>
          <w:p w14:paraId="0D666A66" w14:textId="71F1D3C2" w:rsidR="00BE032C" w:rsidRPr="00662906" w:rsidRDefault="00BE032C" w:rsidP="007E6C89">
            <w:pPr>
              <w:pStyle w:val="ListParagraph"/>
              <w:numPr>
                <w:ilvl w:val="0"/>
                <w:numId w:val="171"/>
              </w:numPr>
              <w:spacing w:before="40" w:after="40"/>
              <w:ind w:left="401"/>
              <w:jc w:val="center"/>
              <w:rPr>
                <w:rFonts w:eastAsia="Arial" w:cs="Arial"/>
                <w:color w:val="394A58"/>
                <w:sz w:val="16"/>
                <w:szCs w:val="16"/>
              </w:rPr>
            </w:pPr>
            <w:r w:rsidRPr="00662906">
              <w:rPr>
                <w:rFonts w:eastAsia="Arial" w:cs="Arial"/>
                <w:color w:val="394A58"/>
                <w:sz w:val="16"/>
                <w:szCs w:val="16"/>
              </w:rPr>
              <w:lastRenderedPageBreak/>
              <w:t>Identify tariff barriers and regulatory bottlenecks for clean cooking product trade</w:t>
            </w:r>
          </w:p>
          <w:p w14:paraId="2D0C82A7" w14:textId="74222099" w:rsidR="00BE032C" w:rsidRPr="00662906" w:rsidRDefault="00BE032C" w:rsidP="007E6C89">
            <w:pPr>
              <w:pStyle w:val="ListParagraph"/>
              <w:numPr>
                <w:ilvl w:val="0"/>
                <w:numId w:val="171"/>
              </w:numPr>
              <w:spacing w:before="40" w:after="40"/>
              <w:ind w:left="401"/>
              <w:jc w:val="center"/>
              <w:rPr>
                <w:rFonts w:eastAsia="Arial" w:cs="Arial"/>
                <w:color w:val="394A58"/>
                <w:sz w:val="16"/>
                <w:szCs w:val="16"/>
              </w:rPr>
            </w:pPr>
            <w:r w:rsidRPr="00662906">
              <w:rPr>
                <w:rFonts w:eastAsia="Arial" w:cs="Arial"/>
                <w:color w:val="394A58"/>
                <w:sz w:val="16"/>
                <w:szCs w:val="16"/>
              </w:rPr>
              <w:lastRenderedPageBreak/>
              <w:t>Collaborate with customs authorities to streamline processes for essential components and finished products</w:t>
            </w:r>
          </w:p>
          <w:p w14:paraId="53FD11F7" w14:textId="667C692B" w:rsidR="00BE032C" w:rsidRPr="00662906" w:rsidRDefault="00BE032C" w:rsidP="007E6C89">
            <w:pPr>
              <w:pStyle w:val="ListParagraph"/>
              <w:numPr>
                <w:ilvl w:val="0"/>
                <w:numId w:val="171"/>
              </w:numPr>
              <w:spacing w:before="40" w:after="40"/>
              <w:ind w:left="401"/>
              <w:jc w:val="center"/>
              <w:rPr>
                <w:rFonts w:eastAsia="Arial" w:cs="Arial"/>
                <w:color w:val="394A58"/>
                <w:sz w:val="16"/>
                <w:szCs w:val="16"/>
              </w:rPr>
            </w:pPr>
            <w:r w:rsidRPr="00662906">
              <w:rPr>
                <w:rFonts w:eastAsia="Arial" w:cs="Arial"/>
                <w:color w:val="394A58"/>
                <w:sz w:val="16"/>
                <w:szCs w:val="16"/>
              </w:rPr>
              <w:t>Develop and adopt common standards to ease cross-border movement</w:t>
            </w:r>
          </w:p>
          <w:p w14:paraId="408B8303" w14:textId="22FE6B71" w:rsidR="00BE032C" w:rsidRPr="00662906" w:rsidRDefault="00BE032C" w:rsidP="007E6C89">
            <w:pPr>
              <w:pStyle w:val="ListParagraph"/>
              <w:numPr>
                <w:ilvl w:val="0"/>
                <w:numId w:val="171"/>
              </w:numPr>
              <w:spacing w:before="40" w:after="40"/>
              <w:ind w:left="401"/>
              <w:jc w:val="center"/>
              <w:rPr>
                <w:rFonts w:eastAsia="Arial" w:cs="Arial"/>
                <w:color w:val="394A58"/>
                <w:sz w:val="16"/>
                <w:szCs w:val="16"/>
              </w:rPr>
            </w:pPr>
            <w:r w:rsidRPr="00662906">
              <w:rPr>
                <w:rFonts w:eastAsia="Arial" w:cs="Arial"/>
                <w:color w:val="394A58"/>
                <w:sz w:val="16"/>
                <w:szCs w:val="16"/>
              </w:rPr>
              <w:t>Monitor progress and compliance among member states</w:t>
            </w:r>
          </w:p>
        </w:tc>
        <w:tc>
          <w:tcPr>
            <w:tcW w:w="1276" w:type="dxa"/>
            <w:gridSpan w:val="2"/>
            <w:shd w:val="clear" w:color="auto" w:fill="FFFFFF"/>
            <w:tcMar>
              <w:left w:w="57" w:type="dxa"/>
              <w:right w:w="57" w:type="dxa"/>
            </w:tcMar>
          </w:tcPr>
          <w:p w14:paraId="432DE773" w14:textId="18571CD1" w:rsidR="00BE032C" w:rsidRPr="00662906" w:rsidRDefault="00BE032C" w:rsidP="007E6C89">
            <w:pPr>
              <w:spacing w:before="40" w:after="40"/>
              <w:jc w:val="center"/>
              <w:rPr>
                <w:rFonts w:eastAsia="Arial" w:cs="Arial"/>
                <w:color w:val="53575A"/>
                <w:sz w:val="16"/>
                <w:szCs w:val="16"/>
              </w:rPr>
            </w:pPr>
            <w:r w:rsidRPr="00662906">
              <w:rPr>
                <w:rFonts w:cs="Arial"/>
                <w:sz w:val="16"/>
                <w:szCs w:val="16"/>
              </w:rPr>
              <w:lastRenderedPageBreak/>
              <w:t>Continental</w:t>
            </w:r>
          </w:p>
        </w:tc>
        <w:tc>
          <w:tcPr>
            <w:tcW w:w="1070" w:type="dxa"/>
            <w:gridSpan w:val="2"/>
            <w:shd w:val="clear" w:color="auto" w:fill="FFFFFF"/>
            <w:tcMar>
              <w:left w:w="57" w:type="dxa"/>
              <w:right w:w="57" w:type="dxa"/>
            </w:tcMar>
          </w:tcPr>
          <w:p w14:paraId="53150D0E" w14:textId="60F944A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AUC/AfCFTA</w:t>
            </w:r>
          </w:p>
        </w:tc>
        <w:tc>
          <w:tcPr>
            <w:tcW w:w="1198" w:type="dxa"/>
            <w:gridSpan w:val="2"/>
            <w:shd w:val="clear" w:color="auto" w:fill="FFFFFF"/>
            <w:tcMar>
              <w:left w:w="57" w:type="dxa"/>
              <w:right w:w="57" w:type="dxa"/>
            </w:tcMar>
          </w:tcPr>
          <w:p w14:paraId="69A2A99A" w14:textId="55CBCCDA"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Customs Authorities, RECs</w:t>
            </w:r>
          </w:p>
        </w:tc>
        <w:tc>
          <w:tcPr>
            <w:tcW w:w="851" w:type="dxa"/>
            <w:gridSpan w:val="2"/>
            <w:shd w:val="clear" w:color="auto" w:fill="FFFFFF"/>
            <w:tcMar>
              <w:left w:w="57" w:type="dxa"/>
              <w:right w:w="57" w:type="dxa"/>
            </w:tcMar>
          </w:tcPr>
          <w:p w14:paraId="205158C8" w14:textId="067EAFA6"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09E433D8" w14:textId="1533B414"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Tariff and regulatory review reports</w:t>
            </w:r>
          </w:p>
          <w:p w14:paraId="12A5A469" w14:textId="11C51B82"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lastRenderedPageBreak/>
              <w:t>Simplified customs procedures</w:t>
            </w:r>
          </w:p>
          <w:p w14:paraId="2FF4F1D3" w14:textId="478D53EA"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Common standards for clean cooking trade</w:t>
            </w:r>
          </w:p>
        </w:tc>
        <w:tc>
          <w:tcPr>
            <w:tcW w:w="1701" w:type="dxa"/>
            <w:gridSpan w:val="2"/>
            <w:shd w:val="clear" w:color="auto" w:fill="FFFFFF"/>
          </w:tcPr>
          <w:p w14:paraId="62EDF12F" w14:textId="17578AC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lastRenderedPageBreak/>
              <w:t xml:space="preserve">Seamless trade of clean cooking technologies across </w:t>
            </w:r>
            <w:r w:rsidRPr="00662906">
              <w:rPr>
                <w:rFonts w:cs="Arial"/>
                <w:sz w:val="16"/>
                <w:szCs w:val="16"/>
              </w:rPr>
              <w:lastRenderedPageBreak/>
              <w:t>African borders, lowering costs and expanding regional markets for manufacturers and consumers</w:t>
            </w:r>
          </w:p>
        </w:tc>
        <w:tc>
          <w:tcPr>
            <w:tcW w:w="1843" w:type="dxa"/>
            <w:gridSpan w:val="2"/>
            <w:shd w:val="clear" w:color="auto" w:fill="FFFFFF"/>
          </w:tcPr>
          <w:p w14:paraId="3F7713FD"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lastRenderedPageBreak/>
              <w:t>Agreement on reduced tariffs (Yes/No)</w:t>
            </w:r>
          </w:p>
          <w:p w14:paraId="56469804"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lastRenderedPageBreak/>
              <w:t>Common standards adopted (Yes/No)</w:t>
            </w:r>
          </w:p>
          <w:p w14:paraId="2A2EE01D" w14:textId="6D42B9C0"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Increase in cross-border trade volume (Yes/No)</w:t>
            </w:r>
          </w:p>
        </w:tc>
      </w:tr>
      <w:tr w:rsidR="00BE032C" w:rsidRPr="00662906" w14:paraId="36620B55" w14:textId="77777777" w:rsidTr="007E6C89">
        <w:trPr>
          <w:gridAfter w:val="1"/>
          <w:wAfter w:w="8" w:type="dxa"/>
          <w:trHeight w:val="300"/>
        </w:trPr>
        <w:tc>
          <w:tcPr>
            <w:tcW w:w="281" w:type="dxa"/>
            <w:shd w:val="clear" w:color="auto" w:fill="FFFFFF"/>
            <w:tcMar>
              <w:left w:w="57" w:type="dxa"/>
              <w:right w:w="57" w:type="dxa"/>
            </w:tcMar>
          </w:tcPr>
          <w:p w14:paraId="5522BF02" w14:textId="77777777" w:rsidR="00BE032C" w:rsidRPr="00662906" w:rsidRDefault="00BE032C" w:rsidP="007E6C89">
            <w:pPr>
              <w:spacing w:before="40" w:after="40"/>
              <w:jc w:val="center"/>
              <w:rPr>
                <w:rFonts w:cs="Arial"/>
                <w:color w:val="53575A"/>
                <w:sz w:val="16"/>
                <w:szCs w:val="16"/>
              </w:rPr>
            </w:pPr>
            <w:r w:rsidRPr="00662906">
              <w:rPr>
                <w:rFonts w:eastAsia="Arial" w:cs="Arial"/>
                <w:color w:val="53575A"/>
                <w:sz w:val="16"/>
                <w:szCs w:val="16"/>
              </w:rPr>
              <w:lastRenderedPageBreak/>
              <w:t>3</w:t>
            </w:r>
          </w:p>
        </w:tc>
        <w:tc>
          <w:tcPr>
            <w:tcW w:w="1248" w:type="dxa"/>
            <w:shd w:val="clear" w:color="auto" w:fill="FFFFFF"/>
            <w:tcMar>
              <w:left w:w="57" w:type="dxa"/>
              <w:right w:w="57" w:type="dxa"/>
            </w:tcMar>
          </w:tcPr>
          <w:p w14:paraId="310687B2" w14:textId="5CE30D3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Create Incentive Schemes for Local Production</w:t>
            </w:r>
          </w:p>
        </w:tc>
        <w:tc>
          <w:tcPr>
            <w:tcW w:w="3260" w:type="dxa"/>
            <w:gridSpan w:val="2"/>
            <w:tcBorders>
              <w:top w:val="single" w:sz="4" w:space="0" w:color="9F2241"/>
              <w:left w:val="nil"/>
              <w:bottom w:val="single" w:sz="4" w:space="0" w:color="9F2241"/>
              <w:right w:val="nil"/>
            </w:tcBorders>
            <w:tcMar>
              <w:left w:w="57" w:type="dxa"/>
              <w:right w:w="57" w:type="dxa"/>
            </w:tcMar>
          </w:tcPr>
          <w:p w14:paraId="7EB867FF" w14:textId="22AC5A2C" w:rsidR="00BE032C" w:rsidRPr="00662906" w:rsidRDefault="00BE032C" w:rsidP="007E6C89">
            <w:pPr>
              <w:pStyle w:val="ListParagraph"/>
              <w:numPr>
                <w:ilvl w:val="0"/>
                <w:numId w:val="172"/>
              </w:numPr>
              <w:spacing w:before="40" w:after="40"/>
              <w:ind w:left="401"/>
              <w:jc w:val="center"/>
              <w:rPr>
                <w:rFonts w:eastAsia="Arial" w:cs="Arial"/>
                <w:color w:val="394A58"/>
                <w:sz w:val="16"/>
                <w:szCs w:val="16"/>
              </w:rPr>
            </w:pPr>
            <w:r w:rsidRPr="00662906">
              <w:rPr>
                <w:rFonts w:eastAsia="Arial" w:cs="Arial"/>
                <w:color w:val="394A58"/>
                <w:sz w:val="16"/>
                <w:szCs w:val="16"/>
              </w:rPr>
              <w:t>Develop grant and award programs targeting entrepreneurs in clean cooking tech</w:t>
            </w:r>
          </w:p>
          <w:p w14:paraId="037AAEA8" w14:textId="295436F1" w:rsidR="00BE032C" w:rsidRPr="00662906" w:rsidRDefault="00BE032C" w:rsidP="007E6C89">
            <w:pPr>
              <w:pStyle w:val="ListParagraph"/>
              <w:numPr>
                <w:ilvl w:val="0"/>
                <w:numId w:val="172"/>
              </w:numPr>
              <w:spacing w:before="40" w:after="40"/>
              <w:ind w:left="401"/>
              <w:jc w:val="center"/>
              <w:rPr>
                <w:rFonts w:eastAsia="Arial" w:cs="Arial"/>
                <w:color w:val="394A58"/>
                <w:sz w:val="16"/>
                <w:szCs w:val="16"/>
              </w:rPr>
            </w:pPr>
            <w:r w:rsidRPr="00662906">
              <w:rPr>
                <w:rFonts w:eastAsia="Arial" w:cs="Arial"/>
                <w:color w:val="394A58"/>
                <w:sz w:val="16"/>
                <w:szCs w:val="16"/>
              </w:rPr>
              <w:t>Promote innovation contests encouraging cost-efficient designs</w:t>
            </w:r>
          </w:p>
          <w:p w14:paraId="148B10D1" w14:textId="4DDB728F" w:rsidR="00BE032C" w:rsidRPr="00662906" w:rsidRDefault="00BE032C" w:rsidP="007E6C89">
            <w:pPr>
              <w:pStyle w:val="ListParagraph"/>
              <w:numPr>
                <w:ilvl w:val="0"/>
                <w:numId w:val="172"/>
              </w:numPr>
              <w:spacing w:before="40" w:after="40"/>
              <w:ind w:left="401"/>
              <w:jc w:val="center"/>
              <w:rPr>
                <w:rFonts w:eastAsia="Arial" w:cs="Arial"/>
                <w:color w:val="394A58"/>
                <w:sz w:val="16"/>
                <w:szCs w:val="16"/>
              </w:rPr>
            </w:pPr>
            <w:r w:rsidRPr="00662906">
              <w:rPr>
                <w:rFonts w:eastAsia="Arial" w:cs="Arial"/>
                <w:color w:val="394A58"/>
                <w:sz w:val="16"/>
                <w:szCs w:val="16"/>
              </w:rPr>
              <w:t>Collaborate with financial institutions to provide low-interest loans</w:t>
            </w:r>
          </w:p>
          <w:p w14:paraId="34EEECDA" w14:textId="05E8C119" w:rsidR="00BE032C" w:rsidRPr="00662906" w:rsidRDefault="00BE032C" w:rsidP="007E6C89">
            <w:pPr>
              <w:pStyle w:val="ListParagraph"/>
              <w:numPr>
                <w:ilvl w:val="0"/>
                <w:numId w:val="172"/>
              </w:numPr>
              <w:spacing w:before="40" w:after="40"/>
              <w:ind w:left="401"/>
              <w:jc w:val="center"/>
              <w:rPr>
                <w:rFonts w:eastAsia="Arial" w:cs="Arial"/>
                <w:color w:val="394A58"/>
                <w:sz w:val="16"/>
                <w:szCs w:val="16"/>
              </w:rPr>
            </w:pPr>
            <w:r w:rsidRPr="00662906">
              <w:rPr>
                <w:rFonts w:eastAsia="Arial" w:cs="Arial"/>
                <w:color w:val="394A58"/>
                <w:sz w:val="16"/>
                <w:szCs w:val="16"/>
              </w:rPr>
              <w:t>Conduct periodic impact assessments on technology availability and affordability</w:t>
            </w:r>
          </w:p>
        </w:tc>
        <w:tc>
          <w:tcPr>
            <w:tcW w:w="1276" w:type="dxa"/>
            <w:gridSpan w:val="2"/>
            <w:shd w:val="clear" w:color="auto" w:fill="FFFFFF"/>
            <w:tcMar>
              <w:left w:w="57" w:type="dxa"/>
              <w:right w:w="57" w:type="dxa"/>
            </w:tcMar>
          </w:tcPr>
          <w:p w14:paraId="4D014395" w14:textId="45252EB9"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w:t>
            </w:r>
          </w:p>
        </w:tc>
        <w:tc>
          <w:tcPr>
            <w:tcW w:w="1070" w:type="dxa"/>
            <w:gridSpan w:val="2"/>
            <w:shd w:val="clear" w:color="auto" w:fill="FFFFFF"/>
            <w:tcMar>
              <w:left w:w="57" w:type="dxa"/>
              <w:right w:w="57" w:type="dxa"/>
            </w:tcMar>
          </w:tcPr>
          <w:p w14:paraId="448A838B" w14:textId="3E7E4A9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Ministries of Industry</w:t>
            </w:r>
          </w:p>
        </w:tc>
        <w:tc>
          <w:tcPr>
            <w:tcW w:w="1198" w:type="dxa"/>
            <w:gridSpan w:val="2"/>
            <w:shd w:val="clear" w:color="auto" w:fill="FFFFFF"/>
            <w:tcMar>
              <w:left w:w="57" w:type="dxa"/>
              <w:right w:w="57" w:type="dxa"/>
            </w:tcMar>
          </w:tcPr>
          <w:p w14:paraId="10E5523A" w14:textId="0E018052"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Financial Institutions, Local Entrepreneurs</w:t>
            </w:r>
          </w:p>
        </w:tc>
        <w:tc>
          <w:tcPr>
            <w:tcW w:w="851" w:type="dxa"/>
            <w:gridSpan w:val="2"/>
            <w:shd w:val="clear" w:color="auto" w:fill="FFFFFF"/>
            <w:tcMar>
              <w:left w:w="57" w:type="dxa"/>
              <w:right w:w="57" w:type="dxa"/>
            </w:tcMar>
          </w:tcPr>
          <w:p w14:paraId="48902FAB" w14:textId="6AA472F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gridSpan w:val="2"/>
            <w:shd w:val="clear" w:color="auto" w:fill="FFFFFF"/>
          </w:tcPr>
          <w:p w14:paraId="48384C61" w14:textId="3E52213A"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Grant/award program guidelines</w:t>
            </w:r>
          </w:p>
          <w:p w14:paraId="32D6F723" w14:textId="5F08B345"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Innovation contest outcomes</w:t>
            </w:r>
          </w:p>
          <w:p w14:paraId="04383761" w14:textId="1C7A5AB2"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Low-interest loan agreements</w:t>
            </w:r>
          </w:p>
        </w:tc>
        <w:tc>
          <w:tcPr>
            <w:tcW w:w="1701" w:type="dxa"/>
            <w:gridSpan w:val="2"/>
            <w:shd w:val="clear" w:color="auto" w:fill="FFFFFF"/>
          </w:tcPr>
          <w:p w14:paraId="7BB14187" w14:textId="1474F1E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Enhanced local manufacturing capabilities and diversity of clean cooking solutions, making them more accessible and affordable for end users</w:t>
            </w:r>
          </w:p>
        </w:tc>
        <w:tc>
          <w:tcPr>
            <w:tcW w:w="1843" w:type="dxa"/>
            <w:gridSpan w:val="2"/>
            <w:shd w:val="clear" w:color="auto" w:fill="FFFFFF"/>
          </w:tcPr>
          <w:p w14:paraId="3EAE3EBC"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grants/awards allocated</w:t>
            </w:r>
          </w:p>
          <w:p w14:paraId="2631B8C4"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Innovation contest held (Yes/No)</w:t>
            </w:r>
          </w:p>
          <w:p w14:paraId="640F349B" w14:textId="603D2E9A"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Loan facility utilization by local producers (Yes/No)</w:t>
            </w:r>
          </w:p>
        </w:tc>
      </w:tr>
      <w:tr w:rsidR="00BE032C" w:rsidRPr="00662906" w14:paraId="01E70D79" w14:textId="77777777" w:rsidTr="007E6C89">
        <w:trPr>
          <w:gridAfter w:val="1"/>
          <w:wAfter w:w="8" w:type="dxa"/>
          <w:trHeight w:val="300"/>
        </w:trPr>
        <w:tc>
          <w:tcPr>
            <w:tcW w:w="281" w:type="dxa"/>
            <w:shd w:val="clear" w:color="auto" w:fill="FFFFFF"/>
            <w:tcMar>
              <w:left w:w="57" w:type="dxa"/>
              <w:right w:w="57" w:type="dxa"/>
            </w:tcMar>
          </w:tcPr>
          <w:p w14:paraId="6A597A5E" w14:textId="77777777" w:rsidR="00BE032C" w:rsidRPr="00662906" w:rsidRDefault="00BE032C"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05B854B9" w14:textId="0D7F15D5"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Enhance Electricity Distribution Networks for Rural Access</w:t>
            </w:r>
          </w:p>
        </w:tc>
        <w:tc>
          <w:tcPr>
            <w:tcW w:w="3260" w:type="dxa"/>
            <w:gridSpan w:val="2"/>
            <w:tcBorders>
              <w:top w:val="single" w:sz="4" w:space="0" w:color="9F2241"/>
              <w:left w:val="nil"/>
              <w:bottom w:val="single" w:sz="4" w:space="0" w:color="9F2241"/>
              <w:right w:val="nil"/>
            </w:tcBorders>
            <w:tcMar>
              <w:left w:w="57" w:type="dxa"/>
              <w:right w:w="57" w:type="dxa"/>
            </w:tcMar>
          </w:tcPr>
          <w:p w14:paraId="2A2BD9B0" w14:textId="76C6ACEA" w:rsidR="00BE032C" w:rsidRPr="00662906" w:rsidRDefault="00BE032C" w:rsidP="007E6C89">
            <w:pPr>
              <w:pStyle w:val="ListParagraph"/>
              <w:numPr>
                <w:ilvl w:val="0"/>
                <w:numId w:val="173"/>
              </w:numPr>
              <w:spacing w:before="40" w:after="40"/>
              <w:ind w:left="401"/>
              <w:jc w:val="center"/>
              <w:rPr>
                <w:rFonts w:eastAsia="Arial" w:cs="Arial"/>
                <w:color w:val="394A58"/>
                <w:sz w:val="16"/>
                <w:szCs w:val="16"/>
              </w:rPr>
            </w:pPr>
            <w:r w:rsidRPr="00662906">
              <w:rPr>
                <w:rFonts w:eastAsia="Arial" w:cs="Arial"/>
                <w:color w:val="394A58"/>
                <w:sz w:val="16"/>
                <w:szCs w:val="16"/>
              </w:rPr>
              <w:t>Map out underserved regions with limited grid access</w:t>
            </w:r>
          </w:p>
          <w:p w14:paraId="6F4AEC4F" w14:textId="3EE48C76" w:rsidR="00BE032C" w:rsidRPr="00662906" w:rsidRDefault="00BE032C" w:rsidP="007E6C89">
            <w:pPr>
              <w:pStyle w:val="ListParagraph"/>
              <w:numPr>
                <w:ilvl w:val="0"/>
                <w:numId w:val="173"/>
              </w:numPr>
              <w:spacing w:before="40" w:after="40"/>
              <w:ind w:left="401"/>
              <w:jc w:val="center"/>
              <w:rPr>
                <w:rFonts w:eastAsia="Arial" w:cs="Arial"/>
                <w:color w:val="394A58"/>
                <w:sz w:val="16"/>
                <w:szCs w:val="16"/>
              </w:rPr>
            </w:pPr>
            <w:r w:rsidRPr="00662906">
              <w:rPr>
                <w:rFonts w:eastAsia="Arial" w:cs="Arial"/>
                <w:color w:val="394A58"/>
                <w:sz w:val="16"/>
                <w:szCs w:val="16"/>
              </w:rPr>
              <w:t>Upgrade or extend electrical infrastructure, focusing on compatibility with clean cooking appliances</w:t>
            </w:r>
          </w:p>
          <w:p w14:paraId="28587575" w14:textId="60ED63A8" w:rsidR="00BE032C" w:rsidRPr="00662906" w:rsidRDefault="00BE032C" w:rsidP="007E6C89">
            <w:pPr>
              <w:pStyle w:val="ListParagraph"/>
              <w:numPr>
                <w:ilvl w:val="0"/>
                <w:numId w:val="173"/>
              </w:numPr>
              <w:spacing w:before="40" w:after="40"/>
              <w:ind w:left="401"/>
              <w:jc w:val="center"/>
              <w:rPr>
                <w:rFonts w:eastAsia="Arial" w:cs="Arial"/>
                <w:color w:val="394A58"/>
                <w:sz w:val="16"/>
                <w:szCs w:val="16"/>
              </w:rPr>
            </w:pPr>
            <w:r w:rsidRPr="00662906">
              <w:rPr>
                <w:rFonts w:eastAsia="Arial" w:cs="Arial"/>
                <w:color w:val="394A58"/>
                <w:sz w:val="16"/>
                <w:szCs w:val="16"/>
              </w:rPr>
              <w:t xml:space="preserve">Partner with private sector to establish </w:t>
            </w:r>
            <w:r w:rsidR="005A71B4" w:rsidRPr="00662906">
              <w:rPr>
                <w:rFonts w:eastAsia="Arial" w:cs="Arial"/>
                <w:color w:val="394A58"/>
                <w:sz w:val="16"/>
                <w:szCs w:val="16"/>
              </w:rPr>
              <w:t>mini grids</w:t>
            </w:r>
            <w:r w:rsidRPr="00662906">
              <w:rPr>
                <w:rFonts w:eastAsia="Arial" w:cs="Arial"/>
                <w:color w:val="394A58"/>
                <w:sz w:val="16"/>
                <w:szCs w:val="16"/>
              </w:rPr>
              <w:t xml:space="preserve"> where full grid extension is not feasible</w:t>
            </w:r>
          </w:p>
          <w:p w14:paraId="5D814B7F" w14:textId="5E9D2CD6" w:rsidR="00BE032C" w:rsidRPr="00662906" w:rsidRDefault="00BE032C" w:rsidP="007E6C89">
            <w:pPr>
              <w:pStyle w:val="ListParagraph"/>
              <w:numPr>
                <w:ilvl w:val="0"/>
                <w:numId w:val="173"/>
              </w:numPr>
              <w:spacing w:before="40" w:after="40"/>
              <w:ind w:left="401"/>
              <w:jc w:val="center"/>
              <w:rPr>
                <w:rFonts w:eastAsia="Arial" w:cs="Arial"/>
                <w:color w:val="394A58"/>
                <w:sz w:val="16"/>
                <w:szCs w:val="16"/>
              </w:rPr>
            </w:pPr>
            <w:r w:rsidRPr="00662906">
              <w:rPr>
                <w:rFonts w:eastAsia="Arial" w:cs="Arial"/>
                <w:color w:val="394A58"/>
                <w:sz w:val="16"/>
                <w:szCs w:val="16"/>
              </w:rPr>
              <w:t>Provide training on system maintenance to local technicians</w:t>
            </w:r>
          </w:p>
        </w:tc>
        <w:tc>
          <w:tcPr>
            <w:tcW w:w="1276" w:type="dxa"/>
            <w:gridSpan w:val="2"/>
            <w:shd w:val="clear" w:color="auto" w:fill="FFFFFF"/>
            <w:tcMar>
              <w:left w:w="57" w:type="dxa"/>
              <w:right w:w="57" w:type="dxa"/>
            </w:tcMar>
          </w:tcPr>
          <w:p w14:paraId="443A2ED6" w14:textId="41DC9D1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w:t>
            </w:r>
          </w:p>
        </w:tc>
        <w:tc>
          <w:tcPr>
            <w:tcW w:w="1070" w:type="dxa"/>
            <w:gridSpan w:val="2"/>
            <w:shd w:val="clear" w:color="auto" w:fill="FFFFFF"/>
            <w:tcMar>
              <w:left w:w="57" w:type="dxa"/>
              <w:right w:w="57" w:type="dxa"/>
            </w:tcMar>
          </w:tcPr>
          <w:p w14:paraId="0723B092" w14:textId="4783703E"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Ministries of Energy</w:t>
            </w:r>
          </w:p>
        </w:tc>
        <w:tc>
          <w:tcPr>
            <w:tcW w:w="1198" w:type="dxa"/>
            <w:gridSpan w:val="2"/>
            <w:shd w:val="clear" w:color="auto" w:fill="FFFFFF"/>
            <w:tcMar>
              <w:left w:w="57" w:type="dxa"/>
              <w:right w:w="57" w:type="dxa"/>
            </w:tcMar>
          </w:tcPr>
          <w:p w14:paraId="7F3988EF" w14:textId="1875E227"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Local Governments, NGOs, Private Sector</w:t>
            </w:r>
          </w:p>
        </w:tc>
        <w:tc>
          <w:tcPr>
            <w:tcW w:w="851" w:type="dxa"/>
            <w:gridSpan w:val="2"/>
            <w:shd w:val="clear" w:color="auto" w:fill="FFFFFF"/>
            <w:tcMar>
              <w:left w:w="57" w:type="dxa"/>
              <w:right w:w="57" w:type="dxa"/>
            </w:tcMar>
          </w:tcPr>
          <w:p w14:paraId="5D4725FE" w14:textId="7D71ADA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6256E5FD" w14:textId="00FE108D"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Infrastructure upgrade plans</w:t>
            </w:r>
          </w:p>
          <w:p w14:paraId="3AC212DF" w14:textId="4D919160"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Installed or extended grid/mini-grid systems</w:t>
            </w:r>
          </w:p>
          <w:p w14:paraId="4A72A720" w14:textId="4D531C2A"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Maintenance training materials</w:t>
            </w:r>
          </w:p>
        </w:tc>
        <w:tc>
          <w:tcPr>
            <w:tcW w:w="1701" w:type="dxa"/>
            <w:gridSpan w:val="2"/>
            <w:shd w:val="clear" w:color="auto" w:fill="FFFFFF"/>
          </w:tcPr>
          <w:p w14:paraId="2B824EF8" w14:textId="6571086D"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Increased adoption of electric clean cooking solutions in rural and underserved areas, reducing reliance on polluting fuels and improving living standards</w:t>
            </w:r>
          </w:p>
        </w:tc>
        <w:tc>
          <w:tcPr>
            <w:tcW w:w="1843" w:type="dxa"/>
            <w:gridSpan w:val="2"/>
            <w:shd w:val="clear" w:color="auto" w:fill="FFFFFF"/>
          </w:tcPr>
          <w:p w14:paraId="15BF67C0" w14:textId="4D427FB2"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grid extensions/</w:t>
            </w:r>
            <w:r w:rsidR="005A71B4" w:rsidRPr="00662906">
              <w:rPr>
                <w:rFonts w:eastAsia="Arial" w:cs="Arial"/>
                <w:color w:val="53575A"/>
                <w:sz w:val="16"/>
                <w:szCs w:val="16"/>
              </w:rPr>
              <w:t>mini grids</w:t>
            </w:r>
            <w:r w:rsidRPr="00662906">
              <w:rPr>
                <w:rFonts w:eastAsia="Arial" w:cs="Arial"/>
                <w:color w:val="53575A"/>
                <w:sz w:val="16"/>
                <w:szCs w:val="16"/>
              </w:rPr>
              <w:t xml:space="preserve"> implemented</w:t>
            </w:r>
          </w:p>
          <w:p w14:paraId="068B7575"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Maintenance training conducted (Yes/No)</w:t>
            </w:r>
          </w:p>
          <w:p w14:paraId="22B481DF" w14:textId="7BA8672F"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Rise in electric clean cooking appliance usage (Yes/No)</w:t>
            </w:r>
          </w:p>
        </w:tc>
      </w:tr>
      <w:tr w:rsidR="00BE032C" w:rsidRPr="00662906" w14:paraId="7FC07DCA" w14:textId="77777777" w:rsidTr="007E6C89">
        <w:trPr>
          <w:gridAfter w:val="1"/>
          <w:wAfter w:w="8" w:type="dxa"/>
          <w:trHeight w:val="300"/>
        </w:trPr>
        <w:tc>
          <w:tcPr>
            <w:tcW w:w="281" w:type="dxa"/>
            <w:shd w:val="clear" w:color="auto" w:fill="FFFFFF"/>
            <w:tcMar>
              <w:left w:w="57" w:type="dxa"/>
              <w:right w:w="57" w:type="dxa"/>
            </w:tcMar>
          </w:tcPr>
          <w:p w14:paraId="17FC9D0C" w14:textId="77777777" w:rsidR="00BE032C" w:rsidRPr="00662906" w:rsidRDefault="00BE032C"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512190C7" w14:textId="5F7542DA"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Subsidize Transportation Costs for Clean Cooking Solutions to Remote Areas</w:t>
            </w:r>
          </w:p>
        </w:tc>
        <w:tc>
          <w:tcPr>
            <w:tcW w:w="3260" w:type="dxa"/>
            <w:gridSpan w:val="2"/>
            <w:tcBorders>
              <w:top w:val="single" w:sz="4" w:space="0" w:color="9F2241"/>
              <w:left w:val="nil"/>
              <w:bottom w:val="single" w:sz="4" w:space="0" w:color="9F2241"/>
              <w:right w:val="nil"/>
            </w:tcBorders>
            <w:tcMar>
              <w:left w:w="57" w:type="dxa"/>
              <w:right w:w="57" w:type="dxa"/>
            </w:tcMar>
          </w:tcPr>
          <w:p w14:paraId="2AF9C062" w14:textId="0E15073D" w:rsidR="00BE032C" w:rsidRPr="00662906" w:rsidRDefault="00BE032C" w:rsidP="007E6C89">
            <w:pPr>
              <w:pStyle w:val="ListParagraph"/>
              <w:numPr>
                <w:ilvl w:val="0"/>
                <w:numId w:val="174"/>
              </w:numPr>
              <w:spacing w:before="40" w:after="40"/>
              <w:ind w:left="401"/>
              <w:jc w:val="center"/>
              <w:rPr>
                <w:rFonts w:eastAsia="Arial" w:cs="Arial"/>
                <w:color w:val="394A58"/>
                <w:sz w:val="16"/>
                <w:szCs w:val="16"/>
              </w:rPr>
            </w:pPr>
            <w:r w:rsidRPr="00662906">
              <w:rPr>
                <w:rFonts w:eastAsia="Arial" w:cs="Arial"/>
                <w:color w:val="394A58"/>
                <w:sz w:val="16"/>
                <w:szCs w:val="16"/>
              </w:rPr>
              <w:t>Develop subsidy criteria targeting transport companies serving remote regions</w:t>
            </w:r>
          </w:p>
          <w:p w14:paraId="4A562F97" w14:textId="57C37584" w:rsidR="00BE032C" w:rsidRPr="00662906" w:rsidRDefault="00BE032C" w:rsidP="007E6C89">
            <w:pPr>
              <w:pStyle w:val="ListParagraph"/>
              <w:numPr>
                <w:ilvl w:val="0"/>
                <w:numId w:val="174"/>
              </w:numPr>
              <w:spacing w:before="40" w:after="40"/>
              <w:ind w:left="401"/>
              <w:jc w:val="center"/>
              <w:rPr>
                <w:rFonts w:eastAsia="Arial" w:cs="Arial"/>
                <w:color w:val="394A58"/>
                <w:sz w:val="16"/>
                <w:szCs w:val="16"/>
              </w:rPr>
            </w:pPr>
            <w:r w:rsidRPr="00662906">
              <w:rPr>
                <w:rFonts w:eastAsia="Arial" w:cs="Arial"/>
                <w:color w:val="394A58"/>
                <w:sz w:val="16"/>
                <w:szCs w:val="16"/>
              </w:rPr>
              <w:t>Collaborate with local governments to identify high-priority communities</w:t>
            </w:r>
          </w:p>
          <w:p w14:paraId="676C9257" w14:textId="0080384D" w:rsidR="00BE032C" w:rsidRPr="00662906" w:rsidRDefault="00BE032C" w:rsidP="007E6C89">
            <w:pPr>
              <w:pStyle w:val="ListParagraph"/>
              <w:numPr>
                <w:ilvl w:val="0"/>
                <w:numId w:val="174"/>
              </w:numPr>
              <w:spacing w:before="40" w:after="40"/>
              <w:ind w:left="401"/>
              <w:jc w:val="center"/>
              <w:rPr>
                <w:rFonts w:eastAsia="Arial" w:cs="Arial"/>
                <w:color w:val="394A58"/>
                <w:sz w:val="16"/>
                <w:szCs w:val="16"/>
              </w:rPr>
            </w:pPr>
            <w:r w:rsidRPr="00662906">
              <w:rPr>
                <w:rFonts w:eastAsia="Arial" w:cs="Arial"/>
                <w:color w:val="394A58"/>
                <w:sz w:val="16"/>
                <w:szCs w:val="16"/>
              </w:rPr>
              <w:t>Monitor distribution routes and costs to ensure subsidy effectiveness</w:t>
            </w:r>
          </w:p>
          <w:p w14:paraId="23A07AC6" w14:textId="1F37932E" w:rsidR="00BE032C" w:rsidRPr="00662906" w:rsidRDefault="00BE032C" w:rsidP="007E6C89">
            <w:pPr>
              <w:pStyle w:val="ListParagraph"/>
              <w:numPr>
                <w:ilvl w:val="0"/>
                <w:numId w:val="174"/>
              </w:numPr>
              <w:spacing w:before="40" w:after="40"/>
              <w:ind w:left="401"/>
              <w:jc w:val="center"/>
              <w:rPr>
                <w:rFonts w:eastAsia="Arial" w:cs="Arial"/>
                <w:color w:val="394A58"/>
                <w:sz w:val="16"/>
                <w:szCs w:val="16"/>
              </w:rPr>
            </w:pPr>
            <w:r w:rsidRPr="00662906">
              <w:rPr>
                <w:rFonts w:eastAsia="Arial" w:cs="Arial"/>
                <w:color w:val="394A58"/>
                <w:sz w:val="16"/>
                <w:szCs w:val="16"/>
              </w:rPr>
              <w:t>Evaluate impact on final retail prices of clean cooking products</w:t>
            </w:r>
          </w:p>
        </w:tc>
        <w:tc>
          <w:tcPr>
            <w:tcW w:w="1276" w:type="dxa"/>
            <w:gridSpan w:val="2"/>
            <w:shd w:val="clear" w:color="auto" w:fill="FFFFFF"/>
            <w:tcMar>
              <w:left w:w="57" w:type="dxa"/>
              <w:right w:w="57" w:type="dxa"/>
            </w:tcMar>
          </w:tcPr>
          <w:p w14:paraId="5E92C57C" w14:textId="0D200EC7"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gridSpan w:val="2"/>
            <w:shd w:val="clear" w:color="auto" w:fill="FFFFFF"/>
            <w:tcMar>
              <w:left w:w="57" w:type="dxa"/>
              <w:right w:w="57" w:type="dxa"/>
            </w:tcMar>
          </w:tcPr>
          <w:p w14:paraId="3FAF11CB" w14:textId="21E3AECD"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Ministries of Transport</w:t>
            </w:r>
          </w:p>
        </w:tc>
        <w:tc>
          <w:tcPr>
            <w:tcW w:w="1198" w:type="dxa"/>
            <w:gridSpan w:val="2"/>
            <w:shd w:val="clear" w:color="auto" w:fill="FFFFFF"/>
            <w:tcMar>
              <w:left w:w="57" w:type="dxa"/>
              <w:right w:w="57" w:type="dxa"/>
            </w:tcMar>
          </w:tcPr>
          <w:p w14:paraId="3A4A7A3A" w14:textId="36B5C564"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Transportation Companies, Local Governments</w:t>
            </w:r>
          </w:p>
        </w:tc>
        <w:tc>
          <w:tcPr>
            <w:tcW w:w="851" w:type="dxa"/>
            <w:gridSpan w:val="2"/>
            <w:shd w:val="clear" w:color="auto" w:fill="FFFFFF"/>
            <w:tcMar>
              <w:left w:w="57" w:type="dxa"/>
              <w:right w:w="57" w:type="dxa"/>
            </w:tcMar>
          </w:tcPr>
          <w:p w14:paraId="563FE8F9" w14:textId="76625BC6"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0A767150" w14:textId="68C08D4E"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Subsidy guidelines</w:t>
            </w:r>
          </w:p>
          <w:p w14:paraId="7CE5C2C8" w14:textId="52E369C5"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Priority route mapping</w:t>
            </w:r>
          </w:p>
          <w:p w14:paraId="7D0C04F1" w14:textId="03A46750"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Periodic cost-benefit reports</w:t>
            </w:r>
          </w:p>
        </w:tc>
        <w:tc>
          <w:tcPr>
            <w:tcW w:w="1701" w:type="dxa"/>
            <w:gridSpan w:val="2"/>
            <w:shd w:val="clear" w:color="auto" w:fill="FFFFFF"/>
          </w:tcPr>
          <w:p w14:paraId="51269A25" w14:textId="3C5D31D0"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Improved availability and affordability of clean cooking technologies in remote communities, bridging the rural-urban gap in access</w:t>
            </w:r>
          </w:p>
        </w:tc>
        <w:tc>
          <w:tcPr>
            <w:tcW w:w="1843" w:type="dxa"/>
            <w:gridSpan w:val="2"/>
            <w:shd w:val="clear" w:color="auto" w:fill="FFFFFF"/>
          </w:tcPr>
          <w:p w14:paraId="6D319D73"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Subsidy policy established (Yes/No)</w:t>
            </w:r>
          </w:p>
          <w:p w14:paraId="1CA75D85"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participating transport companies</w:t>
            </w:r>
          </w:p>
          <w:p w14:paraId="1B895CF9" w14:textId="1F51B55C"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Reduced final retail price in target areas (Yes/No)</w:t>
            </w:r>
          </w:p>
        </w:tc>
      </w:tr>
      <w:tr w:rsidR="00BE032C" w:rsidRPr="00662906" w14:paraId="0CFAD040" w14:textId="77777777" w:rsidTr="007E6C89">
        <w:trPr>
          <w:gridAfter w:val="1"/>
          <w:wAfter w:w="8" w:type="dxa"/>
          <w:trHeight w:val="300"/>
        </w:trPr>
        <w:tc>
          <w:tcPr>
            <w:tcW w:w="281" w:type="dxa"/>
            <w:shd w:val="clear" w:color="auto" w:fill="FFFFFF"/>
            <w:tcMar>
              <w:left w:w="57" w:type="dxa"/>
              <w:right w:w="57" w:type="dxa"/>
            </w:tcMar>
          </w:tcPr>
          <w:p w14:paraId="16A6BD93" w14:textId="77777777" w:rsidR="00BE032C" w:rsidRPr="00662906" w:rsidRDefault="00BE032C"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6</w:t>
            </w:r>
          </w:p>
        </w:tc>
        <w:tc>
          <w:tcPr>
            <w:tcW w:w="1248" w:type="dxa"/>
            <w:shd w:val="clear" w:color="auto" w:fill="FFFFFF"/>
            <w:tcMar>
              <w:left w:w="57" w:type="dxa"/>
              <w:right w:w="57" w:type="dxa"/>
            </w:tcMar>
          </w:tcPr>
          <w:p w14:paraId="15C36860" w14:textId="3092810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Coordinate Continental Clean Cooking Exhibitions and Trade Shows</w:t>
            </w:r>
          </w:p>
        </w:tc>
        <w:tc>
          <w:tcPr>
            <w:tcW w:w="3260" w:type="dxa"/>
            <w:gridSpan w:val="2"/>
            <w:tcBorders>
              <w:top w:val="single" w:sz="4" w:space="0" w:color="9F2241"/>
              <w:left w:val="nil"/>
              <w:bottom w:val="single" w:sz="4" w:space="0" w:color="9F2241"/>
              <w:right w:val="nil"/>
            </w:tcBorders>
            <w:tcMar>
              <w:left w:w="57" w:type="dxa"/>
              <w:right w:w="57" w:type="dxa"/>
            </w:tcMar>
          </w:tcPr>
          <w:p w14:paraId="54FDB2A8" w14:textId="0091B575" w:rsidR="00BE032C" w:rsidRPr="00662906" w:rsidRDefault="00BE032C" w:rsidP="007E6C89">
            <w:pPr>
              <w:pStyle w:val="ListParagraph"/>
              <w:numPr>
                <w:ilvl w:val="0"/>
                <w:numId w:val="175"/>
              </w:numPr>
              <w:spacing w:before="40" w:after="40"/>
              <w:ind w:left="401"/>
              <w:jc w:val="center"/>
              <w:rPr>
                <w:rFonts w:eastAsia="Arial" w:cs="Arial"/>
                <w:color w:val="394A58"/>
                <w:sz w:val="16"/>
                <w:szCs w:val="16"/>
              </w:rPr>
            </w:pPr>
            <w:r w:rsidRPr="00662906">
              <w:rPr>
                <w:rFonts w:eastAsia="Arial" w:cs="Arial"/>
                <w:color w:val="394A58"/>
                <w:sz w:val="16"/>
                <w:szCs w:val="16"/>
              </w:rPr>
              <w:t>Identify host countries and venues for large-scale exhibitions</w:t>
            </w:r>
          </w:p>
          <w:p w14:paraId="23BBAB1A" w14:textId="40526657" w:rsidR="00BE032C" w:rsidRPr="00662906" w:rsidRDefault="00BE032C" w:rsidP="007E6C89">
            <w:pPr>
              <w:pStyle w:val="ListParagraph"/>
              <w:numPr>
                <w:ilvl w:val="0"/>
                <w:numId w:val="175"/>
              </w:numPr>
              <w:spacing w:before="40" w:after="40"/>
              <w:ind w:left="401"/>
              <w:jc w:val="center"/>
              <w:rPr>
                <w:rFonts w:eastAsia="Arial" w:cs="Arial"/>
                <w:color w:val="394A58"/>
                <w:sz w:val="16"/>
                <w:szCs w:val="16"/>
              </w:rPr>
            </w:pPr>
            <w:r w:rsidRPr="00662906">
              <w:rPr>
                <w:rFonts w:eastAsia="Arial" w:cs="Arial"/>
                <w:color w:val="394A58"/>
                <w:sz w:val="16"/>
                <w:szCs w:val="16"/>
              </w:rPr>
              <w:t>Invite manufacturers, investors, and policymakers to showcase new products and forge partnerships</w:t>
            </w:r>
          </w:p>
          <w:p w14:paraId="719FD6A4" w14:textId="51FC924D" w:rsidR="00BE032C" w:rsidRPr="00662906" w:rsidRDefault="00BE032C" w:rsidP="007E6C89">
            <w:pPr>
              <w:pStyle w:val="ListParagraph"/>
              <w:numPr>
                <w:ilvl w:val="0"/>
                <w:numId w:val="175"/>
              </w:numPr>
              <w:spacing w:before="40" w:after="40"/>
              <w:ind w:left="401"/>
              <w:jc w:val="center"/>
              <w:rPr>
                <w:rFonts w:eastAsia="Arial" w:cs="Arial"/>
                <w:color w:val="394A58"/>
                <w:sz w:val="16"/>
                <w:szCs w:val="16"/>
              </w:rPr>
            </w:pPr>
            <w:r w:rsidRPr="00662906">
              <w:rPr>
                <w:rFonts w:eastAsia="Arial" w:cs="Arial"/>
                <w:color w:val="394A58"/>
                <w:sz w:val="16"/>
                <w:szCs w:val="16"/>
              </w:rPr>
              <w:t>Develop marketing campaigns to raise public and industry awareness</w:t>
            </w:r>
          </w:p>
          <w:p w14:paraId="145ADA88" w14:textId="517A1BF0" w:rsidR="00BE032C" w:rsidRPr="00662906" w:rsidRDefault="00BE032C" w:rsidP="007E6C89">
            <w:pPr>
              <w:pStyle w:val="ListParagraph"/>
              <w:numPr>
                <w:ilvl w:val="0"/>
                <w:numId w:val="175"/>
              </w:numPr>
              <w:spacing w:before="40" w:after="40"/>
              <w:ind w:left="401"/>
              <w:jc w:val="center"/>
              <w:rPr>
                <w:rFonts w:eastAsia="Arial" w:cs="Arial"/>
                <w:color w:val="394A58"/>
                <w:sz w:val="16"/>
                <w:szCs w:val="16"/>
              </w:rPr>
            </w:pPr>
            <w:r w:rsidRPr="00662906">
              <w:rPr>
                <w:rFonts w:eastAsia="Arial" w:cs="Arial"/>
                <w:color w:val="394A58"/>
                <w:sz w:val="16"/>
                <w:szCs w:val="16"/>
              </w:rPr>
              <w:t>Collect feedback from exhibitors and attendees for continuous improvement</w:t>
            </w:r>
          </w:p>
        </w:tc>
        <w:tc>
          <w:tcPr>
            <w:tcW w:w="1276" w:type="dxa"/>
            <w:gridSpan w:val="2"/>
            <w:shd w:val="clear" w:color="auto" w:fill="FFFFFF"/>
            <w:tcMar>
              <w:left w:w="57" w:type="dxa"/>
              <w:right w:w="57" w:type="dxa"/>
            </w:tcMar>
          </w:tcPr>
          <w:p w14:paraId="7C7E56B0" w14:textId="3667C1F4"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gridSpan w:val="2"/>
            <w:shd w:val="clear" w:color="auto" w:fill="FFFFFF"/>
            <w:tcMar>
              <w:left w:w="57" w:type="dxa"/>
              <w:right w:w="57" w:type="dxa"/>
            </w:tcMar>
          </w:tcPr>
          <w:p w14:paraId="15D0A27D" w14:textId="45886D68"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AUC</w:t>
            </w:r>
          </w:p>
        </w:tc>
        <w:tc>
          <w:tcPr>
            <w:tcW w:w="1198" w:type="dxa"/>
            <w:gridSpan w:val="2"/>
            <w:shd w:val="clear" w:color="auto" w:fill="FFFFFF"/>
            <w:tcMar>
              <w:left w:w="57" w:type="dxa"/>
              <w:right w:w="57" w:type="dxa"/>
            </w:tcMar>
          </w:tcPr>
          <w:p w14:paraId="7FF65552" w14:textId="1DD9F85D"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Industry Associations, RECs</w:t>
            </w:r>
          </w:p>
        </w:tc>
        <w:tc>
          <w:tcPr>
            <w:tcW w:w="851" w:type="dxa"/>
            <w:gridSpan w:val="2"/>
            <w:shd w:val="clear" w:color="auto" w:fill="FFFFFF"/>
            <w:tcMar>
              <w:left w:w="57" w:type="dxa"/>
              <w:right w:w="57" w:type="dxa"/>
            </w:tcMar>
          </w:tcPr>
          <w:p w14:paraId="283428AC" w14:textId="4E19C97F"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gridSpan w:val="2"/>
            <w:shd w:val="clear" w:color="auto" w:fill="FFFFFF"/>
          </w:tcPr>
          <w:p w14:paraId="6A358DB8" w14:textId="763ED71D"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Exhibition schedule and event materials</w:t>
            </w:r>
          </w:p>
          <w:p w14:paraId="238AB4AC" w14:textId="15EBFAF8"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Participation agreements from key stakeholders</w:t>
            </w:r>
          </w:p>
          <w:p w14:paraId="51E4CC6D" w14:textId="4EC631B6"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Post-event feedback reports</w:t>
            </w:r>
          </w:p>
        </w:tc>
        <w:tc>
          <w:tcPr>
            <w:tcW w:w="1701" w:type="dxa"/>
            <w:gridSpan w:val="2"/>
            <w:shd w:val="clear" w:color="auto" w:fill="FFFFFF"/>
          </w:tcPr>
          <w:p w14:paraId="5183455E" w14:textId="5E4CC7D6"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Expanded visibility of clean cooking innovations and greater collaboration among key actors, accelerating the exchange of ideas and market solutions</w:t>
            </w:r>
          </w:p>
        </w:tc>
        <w:tc>
          <w:tcPr>
            <w:tcW w:w="1843" w:type="dxa"/>
            <w:gridSpan w:val="2"/>
            <w:shd w:val="clear" w:color="auto" w:fill="FFFFFF"/>
          </w:tcPr>
          <w:p w14:paraId="19E97AF8"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Exhibitions/trade shows held (Yes/No)</w:t>
            </w:r>
          </w:p>
          <w:p w14:paraId="155BDBF5"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participating exhibitors</w:t>
            </w:r>
          </w:p>
          <w:p w14:paraId="62D7D45D" w14:textId="34615738"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Partnerships/agreements formed (Yes/No)</w:t>
            </w:r>
          </w:p>
        </w:tc>
      </w:tr>
      <w:tr w:rsidR="00BE032C" w:rsidRPr="00662906" w14:paraId="1FB66E89" w14:textId="77777777" w:rsidTr="007E6C89">
        <w:trPr>
          <w:gridAfter w:val="1"/>
          <w:wAfter w:w="8" w:type="dxa"/>
          <w:trHeight w:val="300"/>
        </w:trPr>
        <w:tc>
          <w:tcPr>
            <w:tcW w:w="281" w:type="dxa"/>
            <w:shd w:val="clear" w:color="auto" w:fill="FFFFFF"/>
            <w:tcMar>
              <w:left w:w="57" w:type="dxa"/>
              <w:right w:w="57" w:type="dxa"/>
            </w:tcMar>
          </w:tcPr>
          <w:p w14:paraId="0D13E046" w14:textId="77777777" w:rsidR="00BE032C" w:rsidRPr="00662906" w:rsidRDefault="00BE032C"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4E8F99AC" w14:textId="7F6DEA72"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Develop Online Platforms for Clean Cooking Technologies</w:t>
            </w:r>
          </w:p>
        </w:tc>
        <w:tc>
          <w:tcPr>
            <w:tcW w:w="3260" w:type="dxa"/>
            <w:gridSpan w:val="2"/>
            <w:tcBorders>
              <w:top w:val="single" w:sz="4" w:space="0" w:color="9F2241"/>
              <w:left w:val="nil"/>
              <w:bottom w:val="single" w:sz="4" w:space="0" w:color="9F2241"/>
              <w:right w:val="nil"/>
            </w:tcBorders>
            <w:tcMar>
              <w:left w:w="57" w:type="dxa"/>
              <w:right w:w="57" w:type="dxa"/>
            </w:tcMar>
          </w:tcPr>
          <w:p w14:paraId="58E74A20" w14:textId="0EA1D661" w:rsidR="00BE032C" w:rsidRPr="00662906" w:rsidRDefault="00BE032C" w:rsidP="007E6C89">
            <w:pPr>
              <w:pStyle w:val="ListParagraph"/>
              <w:numPr>
                <w:ilvl w:val="0"/>
                <w:numId w:val="176"/>
              </w:numPr>
              <w:spacing w:before="40" w:after="40"/>
              <w:ind w:left="401"/>
              <w:jc w:val="center"/>
              <w:rPr>
                <w:rFonts w:eastAsia="Arial" w:cs="Arial"/>
                <w:color w:val="394A58"/>
                <w:sz w:val="16"/>
                <w:szCs w:val="16"/>
              </w:rPr>
            </w:pPr>
            <w:r w:rsidRPr="00662906">
              <w:rPr>
                <w:rFonts w:eastAsia="Arial" w:cs="Arial"/>
                <w:color w:val="394A58"/>
                <w:sz w:val="16"/>
                <w:szCs w:val="16"/>
              </w:rPr>
              <w:t>Build or enhance existing e-marketplace websites for clean cooking solutions</w:t>
            </w:r>
          </w:p>
          <w:p w14:paraId="3C138A29" w14:textId="3883C7D7" w:rsidR="00BE032C" w:rsidRPr="00662906" w:rsidRDefault="00BE032C" w:rsidP="007E6C89">
            <w:pPr>
              <w:pStyle w:val="ListParagraph"/>
              <w:numPr>
                <w:ilvl w:val="0"/>
                <w:numId w:val="176"/>
              </w:numPr>
              <w:spacing w:before="40" w:after="40"/>
              <w:ind w:left="401"/>
              <w:jc w:val="center"/>
              <w:rPr>
                <w:rFonts w:eastAsia="Arial" w:cs="Arial"/>
                <w:color w:val="394A58"/>
                <w:sz w:val="16"/>
                <w:szCs w:val="16"/>
              </w:rPr>
            </w:pPr>
            <w:r w:rsidRPr="00662906">
              <w:rPr>
                <w:rFonts w:eastAsia="Arial" w:cs="Arial"/>
                <w:color w:val="394A58"/>
                <w:sz w:val="16"/>
                <w:szCs w:val="16"/>
              </w:rPr>
              <w:t>Integrate user reviews, ratings, and technical specs to guide consumer choices</w:t>
            </w:r>
          </w:p>
          <w:p w14:paraId="54A82D3F" w14:textId="4BACFEEB" w:rsidR="00BE032C" w:rsidRPr="00662906" w:rsidRDefault="00BE032C" w:rsidP="007E6C89">
            <w:pPr>
              <w:pStyle w:val="ListParagraph"/>
              <w:numPr>
                <w:ilvl w:val="0"/>
                <w:numId w:val="176"/>
              </w:numPr>
              <w:spacing w:before="40" w:after="40"/>
              <w:ind w:left="401"/>
              <w:jc w:val="center"/>
              <w:rPr>
                <w:rFonts w:eastAsia="Arial" w:cs="Arial"/>
                <w:color w:val="394A58"/>
                <w:sz w:val="16"/>
                <w:szCs w:val="16"/>
              </w:rPr>
            </w:pPr>
            <w:r w:rsidRPr="00662906">
              <w:rPr>
                <w:rFonts w:eastAsia="Arial" w:cs="Arial"/>
                <w:color w:val="394A58"/>
                <w:sz w:val="16"/>
                <w:szCs w:val="16"/>
              </w:rPr>
              <w:t>Conduct digital marketing campaigns to boost platform traffic</w:t>
            </w:r>
          </w:p>
          <w:p w14:paraId="5F5F2204" w14:textId="76DD5611" w:rsidR="00BE032C" w:rsidRPr="00662906" w:rsidRDefault="00BE032C" w:rsidP="007E6C89">
            <w:pPr>
              <w:pStyle w:val="ListParagraph"/>
              <w:numPr>
                <w:ilvl w:val="0"/>
                <w:numId w:val="176"/>
              </w:numPr>
              <w:spacing w:before="40" w:after="40"/>
              <w:ind w:left="401"/>
              <w:jc w:val="center"/>
              <w:rPr>
                <w:rFonts w:eastAsia="Arial" w:cs="Arial"/>
                <w:color w:val="394A58"/>
                <w:sz w:val="16"/>
                <w:szCs w:val="16"/>
              </w:rPr>
            </w:pPr>
            <w:r w:rsidRPr="00662906">
              <w:rPr>
                <w:rFonts w:eastAsia="Arial" w:cs="Arial"/>
                <w:color w:val="394A58"/>
                <w:sz w:val="16"/>
                <w:szCs w:val="16"/>
              </w:rPr>
              <w:t>Offer customer support and troubleshooting resources online</w:t>
            </w:r>
          </w:p>
        </w:tc>
        <w:tc>
          <w:tcPr>
            <w:tcW w:w="1276" w:type="dxa"/>
            <w:gridSpan w:val="2"/>
            <w:shd w:val="clear" w:color="auto" w:fill="FFFFFF"/>
            <w:tcMar>
              <w:left w:w="57" w:type="dxa"/>
              <w:right w:w="57" w:type="dxa"/>
            </w:tcMar>
          </w:tcPr>
          <w:p w14:paraId="5FA8E39F" w14:textId="4E53F270"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gridSpan w:val="2"/>
            <w:shd w:val="clear" w:color="auto" w:fill="FFFFFF"/>
            <w:tcMar>
              <w:left w:w="57" w:type="dxa"/>
              <w:right w:w="57" w:type="dxa"/>
            </w:tcMar>
          </w:tcPr>
          <w:p w14:paraId="6D312160" w14:textId="5869DBA6"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Ministries of Energy, Food, Agriculture</w:t>
            </w:r>
          </w:p>
        </w:tc>
        <w:tc>
          <w:tcPr>
            <w:tcW w:w="1198" w:type="dxa"/>
            <w:gridSpan w:val="2"/>
            <w:shd w:val="clear" w:color="auto" w:fill="FFFFFF"/>
            <w:tcMar>
              <w:left w:w="57" w:type="dxa"/>
              <w:right w:w="57" w:type="dxa"/>
            </w:tcMar>
          </w:tcPr>
          <w:p w14:paraId="10DA5F2E" w14:textId="5595026B" w:rsidR="00BE032C" w:rsidRPr="00662906" w:rsidRDefault="00E87869" w:rsidP="007E6C89">
            <w:pPr>
              <w:spacing w:before="40" w:after="40"/>
              <w:jc w:val="center"/>
              <w:rPr>
                <w:rFonts w:eastAsia="Arial" w:cs="Arial"/>
                <w:color w:val="53575A"/>
                <w:sz w:val="16"/>
                <w:szCs w:val="16"/>
              </w:rPr>
            </w:pPr>
            <w:r w:rsidRPr="00662906">
              <w:rPr>
                <w:rFonts w:cs="Arial"/>
                <w:sz w:val="16"/>
                <w:szCs w:val="16"/>
              </w:rPr>
              <w:t>Information Technology (</w:t>
            </w:r>
            <w:r w:rsidR="00BE032C" w:rsidRPr="00662906">
              <w:rPr>
                <w:rFonts w:cs="Arial"/>
                <w:sz w:val="16"/>
                <w:szCs w:val="16"/>
              </w:rPr>
              <w:t>IT</w:t>
            </w:r>
            <w:r w:rsidRPr="00662906">
              <w:rPr>
                <w:rFonts w:cs="Arial"/>
                <w:sz w:val="16"/>
                <w:szCs w:val="16"/>
              </w:rPr>
              <w:t>)</w:t>
            </w:r>
            <w:r w:rsidR="00BE032C" w:rsidRPr="00662906">
              <w:rPr>
                <w:rFonts w:cs="Arial"/>
                <w:sz w:val="16"/>
                <w:szCs w:val="16"/>
              </w:rPr>
              <w:t xml:space="preserve"> Companies, E-commerce Platforms</w:t>
            </w:r>
          </w:p>
        </w:tc>
        <w:tc>
          <w:tcPr>
            <w:tcW w:w="851" w:type="dxa"/>
            <w:gridSpan w:val="2"/>
            <w:shd w:val="clear" w:color="auto" w:fill="FFFFFF"/>
            <w:tcMar>
              <w:left w:w="57" w:type="dxa"/>
              <w:right w:w="57" w:type="dxa"/>
            </w:tcMar>
          </w:tcPr>
          <w:p w14:paraId="24823291" w14:textId="7AEDFD81"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gridSpan w:val="2"/>
            <w:shd w:val="clear" w:color="auto" w:fill="FFFFFF"/>
          </w:tcPr>
          <w:p w14:paraId="459111A7" w14:textId="28770DCD"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Functional e-marketplace websites</w:t>
            </w:r>
          </w:p>
          <w:p w14:paraId="695F1B97" w14:textId="26E29C4F"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User-friendly product listings and reviews</w:t>
            </w:r>
          </w:p>
          <w:p w14:paraId="5F8702CD" w14:textId="05AE8BB8"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Marketing campaign analytics</w:t>
            </w:r>
          </w:p>
        </w:tc>
        <w:tc>
          <w:tcPr>
            <w:tcW w:w="1701" w:type="dxa"/>
            <w:gridSpan w:val="2"/>
            <w:shd w:val="clear" w:color="auto" w:fill="FFFFFF"/>
          </w:tcPr>
          <w:p w14:paraId="59834C03" w14:textId="429B3D53"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Wider consumer reach and awareness of clean cooking products, fostering competitive pricing and informative decision-making for buyers in both urban and rural areas</w:t>
            </w:r>
          </w:p>
        </w:tc>
        <w:tc>
          <w:tcPr>
            <w:tcW w:w="1843" w:type="dxa"/>
            <w:gridSpan w:val="2"/>
            <w:shd w:val="clear" w:color="auto" w:fill="FFFFFF"/>
          </w:tcPr>
          <w:p w14:paraId="40678310"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E-marketplace launched (Yes/No)</w:t>
            </w:r>
          </w:p>
          <w:p w14:paraId="5E1BDC58"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products listed</w:t>
            </w:r>
          </w:p>
          <w:p w14:paraId="421AF85A" w14:textId="6DE10C82"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User adoption/traffic metrics (Yes/No)</w:t>
            </w:r>
          </w:p>
        </w:tc>
      </w:tr>
      <w:tr w:rsidR="00BE032C" w:rsidRPr="00662906" w14:paraId="20EBD9CD" w14:textId="77777777" w:rsidTr="007E6C89">
        <w:trPr>
          <w:gridAfter w:val="1"/>
          <w:wAfter w:w="8" w:type="dxa"/>
          <w:trHeight w:val="300"/>
        </w:trPr>
        <w:tc>
          <w:tcPr>
            <w:tcW w:w="281" w:type="dxa"/>
            <w:shd w:val="clear" w:color="auto" w:fill="FFFFFF"/>
            <w:tcMar>
              <w:left w:w="57" w:type="dxa"/>
              <w:right w:w="57" w:type="dxa"/>
            </w:tcMar>
          </w:tcPr>
          <w:p w14:paraId="34BB4F71" w14:textId="77777777" w:rsidR="00BE032C" w:rsidRPr="00662906" w:rsidRDefault="00BE032C"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shd w:val="clear" w:color="auto" w:fill="FFFFFF"/>
            <w:tcMar>
              <w:left w:w="57" w:type="dxa"/>
              <w:right w:w="57" w:type="dxa"/>
            </w:tcMar>
          </w:tcPr>
          <w:p w14:paraId="10E37B72" w14:textId="36C81AFD"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Promote Investment in Clean Cooking Technology Startups</w:t>
            </w:r>
          </w:p>
        </w:tc>
        <w:tc>
          <w:tcPr>
            <w:tcW w:w="3260" w:type="dxa"/>
            <w:gridSpan w:val="2"/>
            <w:tcBorders>
              <w:top w:val="single" w:sz="4" w:space="0" w:color="9F2241"/>
              <w:left w:val="nil"/>
              <w:bottom w:val="single" w:sz="4" w:space="0" w:color="9F2241"/>
              <w:right w:val="nil"/>
            </w:tcBorders>
            <w:tcMar>
              <w:left w:w="57" w:type="dxa"/>
              <w:right w:w="57" w:type="dxa"/>
            </w:tcMar>
          </w:tcPr>
          <w:p w14:paraId="3F59F52B" w14:textId="2F3F8092" w:rsidR="00BE032C" w:rsidRPr="00662906" w:rsidRDefault="00BE032C" w:rsidP="007E6C89">
            <w:pPr>
              <w:pStyle w:val="ListParagraph"/>
              <w:numPr>
                <w:ilvl w:val="0"/>
                <w:numId w:val="177"/>
              </w:numPr>
              <w:spacing w:before="40" w:after="40"/>
              <w:ind w:left="401"/>
              <w:jc w:val="center"/>
              <w:rPr>
                <w:rFonts w:eastAsia="Arial" w:cs="Arial"/>
                <w:color w:val="394A58"/>
                <w:sz w:val="16"/>
                <w:szCs w:val="16"/>
              </w:rPr>
            </w:pPr>
            <w:r w:rsidRPr="00662906">
              <w:rPr>
                <w:rFonts w:eastAsia="Arial" w:cs="Arial"/>
                <w:color w:val="394A58"/>
                <w:sz w:val="16"/>
                <w:szCs w:val="16"/>
              </w:rPr>
              <w:t>Collaborate with investment promotion agencies to host pitch events</w:t>
            </w:r>
          </w:p>
          <w:p w14:paraId="791F55C0" w14:textId="2ADF2DBE" w:rsidR="00BE032C" w:rsidRPr="00662906" w:rsidRDefault="00BE032C" w:rsidP="007E6C89">
            <w:pPr>
              <w:pStyle w:val="ListParagraph"/>
              <w:numPr>
                <w:ilvl w:val="0"/>
                <w:numId w:val="177"/>
              </w:numPr>
              <w:spacing w:before="40" w:after="40"/>
              <w:ind w:left="401"/>
              <w:jc w:val="center"/>
              <w:rPr>
                <w:rFonts w:eastAsia="Arial" w:cs="Arial"/>
                <w:color w:val="394A58"/>
                <w:sz w:val="16"/>
                <w:szCs w:val="16"/>
              </w:rPr>
            </w:pPr>
            <w:r w:rsidRPr="00662906">
              <w:rPr>
                <w:rFonts w:eastAsia="Arial" w:cs="Arial"/>
                <w:color w:val="394A58"/>
                <w:sz w:val="16"/>
                <w:szCs w:val="16"/>
              </w:rPr>
              <w:t>Offer venture capital seed funding or loan guarantees to selected startups</w:t>
            </w:r>
          </w:p>
          <w:p w14:paraId="42298C81" w14:textId="618573E1" w:rsidR="00BE032C" w:rsidRPr="00662906" w:rsidRDefault="00BE032C" w:rsidP="007E6C89">
            <w:pPr>
              <w:pStyle w:val="ListParagraph"/>
              <w:numPr>
                <w:ilvl w:val="0"/>
                <w:numId w:val="177"/>
              </w:numPr>
              <w:spacing w:before="40" w:after="40"/>
              <w:ind w:left="401"/>
              <w:jc w:val="center"/>
              <w:rPr>
                <w:rFonts w:eastAsia="Arial" w:cs="Arial"/>
                <w:color w:val="394A58"/>
                <w:sz w:val="16"/>
                <w:szCs w:val="16"/>
              </w:rPr>
            </w:pPr>
            <w:r w:rsidRPr="00662906">
              <w:rPr>
                <w:rFonts w:eastAsia="Arial" w:cs="Arial"/>
                <w:color w:val="394A58"/>
                <w:sz w:val="16"/>
                <w:szCs w:val="16"/>
              </w:rPr>
              <w:t>Provide mentorship and business development support to young enterprises</w:t>
            </w:r>
          </w:p>
          <w:p w14:paraId="1C8AE5D7" w14:textId="27627667" w:rsidR="00BE032C" w:rsidRPr="00662906" w:rsidRDefault="00BE032C" w:rsidP="007E6C89">
            <w:pPr>
              <w:pStyle w:val="ListParagraph"/>
              <w:numPr>
                <w:ilvl w:val="0"/>
                <w:numId w:val="177"/>
              </w:numPr>
              <w:spacing w:before="40" w:after="40"/>
              <w:ind w:left="401"/>
              <w:jc w:val="center"/>
              <w:rPr>
                <w:rFonts w:eastAsia="Arial" w:cs="Arial"/>
                <w:color w:val="394A58"/>
                <w:sz w:val="16"/>
                <w:szCs w:val="16"/>
              </w:rPr>
            </w:pPr>
            <w:r w:rsidRPr="00662906">
              <w:rPr>
                <w:rFonts w:eastAsia="Arial" w:cs="Arial"/>
                <w:color w:val="394A58"/>
                <w:sz w:val="16"/>
                <w:szCs w:val="16"/>
              </w:rPr>
              <w:t>Track job creation and market expansion metrics</w:t>
            </w:r>
          </w:p>
        </w:tc>
        <w:tc>
          <w:tcPr>
            <w:tcW w:w="1276" w:type="dxa"/>
            <w:gridSpan w:val="2"/>
            <w:shd w:val="clear" w:color="auto" w:fill="FFFFFF"/>
            <w:tcMar>
              <w:left w:w="57" w:type="dxa"/>
              <w:right w:w="57" w:type="dxa"/>
            </w:tcMar>
          </w:tcPr>
          <w:p w14:paraId="17A03AA1" w14:textId="17232E42"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gridSpan w:val="2"/>
            <w:shd w:val="clear" w:color="auto" w:fill="FFFFFF"/>
            <w:tcMar>
              <w:left w:w="57" w:type="dxa"/>
              <w:right w:w="57" w:type="dxa"/>
            </w:tcMar>
          </w:tcPr>
          <w:p w14:paraId="78F5FDF0" w14:textId="3BB25F23"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National Investment Promotion Agencies</w:t>
            </w:r>
          </w:p>
        </w:tc>
        <w:tc>
          <w:tcPr>
            <w:tcW w:w="1198" w:type="dxa"/>
            <w:gridSpan w:val="2"/>
            <w:shd w:val="clear" w:color="auto" w:fill="FFFFFF"/>
            <w:tcMar>
              <w:left w:w="57" w:type="dxa"/>
              <w:right w:w="57" w:type="dxa"/>
            </w:tcMar>
          </w:tcPr>
          <w:p w14:paraId="101BDD05" w14:textId="44F88E4B"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Venture Capitalists, Angel Investors</w:t>
            </w:r>
          </w:p>
        </w:tc>
        <w:tc>
          <w:tcPr>
            <w:tcW w:w="851" w:type="dxa"/>
            <w:gridSpan w:val="2"/>
            <w:shd w:val="clear" w:color="auto" w:fill="FFFFFF"/>
            <w:tcMar>
              <w:left w:w="57" w:type="dxa"/>
              <w:right w:w="57" w:type="dxa"/>
            </w:tcMar>
          </w:tcPr>
          <w:p w14:paraId="17FAD3F9" w14:textId="0E779F27"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gridSpan w:val="2"/>
            <w:shd w:val="clear" w:color="auto" w:fill="FFFFFF"/>
          </w:tcPr>
          <w:p w14:paraId="662411D3" w14:textId="34F032EB"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Investment pitch events</w:t>
            </w:r>
          </w:p>
          <w:p w14:paraId="10CCB00F" w14:textId="0EAF0D2B"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Seed funding agreements</w:t>
            </w:r>
          </w:p>
          <w:p w14:paraId="79318123" w14:textId="3AB74DC1"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Mentorship session logs</w:t>
            </w:r>
          </w:p>
        </w:tc>
        <w:tc>
          <w:tcPr>
            <w:tcW w:w="1701" w:type="dxa"/>
            <w:gridSpan w:val="2"/>
            <w:shd w:val="clear" w:color="auto" w:fill="FFFFFF"/>
          </w:tcPr>
          <w:p w14:paraId="7B340D87" w14:textId="588C7829" w:rsidR="00BE032C" w:rsidRPr="00662906" w:rsidRDefault="00BE032C" w:rsidP="007E6C89">
            <w:pPr>
              <w:spacing w:before="40" w:after="40"/>
              <w:jc w:val="center"/>
              <w:rPr>
                <w:rFonts w:eastAsia="Arial" w:cs="Arial"/>
                <w:color w:val="53575A"/>
                <w:sz w:val="16"/>
                <w:szCs w:val="16"/>
              </w:rPr>
            </w:pPr>
            <w:r w:rsidRPr="00662906">
              <w:rPr>
                <w:rFonts w:cs="Arial"/>
                <w:sz w:val="16"/>
                <w:szCs w:val="16"/>
              </w:rPr>
              <w:t>Increased flow of capital and expertise to clean cooking startups, diversifying the supply chain and fostering innovative, cost-effective solutions</w:t>
            </w:r>
          </w:p>
        </w:tc>
        <w:tc>
          <w:tcPr>
            <w:tcW w:w="1843" w:type="dxa"/>
            <w:gridSpan w:val="2"/>
            <w:shd w:val="clear" w:color="auto" w:fill="FFFFFF"/>
          </w:tcPr>
          <w:p w14:paraId="26B7B459"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pitch events conducted</w:t>
            </w:r>
          </w:p>
          <w:p w14:paraId="2C3026A9"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Funding secured by startups (Yes/No)</w:t>
            </w:r>
          </w:p>
          <w:p w14:paraId="6FBF8205" w14:textId="49506499"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Increase in number of clean cooking enterprises (Yes/No)</w:t>
            </w:r>
          </w:p>
        </w:tc>
      </w:tr>
      <w:tr w:rsidR="00BE032C" w:rsidRPr="00662906" w14:paraId="3561CB01" w14:textId="77777777" w:rsidTr="007E6C89">
        <w:trPr>
          <w:gridAfter w:val="1"/>
          <w:wAfter w:w="8" w:type="dxa"/>
          <w:trHeight w:val="300"/>
        </w:trPr>
        <w:tc>
          <w:tcPr>
            <w:tcW w:w="281" w:type="dxa"/>
            <w:shd w:val="clear" w:color="auto" w:fill="FFFFFF"/>
            <w:tcMar>
              <w:left w:w="57" w:type="dxa"/>
              <w:right w:w="57" w:type="dxa"/>
            </w:tcMar>
          </w:tcPr>
          <w:p w14:paraId="130F5B2D" w14:textId="77777777" w:rsidR="00BE032C" w:rsidRPr="00662906" w:rsidRDefault="00BE032C" w:rsidP="007E6C89">
            <w:pPr>
              <w:spacing w:before="40" w:after="40"/>
              <w:jc w:val="center"/>
              <w:rPr>
                <w:rFonts w:eastAsia="Arial" w:cs="Arial"/>
                <w:color w:val="53575A"/>
                <w:sz w:val="16"/>
                <w:szCs w:val="16"/>
              </w:rPr>
            </w:pPr>
            <w:r w:rsidRPr="00662906">
              <w:rPr>
                <w:rFonts w:eastAsia="Arial" w:cs="Arial"/>
                <w:color w:val="53575A"/>
                <w:sz w:val="16"/>
                <w:szCs w:val="16"/>
              </w:rPr>
              <w:t>9</w:t>
            </w:r>
          </w:p>
        </w:tc>
        <w:tc>
          <w:tcPr>
            <w:tcW w:w="1248" w:type="dxa"/>
            <w:shd w:val="clear" w:color="auto" w:fill="FFFFFF"/>
            <w:tcMar>
              <w:left w:w="57" w:type="dxa"/>
              <w:right w:w="57" w:type="dxa"/>
            </w:tcMar>
          </w:tcPr>
          <w:p w14:paraId="4F298EAF" w14:textId="35C03440" w:rsidR="00BE032C" w:rsidRPr="00662906" w:rsidRDefault="00BE032C" w:rsidP="007E6C89">
            <w:pPr>
              <w:spacing w:before="40" w:after="40"/>
              <w:jc w:val="center"/>
              <w:rPr>
                <w:rFonts w:cs="Arial"/>
                <w:sz w:val="16"/>
                <w:szCs w:val="16"/>
              </w:rPr>
            </w:pPr>
            <w:r w:rsidRPr="00662906">
              <w:rPr>
                <w:rFonts w:cs="Arial"/>
                <w:sz w:val="16"/>
                <w:szCs w:val="16"/>
              </w:rPr>
              <w:t>Implement Targeted Subsidies for Critical Supply Chain Components</w:t>
            </w:r>
          </w:p>
        </w:tc>
        <w:tc>
          <w:tcPr>
            <w:tcW w:w="3260" w:type="dxa"/>
            <w:gridSpan w:val="2"/>
            <w:tcBorders>
              <w:top w:val="single" w:sz="4" w:space="0" w:color="9F2241"/>
              <w:left w:val="nil"/>
              <w:bottom w:val="single" w:sz="4" w:space="0" w:color="9F2241"/>
              <w:right w:val="nil"/>
            </w:tcBorders>
            <w:tcMar>
              <w:left w:w="57" w:type="dxa"/>
              <w:right w:w="57" w:type="dxa"/>
            </w:tcMar>
          </w:tcPr>
          <w:p w14:paraId="55536E8F" w14:textId="401789A3" w:rsidR="00BE032C" w:rsidRPr="00662906" w:rsidRDefault="00BE032C" w:rsidP="007E6C89">
            <w:pPr>
              <w:pStyle w:val="ListParagraph"/>
              <w:numPr>
                <w:ilvl w:val="0"/>
                <w:numId w:val="178"/>
              </w:numPr>
              <w:spacing w:before="40" w:after="40"/>
              <w:ind w:left="401"/>
              <w:jc w:val="center"/>
              <w:rPr>
                <w:rFonts w:eastAsia="Arial" w:cs="Arial"/>
                <w:color w:val="394A58"/>
                <w:sz w:val="16"/>
                <w:szCs w:val="16"/>
              </w:rPr>
            </w:pPr>
            <w:r w:rsidRPr="00662906">
              <w:rPr>
                <w:rFonts w:eastAsia="Arial" w:cs="Arial"/>
                <w:color w:val="394A58"/>
                <w:sz w:val="16"/>
                <w:szCs w:val="16"/>
              </w:rPr>
              <w:t>Identify essential parts (burners, regulators, packaging) that significantly affect production costs</w:t>
            </w:r>
          </w:p>
          <w:p w14:paraId="7CC546C7" w14:textId="15BE48ED" w:rsidR="00BE032C" w:rsidRPr="00662906" w:rsidRDefault="00BE032C" w:rsidP="007E6C89">
            <w:pPr>
              <w:pStyle w:val="ListParagraph"/>
              <w:numPr>
                <w:ilvl w:val="0"/>
                <w:numId w:val="178"/>
              </w:numPr>
              <w:spacing w:before="40" w:after="40"/>
              <w:ind w:left="401"/>
              <w:jc w:val="center"/>
              <w:rPr>
                <w:rFonts w:eastAsia="Arial" w:cs="Arial"/>
                <w:color w:val="394A58"/>
                <w:sz w:val="16"/>
                <w:szCs w:val="16"/>
              </w:rPr>
            </w:pPr>
            <w:r w:rsidRPr="00662906">
              <w:rPr>
                <w:rFonts w:eastAsia="Arial" w:cs="Arial"/>
                <w:color w:val="394A58"/>
                <w:sz w:val="16"/>
                <w:szCs w:val="16"/>
              </w:rPr>
              <w:t>Provide direct subsidies or rebates for these components</w:t>
            </w:r>
          </w:p>
          <w:p w14:paraId="37393089" w14:textId="5EB02937" w:rsidR="00BE032C" w:rsidRPr="00662906" w:rsidRDefault="00BE032C" w:rsidP="007E6C89">
            <w:pPr>
              <w:pStyle w:val="ListParagraph"/>
              <w:numPr>
                <w:ilvl w:val="0"/>
                <w:numId w:val="178"/>
              </w:numPr>
              <w:spacing w:before="40" w:after="40"/>
              <w:ind w:left="401"/>
              <w:jc w:val="center"/>
              <w:rPr>
                <w:rFonts w:eastAsia="Arial" w:cs="Arial"/>
                <w:color w:val="394A58"/>
                <w:sz w:val="16"/>
                <w:szCs w:val="16"/>
              </w:rPr>
            </w:pPr>
            <w:r w:rsidRPr="00662906">
              <w:rPr>
                <w:rFonts w:eastAsia="Arial" w:cs="Arial"/>
                <w:color w:val="394A58"/>
                <w:sz w:val="16"/>
                <w:szCs w:val="16"/>
              </w:rPr>
              <w:t>Collaborate with manufacturers and importers to track distribution</w:t>
            </w:r>
          </w:p>
          <w:p w14:paraId="0A27033A" w14:textId="7854236D" w:rsidR="00BE032C" w:rsidRPr="00662906" w:rsidRDefault="00BE032C" w:rsidP="007E6C89">
            <w:pPr>
              <w:pStyle w:val="ListParagraph"/>
              <w:numPr>
                <w:ilvl w:val="0"/>
                <w:numId w:val="178"/>
              </w:numPr>
              <w:spacing w:before="40" w:after="40"/>
              <w:ind w:left="401"/>
              <w:jc w:val="center"/>
              <w:rPr>
                <w:rFonts w:eastAsia="Arial" w:cs="Arial"/>
                <w:color w:val="394A58"/>
                <w:sz w:val="16"/>
                <w:szCs w:val="16"/>
              </w:rPr>
            </w:pPr>
            <w:r w:rsidRPr="00662906">
              <w:rPr>
                <w:rFonts w:eastAsia="Arial" w:cs="Arial"/>
                <w:color w:val="394A58"/>
                <w:sz w:val="16"/>
                <w:szCs w:val="16"/>
              </w:rPr>
              <w:t>Assess price reductions for end consumers</w:t>
            </w:r>
          </w:p>
        </w:tc>
        <w:tc>
          <w:tcPr>
            <w:tcW w:w="1276" w:type="dxa"/>
            <w:gridSpan w:val="2"/>
            <w:shd w:val="clear" w:color="auto" w:fill="FFFFFF"/>
            <w:tcMar>
              <w:left w:w="57" w:type="dxa"/>
              <w:right w:w="57" w:type="dxa"/>
            </w:tcMar>
          </w:tcPr>
          <w:p w14:paraId="15B3860A" w14:textId="1E214EB9" w:rsidR="00BE032C" w:rsidRPr="00662906" w:rsidRDefault="00BE032C" w:rsidP="007E6C89">
            <w:pPr>
              <w:spacing w:before="40" w:after="40"/>
              <w:jc w:val="center"/>
              <w:rPr>
                <w:rFonts w:cs="Arial"/>
                <w:sz w:val="16"/>
                <w:szCs w:val="16"/>
              </w:rPr>
            </w:pPr>
            <w:r w:rsidRPr="00662906">
              <w:rPr>
                <w:rFonts w:cs="Arial"/>
                <w:sz w:val="16"/>
                <w:szCs w:val="16"/>
              </w:rPr>
              <w:t>National (Pilot AU Member States)</w:t>
            </w:r>
          </w:p>
        </w:tc>
        <w:tc>
          <w:tcPr>
            <w:tcW w:w="1070" w:type="dxa"/>
            <w:gridSpan w:val="2"/>
            <w:shd w:val="clear" w:color="auto" w:fill="FFFFFF"/>
            <w:tcMar>
              <w:left w:w="57" w:type="dxa"/>
              <w:right w:w="57" w:type="dxa"/>
            </w:tcMar>
          </w:tcPr>
          <w:p w14:paraId="2329E96D" w14:textId="7ED5C17B" w:rsidR="00BE032C" w:rsidRPr="00662906" w:rsidRDefault="00BE032C" w:rsidP="007E6C89">
            <w:pPr>
              <w:spacing w:before="40" w:after="40"/>
              <w:jc w:val="center"/>
              <w:rPr>
                <w:rFonts w:cs="Arial"/>
                <w:sz w:val="16"/>
                <w:szCs w:val="16"/>
              </w:rPr>
            </w:pPr>
            <w:r w:rsidRPr="00662906">
              <w:rPr>
                <w:rFonts w:cs="Arial"/>
                <w:sz w:val="16"/>
                <w:szCs w:val="16"/>
              </w:rPr>
              <w:t>National Ministries of Finance</w:t>
            </w:r>
          </w:p>
        </w:tc>
        <w:tc>
          <w:tcPr>
            <w:tcW w:w="1198" w:type="dxa"/>
            <w:gridSpan w:val="2"/>
            <w:shd w:val="clear" w:color="auto" w:fill="FFFFFF"/>
            <w:tcMar>
              <w:left w:w="57" w:type="dxa"/>
              <w:right w:w="57" w:type="dxa"/>
            </w:tcMar>
          </w:tcPr>
          <w:p w14:paraId="19ECD27E" w14:textId="696C8750" w:rsidR="00BE032C" w:rsidRPr="00662906" w:rsidRDefault="00BE032C" w:rsidP="007E6C89">
            <w:pPr>
              <w:spacing w:before="40" w:after="40"/>
              <w:jc w:val="center"/>
              <w:rPr>
                <w:rFonts w:cs="Arial"/>
                <w:sz w:val="16"/>
                <w:szCs w:val="16"/>
              </w:rPr>
            </w:pPr>
            <w:r w:rsidRPr="00662906">
              <w:rPr>
                <w:rFonts w:cs="Arial"/>
                <w:sz w:val="16"/>
                <w:szCs w:val="16"/>
              </w:rPr>
              <w:t>Manufacturing Firms, Importers</w:t>
            </w:r>
          </w:p>
        </w:tc>
        <w:tc>
          <w:tcPr>
            <w:tcW w:w="851" w:type="dxa"/>
            <w:gridSpan w:val="2"/>
            <w:shd w:val="clear" w:color="auto" w:fill="FFFFFF"/>
            <w:tcMar>
              <w:left w:w="57" w:type="dxa"/>
              <w:right w:w="57" w:type="dxa"/>
            </w:tcMar>
          </w:tcPr>
          <w:p w14:paraId="2D53E1B9" w14:textId="038FFD2E" w:rsidR="00BE032C" w:rsidRPr="00662906" w:rsidRDefault="00BE032C" w:rsidP="007E6C89">
            <w:pPr>
              <w:spacing w:before="40" w:after="40"/>
              <w:jc w:val="center"/>
              <w:rPr>
                <w:rFonts w:cs="Arial"/>
                <w:sz w:val="16"/>
                <w:szCs w:val="16"/>
              </w:rPr>
            </w:pPr>
            <w:r w:rsidRPr="00662906">
              <w:rPr>
                <w:rFonts w:cs="Arial"/>
                <w:sz w:val="16"/>
                <w:szCs w:val="16"/>
              </w:rPr>
              <w:t>Short Term</w:t>
            </w:r>
          </w:p>
        </w:tc>
        <w:tc>
          <w:tcPr>
            <w:tcW w:w="1842" w:type="dxa"/>
            <w:gridSpan w:val="2"/>
            <w:shd w:val="clear" w:color="auto" w:fill="FFFFFF"/>
          </w:tcPr>
          <w:p w14:paraId="7A3EFFED" w14:textId="6A3CF170"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List of subsidized components</w:t>
            </w:r>
          </w:p>
          <w:p w14:paraId="5DED1C49" w14:textId="51462876"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Subsidy application process</w:t>
            </w:r>
          </w:p>
          <w:p w14:paraId="2DD0EE8B" w14:textId="1E11A2A3"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Monitoring reports on component distribution</w:t>
            </w:r>
          </w:p>
        </w:tc>
        <w:tc>
          <w:tcPr>
            <w:tcW w:w="1701" w:type="dxa"/>
            <w:gridSpan w:val="2"/>
            <w:shd w:val="clear" w:color="auto" w:fill="FFFFFF"/>
          </w:tcPr>
          <w:p w14:paraId="435C1520" w14:textId="1FEAA306" w:rsidR="00BE032C" w:rsidRPr="00662906" w:rsidRDefault="00BE032C" w:rsidP="007E6C89">
            <w:pPr>
              <w:spacing w:before="40" w:after="40"/>
              <w:jc w:val="center"/>
              <w:rPr>
                <w:rFonts w:cs="Arial"/>
                <w:sz w:val="16"/>
                <w:szCs w:val="16"/>
              </w:rPr>
            </w:pPr>
            <w:r w:rsidRPr="00662906">
              <w:rPr>
                <w:rFonts w:cs="Arial"/>
                <w:sz w:val="16"/>
                <w:szCs w:val="16"/>
              </w:rPr>
              <w:t>Lower production costs enabling manufacturers to offer final products at more affordable prices, boosting access for low-income groups</w:t>
            </w:r>
          </w:p>
        </w:tc>
        <w:tc>
          <w:tcPr>
            <w:tcW w:w="1843" w:type="dxa"/>
            <w:gridSpan w:val="2"/>
            <w:shd w:val="clear" w:color="auto" w:fill="FFFFFF"/>
          </w:tcPr>
          <w:p w14:paraId="0E8ACFD6"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Subsidized components identified (Yes/No)</w:t>
            </w:r>
          </w:p>
          <w:p w14:paraId="3F09A2A5" w14:textId="77777777" w:rsidR="001917D5"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Number of manufacturers/importers participating</w:t>
            </w:r>
          </w:p>
          <w:p w14:paraId="00BB881F" w14:textId="5D591F10"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Documented end-user price reductions (Yes/No)</w:t>
            </w:r>
          </w:p>
        </w:tc>
      </w:tr>
      <w:tr w:rsidR="00BE032C" w:rsidRPr="00662906" w14:paraId="37455028" w14:textId="77777777" w:rsidTr="007E6C89">
        <w:trPr>
          <w:gridAfter w:val="1"/>
          <w:wAfter w:w="8" w:type="dxa"/>
          <w:trHeight w:val="300"/>
        </w:trPr>
        <w:tc>
          <w:tcPr>
            <w:tcW w:w="281" w:type="dxa"/>
            <w:shd w:val="clear" w:color="auto" w:fill="FFFFFF"/>
            <w:tcMar>
              <w:left w:w="57" w:type="dxa"/>
              <w:right w:w="57" w:type="dxa"/>
            </w:tcMar>
          </w:tcPr>
          <w:p w14:paraId="4F305878" w14:textId="5229E08C" w:rsidR="00BE032C" w:rsidRPr="00662906" w:rsidRDefault="00BE032C" w:rsidP="007E6C89">
            <w:pPr>
              <w:spacing w:before="40" w:after="40"/>
              <w:ind w:left="-60"/>
              <w:jc w:val="center"/>
              <w:rPr>
                <w:rFonts w:eastAsia="Arial" w:cs="Arial"/>
                <w:color w:val="53575A"/>
                <w:sz w:val="16"/>
                <w:szCs w:val="16"/>
              </w:rPr>
            </w:pPr>
            <w:r w:rsidRPr="00662906">
              <w:rPr>
                <w:rFonts w:eastAsia="Arial" w:cs="Arial"/>
                <w:color w:val="53575A"/>
                <w:sz w:val="16"/>
                <w:szCs w:val="16"/>
              </w:rPr>
              <w:t>10</w:t>
            </w:r>
          </w:p>
        </w:tc>
        <w:tc>
          <w:tcPr>
            <w:tcW w:w="1248" w:type="dxa"/>
            <w:shd w:val="clear" w:color="auto" w:fill="FFFFFF"/>
            <w:tcMar>
              <w:left w:w="57" w:type="dxa"/>
              <w:right w:w="57" w:type="dxa"/>
            </w:tcMar>
          </w:tcPr>
          <w:p w14:paraId="0CBED3CE" w14:textId="29A15B03" w:rsidR="00BE032C" w:rsidRPr="00662906" w:rsidRDefault="00BE032C" w:rsidP="007E6C89">
            <w:pPr>
              <w:spacing w:before="40" w:after="40"/>
              <w:jc w:val="center"/>
              <w:rPr>
                <w:rFonts w:cs="Arial"/>
                <w:sz w:val="16"/>
                <w:szCs w:val="16"/>
              </w:rPr>
            </w:pPr>
            <w:r w:rsidRPr="00662906">
              <w:rPr>
                <w:rFonts w:cs="Arial"/>
                <w:sz w:val="16"/>
                <w:szCs w:val="16"/>
              </w:rPr>
              <w:t xml:space="preserve">Establish Sustainable Supply Chains for Communal </w:t>
            </w:r>
            <w:r w:rsidRPr="00662906">
              <w:rPr>
                <w:rFonts w:cs="Arial"/>
                <w:sz w:val="16"/>
                <w:szCs w:val="16"/>
              </w:rPr>
              <w:lastRenderedPageBreak/>
              <w:t>Cooking Technologies</w:t>
            </w:r>
          </w:p>
        </w:tc>
        <w:tc>
          <w:tcPr>
            <w:tcW w:w="3260" w:type="dxa"/>
            <w:gridSpan w:val="2"/>
            <w:tcBorders>
              <w:top w:val="single" w:sz="4" w:space="0" w:color="9F2241"/>
              <w:left w:val="nil"/>
              <w:bottom w:val="single" w:sz="4" w:space="0" w:color="9F2241"/>
              <w:right w:val="nil"/>
            </w:tcBorders>
            <w:tcMar>
              <w:left w:w="57" w:type="dxa"/>
              <w:right w:w="57" w:type="dxa"/>
            </w:tcMar>
          </w:tcPr>
          <w:p w14:paraId="0E42BBA5" w14:textId="320D995D" w:rsidR="00BE032C" w:rsidRPr="00662906" w:rsidRDefault="00BE032C" w:rsidP="007E6C89">
            <w:pPr>
              <w:pStyle w:val="ListParagraph"/>
              <w:numPr>
                <w:ilvl w:val="0"/>
                <w:numId w:val="179"/>
              </w:numPr>
              <w:spacing w:before="40" w:after="40"/>
              <w:ind w:left="401"/>
              <w:jc w:val="center"/>
              <w:rPr>
                <w:rFonts w:eastAsia="Arial" w:cs="Arial"/>
                <w:color w:val="394A58"/>
                <w:sz w:val="16"/>
                <w:szCs w:val="16"/>
              </w:rPr>
            </w:pPr>
            <w:r w:rsidRPr="00662906">
              <w:rPr>
                <w:rFonts w:eastAsia="Arial" w:cs="Arial"/>
                <w:color w:val="394A58"/>
                <w:sz w:val="16"/>
                <w:szCs w:val="16"/>
              </w:rPr>
              <w:lastRenderedPageBreak/>
              <w:t>Develop centralized procurement frameworks for institutional-scale clean cooking solutions</w:t>
            </w:r>
          </w:p>
          <w:p w14:paraId="31257093" w14:textId="62F8D7D5" w:rsidR="00BE032C" w:rsidRPr="00662906" w:rsidRDefault="00BE032C" w:rsidP="007E6C89">
            <w:pPr>
              <w:pStyle w:val="ListParagraph"/>
              <w:numPr>
                <w:ilvl w:val="0"/>
                <w:numId w:val="179"/>
              </w:numPr>
              <w:spacing w:before="40" w:after="40"/>
              <w:ind w:left="401"/>
              <w:jc w:val="center"/>
              <w:rPr>
                <w:rFonts w:eastAsia="Arial" w:cs="Arial"/>
                <w:color w:val="394A58"/>
                <w:sz w:val="16"/>
                <w:szCs w:val="16"/>
              </w:rPr>
            </w:pPr>
            <w:r w:rsidRPr="00662906">
              <w:rPr>
                <w:rFonts w:eastAsia="Arial" w:cs="Arial"/>
                <w:color w:val="394A58"/>
                <w:sz w:val="16"/>
                <w:szCs w:val="16"/>
              </w:rPr>
              <w:t xml:space="preserve">Facilitate partnerships between local manufacturers and communal </w:t>
            </w:r>
            <w:r w:rsidRPr="00662906">
              <w:rPr>
                <w:rFonts w:eastAsia="Arial" w:cs="Arial"/>
                <w:color w:val="394A58"/>
                <w:sz w:val="16"/>
                <w:szCs w:val="16"/>
              </w:rPr>
              <w:lastRenderedPageBreak/>
              <w:t xml:space="preserve">institutions (schools, health </w:t>
            </w:r>
            <w:r w:rsidR="00AE7D1F" w:rsidRPr="00662906">
              <w:rPr>
                <w:rFonts w:eastAsia="Arial" w:cs="Arial"/>
                <w:color w:val="394A58"/>
                <w:sz w:val="16"/>
                <w:szCs w:val="16"/>
              </w:rPr>
              <w:t>centres</w:t>
            </w:r>
            <w:r w:rsidRPr="00662906">
              <w:rPr>
                <w:rFonts w:eastAsia="Arial" w:cs="Arial"/>
                <w:color w:val="394A58"/>
                <w:sz w:val="16"/>
                <w:szCs w:val="16"/>
              </w:rPr>
              <w:t>, etc.)</w:t>
            </w:r>
          </w:p>
          <w:p w14:paraId="045C83C2" w14:textId="57BB7739" w:rsidR="00BE032C" w:rsidRPr="00662906" w:rsidRDefault="00BE032C" w:rsidP="007E6C89">
            <w:pPr>
              <w:pStyle w:val="ListParagraph"/>
              <w:numPr>
                <w:ilvl w:val="0"/>
                <w:numId w:val="179"/>
              </w:numPr>
              <w:spacing w:before="40" w:after="40"/>
              <w:ind w:left="401"/>
              <w:jc w:val="center"/>
              <w:rPr>
                <w:rFonts w:eastAsia="Arial" w:cs="Arial"/>
                <w:color w:val="394A58"/>
                <w:sz w:val="16"/>
                <w:szCs w:val="16"/>
              </w:rPr>
            </w:pPr>
            <w:r w:rsidRPr="00662906">
              <w:rPr>
                <w:rFonts w:eastAsia="Arial" w:cs="Arial"/>
                <w:color w:val="394A58"/>
                <w:sz w:val="16"/>
                <w:szCs w:val="16"/>
              </w:rPr>
              <w:t>Set up distribution hubs and maintenance services for spare parts</w:t>
            </w:r>
          </w:p>
          <w:p w14:paraId="0FD04202" w14:textId="09C8C555" w:rsidR="00BE032C" w:rsidRPr="00662906" w:rsidRDefault="00BE032C" w:rsidP="007E6C89">
            <w:pPr>
              <w:pStyle w:val="ListParagraph"/>
              <w:numPr>
                <w:ilvl w:val="0"/>
                <w:numId w:val="179"/>
              </w:numPr>
              <w:spacing w:before="40" w:after="40"/>
              <w:ind w:left="401"/>
              <w:jc w:val="center"/>
              <w:rPr>
                <w:rFonts w:eastAsia="Arial" w:cs="Arial"/>
                <w:color w:val="394A58"/>
                <w:sz w:val="16"/>
                <w:szCs w:val="16"/>
              </w:rPr>
            </w:pPr>
            <w:r w:rsidRPr="00662906">
              <w:rPr>
                <w:rFonts w:eastAsia="Arial" w:cs="Arial"/>
                <w:color w:val="394A58"/>
                <w:sz w:val="16"/>
                <w:szCs w:val="16"/>
              </w:rPr>
              <w:t>Monitor usage and fuel savings in communal kitchens</w:t>
            </w:r>
          </w:p>
        </w:tc>
        <w:tc>
          <w:tcPr>
            <w:tcW w:w="1276" w:type="dxa"/>
            <w:gridSpan w:val="2"/>
            <w:shd w:val="clear" w:color="auto" w:fill="FFFFFF"/>
            <w:tcMar>
              <w:left w:w="57" w:type="dxa"/>
              <w:right w:w="57" w:type="dxa"/>
            </w:tcMar>
          </w:tcPr>
          <w:p w14:paraId="4380F4BC" w14:textId="45F07D84" w:rsidR="00BE032C" w:rsidRPr="00662906" w:rsidRDefault="00BE032C" w:rsidP="007E6C89">
            <w:pPr>
              <w:spacing w:before="40" w:after="40"/>
              <w:jc w:val="center"/>
              <w:rPr>
                <w:rFonts w:cs="Arial"/>
                <w:sz w:val="16"/>
                <w:szCs w:val="16"/>
              </w:rPr>
            </w:pPr>
            <w:r w:rsidRPr="00662906">
              <w:rPr>
                <w:rFonts w:cs="Arial"/>
                <w:sz w:val="16"/>
                <w:szCs w:val="16"/>
              </w:rPr>
              <w:lastRenderedPageBreak/>
              <w:t>Regional</w:t>
            </w:r>
          </w:p>
        </w:tc>
        <w:tc>
          <w:tcPr>
            <w:tcW w:w="1070" w:type="dxa"/>
            <w:gridSpan w:val="2"/>
            <w:shd w:val="clear" w:color="auto" w:fill="FFFFFF"/>
            <w:tcMar>
              <w:left w:w="57" w:type="dxa"/>
              <w:right w:w="57" w:type="dxa"/>
            </w:tcMar>
          </w:tcPr>
          <w:p w14:paraId="45399801" w14:textId="30623F53" w:rsidR="00BE032C" w:rsidRPr="00662906" w:rsidRDefault="00E87869" w:rsidP="007E6C89">
            <w:pPr>
              <w:spacing w:before="40" w:after="40"/>
              <w:jc w:val="center"/>
              <w:rPr>
                <w:rFonts w:cs="Arial"/>
                <w:sz w:val="16"/>
                <w:szCs w:val="16"/>
              </w:rPr>
            </w:pPr>
            <w:r w:rsidRPr="00662906">
              <w:rPr>
                <w:rFonts w:cs="Arial"/>
                <w:sz w:val="16"/>
                <w:szCs w:val="16"/>
              </w:rPr>
              <w:t>R</w:t>
            </w:r>
            <w:r w:rsidR="00BE032C" w:rsidRPr="00662906">
              <w:rPr>
                <w:rFonts w:cs="Arial"/>
                <w:sz w:val="16"/>
                <w:szCs w:val="16"/>
              </w:rPr>
              <w:t>CREEEs</w:t>
            </w:r>
          </w:p>
        </w:tc>
        <w:tc>
          <w:tcPr>
            <w:tcW w:w="1198" w:type="dxa"/>
            <w:gridSpan w:val="2"/>
            <w:shd w:val="clear" w:color="auto" w:fill="FFFFFF"/>
            <w:tcMar>
              <w:left w:w="57" w:type="dxa"/>
              <w:right w:w="57" w:type="dxa"/>
            </w:tcMar>
          </w:tcPr>
          <w:p w14:paraId="4D8931AF" w14:textId="066026EC" w:rsidR="00BE032C" w:rsidRPr="00662906" w:rsidRDefault="00BE032C" w:rsidP="007E6C89">
            <w:pPr>
              <w:spacing w:before="40" w:after="40"/>
              <w:jc w:val="center"/>
              <w:rPr>
                <w:rFonts w:cs="Arial"/>
                <w:sz w:val="16"/>
                <w:szCs w:val="16"/>
              </w:rPr>
            </w:pPr>
            <w:r w:rsidRPr="00662906">
              <w:rPr>
                <w:rFonts w:cs="Arial"/>
                <w:sz w:val="16"/>
                <w:szCs w:val="16"/>
              </w:rPr>
              <w:t xml:space="preserve">AFREC, Local Manufacturers, Development Banks, </w:t>
            </w:r>
            <w:r w:rsidRPr="00662906">
              <w:rPr>
                <w:rFonts w:cs="Arial"/>
                <w:sz w:val="16"/>
                <w:szCs w:val="16"/>
              </w:rPr>
              <w:lastRenderedPageBreak/>
              <w:t>International Donors</w:t>
            </w:r>
          </w:p>
        </w:tc>
        <w:tc>
          <w:tcPr>
            <w:tcW w:w="851" w:type="dxa"/>
            <w:gridSpan w:val="2"/>
            <w:shd w:val="clear" w:color="auto" w:fill="FFFFFF"/>
            <w:tcMar>
              <w:left w:w="57" w:type="dxa"/>
              <w:right w:w="57" w:type="dxa"/>
            </w:tcMar>
          </w:tcPr>
          <w:p w14:paraId="2343DFD1" w14:textId="31C1E79A" w:rsidR="00BE032C" w:rsidRPr="00662906" w:rsidRDefault="00BE032C" w:rsidP="007E6C89">
            <w:pPr>
              <w:spacing w:before="40" w:after="40"/>
              <w:jc w:val="center"/>
              <w:rPr>
                <w:rFonts w:cs="Arial"/>
                <w:sz w:val="16"/>
                <w:szCs w:val="16"/>
              </w:rPr>
            </w:pPr>
            <w:r w:rsidRPr="00662906">
              <w:rPr>
                <w:rFonts w:cs="Arial"/>
                <w:sz w:val="16"/>
                <w:szCs w:val="16"/>
              </w:rPr>
              <w:lastRenderedPageBreak/>
              <w:t>Medium Term</w:t>
            </w:r>
          </w:p>
        </w:tc>
        <w:tc>
          <w:tcPr>
            <w:tcW w:w="1842" w:type="dxa"/>
            <w:gridSpan w:val="2"/>
            <w:shd w:val="clear" w:color="auto" w:fill="FFFFFF"/>
          </w:tcPr>
          <w:p w14:paraId="59291BE3" w14:textId="291520AB"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Centralized procurement mechanisms</w:t>
            </w:r>
          </w:p>
          <w:p w14:paraId="191FBDB7" w14:textId="2B450EB9"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 xml:space="preserve">Partnership agreements for </w:t>
            </w:r>
            <w:r w:rsidRPr="00662906">
              <w:rPr>
                <w:rFonts w:eastAsia="Arial" w:cs="Arial"/>
                <w:color w:val="53575A"/>
                <w:sz w:val="16"/>
                <w:szCs w:val="16"/>
              </w:rPr>
              <w:lastRenderedPageBreak/>
              <w:t>local manufacturing</w:t>
            </w:r>
          </w:p>
          <w:p w14:paraId="7DEE1536" w14:textId="02C217F1" w:rsidR="00BE032C" w:rsidRPr="00662906" w:rsidRDefault="00BE032C" w:rsidP="007E6C89">
            <w:pPr>
              <w:pStyle w:val="ListParagraph"/>
              <w:numPr>
                <w:ilvl w:val="0"/>
                <w:numId w:val="63"/>
              </w:numPr>
              <w:spacing w:before="40" w:after="40"/>
              <w:ind w:left="339"/>
              <w:jc w:val="center"/>
              <w:rPr>
                <w:rFonts w:eastAsia="Arial" w:cs="Arial"/>
                <w:color w:val="53575A"/>
                <w:sz w:val="16"/>
                <w:szCs w:val="16"/>
              </w:rPr>
            </w:pPr>
            <w:r w:rsidRPr="00662906">
              <w:rPr>
                <w:rFonts w:eastAsia="Arial" w:cs="Arial"/>
                <w:color w:val="53575A"/>
                <w:sz w:val="16"/>
                <w:szCs w:val="16"/>
              </w:rPr>
              <w:t>Distribution and maintenance network for communal kitchens</w:t>
            </w:r>
          </w:p>
        </w:tc>
        <w:tc>
          <w:tcPr>
            <w:tcW w:w="1701" w:type="dxa"/>
            <w:gridSpan w:val="2"/>
            <w:shd w:val="clear" w:color="auto" w:fill="FFFFFF"/>
          </w:tcPr>
          <w:p w14:paraId="31B0B2FA" w14:textId="077CE6C3" w:rsidR="00BE032C" w:rsidRPr="00662906" w:rsidRDefault="00BE032C" w:rsidP="007E6C89">
            <w:pPr>
              <w:spacing w:before="40" w:after="40"/>
              <w:jc w:val="center"/>
              <w:rPr>
                <w:rFonts w:cs="Arial"/>
                <w:sz w:val="16"/>
                <w:szCs w:val="16"/>
              </w:rPr>
            </w:pPr>
            <w:r w:rsidRPr="00662906">
              <w:rPr>
                <w:rFonts w:cs="Arial"/>
                <w:sz w:val="16"/>
                <w:szCs w:val="16"/>
              </w:rPr>
              <w:lastRenderedPageBreak/>
              <w:t xml:space="preserve">Robust, cost-effective supply chains enabling institutions to adopt clean cooking </w:t>
            </w:r>
            <w:r w:rsidRPr="00662906">
              <w:rPr>
                <w:rFonts w:cs="Arial"/>
                <w:sz w:val="16"/>
                <w:szCs w:val="16"/>
              </w:rPr>
              <w:lastRenderedPageBreak/>
              <w:t>solutions at scale, reducing biomass use and mitigating deforestation</w:t>
            </w:r>
          </w:p>
        </w:tc>
        <w:tc>
          <w:tcPr>
            <w:tcW w:w="1843" w:type="dxa"/>
            <w:gridSpan w:val="2"/>
            <w:shd w:val="clear" w:color="auto" w:fill="FFFFFF"/>
          </w:tcPr>
          <w:p w14:paraId="2059B3E1"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lastRenderedPageBreak/>
              <w:t>Procurement framework established (Yes/No)</w:t>
            </w:r>
          </w:p>
          <w:p w14:paraId="2C568566" w14:textId="77777777"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lastRenderedPageBreak/>
              <w:t>Maintenance networks operational (Yes/No)</w:t>
            </w:r>
          </w:p>
          <w:p w14:paraId="62CEEC1F" w14:textId="0E48588C" w:rsidR="00BE032C" w:rsidRPr="00662906" w:rsidRDefault="00BE032C" w:rsidP="007E6C89">
            <w:pPr>
              <w:pStyle w:val="ListParagraph"/>
              <w:numPr>
                <w:ilvl w:val="0"/>
                <w:numId w:val="63"/>
              </w:numPr>
              <w:spacing w:before="40" w:after="40"/>
              <w:ind w:left="343"/>
              <w:jc w:val="center"/>
              <w:rPr>
                <w:rFonts w:eastAsia="Arial" w:cs="Arial"/>
                <w:color w:val="53575A"/>
                <w:sz w:val="16"/>
                <w:szCs w:val="16"/>
              </w:rPr>
            </w:pPr>
            <w:r w:rsidRPr="00662906">
              <w:rPr>
                <w:rFonts w:eastAsia="Arial" w:cs="Arial"/>
                <w:color w:val="53575A"/>
                <w:sz w:val="16"/>
                <w:szCs w:val="16"/>
              </w:rPr>
              <w:t>Reduction in biomass consumption at communal sites (Yes/No)</w:t>
            </w:r>
          </w:p>
        </w:tc>
      </w:tr>
    </w:tbl>
    <w:p w14:paraId="25B3D31A" w14:textId="19D50B14" w:rsidR="004159FA" w:rsidRPr="00662906" w:rsidRDefault="409F9FD9" w:rsidP="00E12831">
      <w:pPr>
        <w:rPr>
          <w:rFonts w:eastAsia="Arial" w:cs="Arial"/>
          <w:i/>
          <w:iCs/>
          <w:color w:val="B4A169"/>
          <w:sz w:val="16"/>
          <w:szCs w:val="16"/>
        </w:rPr>
      </w:pPr>
      <w:r w:rsidRPr="00662906">
        <w:rPr>
          <w:rFonts w:eastAsia="Arial" w:cs="Arial"/>
          <w:i/>
          <w:iCs/>
          <w:color w:val="B4A169"/>
          <w:sz w:val="16"/>
          <w:szCs w:val="16"/>
        </w:rPr>
        <w:lastRenderedPageBreak/>
        <w:t>Source:</w:t>
      </w:r>
      <w:r w:rsidRPr="00662906">
        <w:t xml:space="preserve"> </w:t>
      </w:r>
      <w:r w:rsidRPr="00662906">
        <w:rPr>
          <w:rFonts w:eastAsia="Arial" w:cs="Arial"/>
          <w:i/>
          <w:iCs/>
          <w:color w:val="B4A169"/>
          <w:sz w:val="16"/>
          <w:szCs w:val="16"/>
        </w:rPr>
        <w:t xml:space="preserve">Authors' own creation </w:t>
      </w:r>
      <w:bookmarkStart w:id="704" w:name="_Toc171955608"/>
      <w:bookmarkStart w:id="705" w:name="_Toc176430336"/>
    </w:p>
    <w:p w14:paraId="45543F07" w14:textId="1A25F608" w:rsidR="0083216A" w:rsidRPr="00662906" w:rsidRDefault="0083216A" w:rsidP="0083216A">
      <w:pPr>
        <w:pStyle w:val="Caption"/>
      </w:pPr>
      <w:bookmarkStart w:id="706" w:name="_Toc197433922"/>
      <w:r w:rsidRPr="00662906">
        <w:t xml:space="preserve">Table </w:t>
      </w:r>
      <w:fldSimple w:instr=" SEQ Table \* ARABIC ">
        <w:r w:rsidR="00610F61">
          <w:rPr>
            <w:noProof/>
          </w:rPr>
          <w:t>34</w:t>
        </w:r>
      </w:fldSimple>
      <w:r w:rsidRPr="00662906">
        <w:t>: Strategic Intervention 3 Policy Development and Regulatory Support</w:t>
      </w:r>
      <w:bookmarkEnd w:id="706"/>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83216A" w:rsidRPr="00662906" w14:paraId="20621862" w14:textId="77777777" w:rsidTr="007E6C89">
        <w:trPr>
          <w:trHeight w:val="360"/>
        </w:trPr>
        <w:tc>
          <w:tcPr>
            <w:tcW w:w="14456" w:type="dxa"/>
            <w:gridSpan w:val="10"/>
            <w:shd w:val="clear" w:color="auto" w:fill="B4A269"/>
            <w:vAlign w:val="center"/>
          </w:tcPr>
          <w:p w14:paraId="4C02BEE4"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color w:val="FFFFFF" w:themeColor="background2"/>
                <w:sz w:val="16"/>
                <w:szCs w:val="16"/>
              </w:rPr>
              <w:t>The absence of supportive policies and comprehensive regulatory frameworks in many parts of Africa impedes the adoption of clean cooking solutions across the continent. This intervention focuses on developing robust policies and regulatory mechanisms that create an enabling environment for innovation, investment, and scaling of clean cooking technologies. By aligning with international health and environmental standards, the pathway seeks to accelerate clean cooking adoption, foster market growth, and build consumer confidence, contributing to healthier communities and sustainable energy systems.</w:t>
            </w:r>
          </w:p>
        </w:tc>
      </w:tr>
      <w:tr w:rsidR="0083216A" w:rsidRPr="00662906" w14:paraId="53D77377" w14:textId="77777777" w:rsidTr="007E6C89">
        <w:trPr>
          <w:trHeight w:val="699"/>
        </w:trPr>
        <w:tc>
          <w:tcPr>
            <w:tcW w:w="1415" w:type="dxa"/>
            <w:gridSpan w:val="2"/>
            <w:shd w:val="clear" w:color="auto" w:fill="B4A269"/>
            <w:tcMar>
              <w:left w:w="57" w:type="dxa"/>
              <w:right w:w="57" w:type="dxa"/>
            </w:tcMar>
            <w:vAlign w:val="center"/>
          </w:tcPr>
          <w:p w14:paraId="6E4E1C20"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4599DE20" w14:textId="77777777" w:rsidR="0083216A" w:rsidRPr="00662906" w:rsidRDefault="0083216A"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3AEB5E0C"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7283C5D4"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44493D31"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48BD5F49"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23FD4F3C"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47D570DC"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62578D5F" w14:textId="77777777" w:rsidR="0083216A" w:rsidRPr="00662906" w:rsidRDefault="0083216A"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B77E29" w:rsidRPr="00662906" w14:paraId="7D6B02EF" w14:textId="77777777" w:rsidTr="007E6C89">
        <w:trPr>
          <w:trHeight w:val="1413"/>
        </w:trPr>
        <w:tc>
          <w:tcPr>
            <w:tcW w:w="167" w:type="dxa"/>
            <w:shd w:val="clear" w:color="auto" w:fill="FFFFFF"/>
            <w:tcMar>
              <w:left w:w="57" w:type="dxa"/>
              <w:right w:w="57" w:type="dxa"/>
            </w:tcMar>
          </w:tcPr>
          <w:p w14:paraId="0B758309" w14:textId="77777777" w:rsidR="00B77E29" w:rsidRPr="00662906" w:rsidRDefault="00B77E29"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3630ABD7"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Development of a National Strategy on Clean Cooking</w:t>
            </w:r>
          </w:p>
        </w:tc>
        <w:tc>
          <w:tcPr>
            <w:tcW w:w="3260" w:type="dxa"/>
            <w:tcBorders>
              <w:bottom w:val="single" w:sz="2" w:space="0" w:color="9F2241"/>
            </w:tcBorders>
            <w:shd w:val="clear" w:color="auto" w:fill="FFFFFF"/>
            <w:tcMar>
              <w:left w:w="57" w:type="dxa"/>
              <w:right w:w="57" w:type="dxa"/>
            </w:tcMar>
          </w:tcPr>
          <w:p w14:paraId="043D1A18" w14:textId="77777777" w:rsidR="00B77E29" w:rsidRPr="00662906" w:rsidRDefault="00B77E29" w:rsidP="007E6C89">
            <w:pPr>
              <w:pStyle w:val="ListParagraph"/>
              <w:numPr>
                <w:ilvl w:val="0"/>
                <w:numId w:val="180"/>
              </w:numPr>
              <w:spacing w:before="0" w:after="0"/>
              <w:ind w:left="367"/>
              <w:jc w:val="center"/>
              <w:rPr>
                <w:rFonts w:cs="Arial"/>
                <w:sz w:val="16"/>
                <w:szCs w:val="16"/>
              </w:rPr>
            </w:pPr>
            <w:r w:rsidRPr="00662906">
              <w:rPr>
                <w:rFonts w:cs="Arial"/>
                <w:sz w:val="16"/>
                <w:szCs w:val="16"/>
              </w:rPr>
              <w:t>Conduct baseline assessments to identify current cooking methods and resource availability</w:t>
            </w:r>
          </w:p>
          <w:p w14:paraId="371ECD08" w14:textId="77777777" w:rsidR="00B77E29" w:rsidRPr="00662906" w:rsidRDefault="00B77E29" w:rsidP="007E6C89">
            <w:pPr>
              <w:pStyle w:val="ListParagraph"/>
              <w:numPr>
                <w:ilvl w:val="0"/>
                <w:numId w:val="180"/>
              </w:numPr>
              <w:spacing w:before="0" w:after="0"/>
              <w:ind w:left="367"/>
              <w:jc w:val="center"/>
              <w:rPr>
                <w:rFonts w:cs="Arial"/>
                <w:sz w:val="16"/>
                <w:szCs w:val="16"/>
              </w:rPr>
            </w:pPr>
            <w:r w:rsidRPr="00662906">
              <w:rPr>
                <w:rFonts w:cs="Arial"/>
                <w:sz w:val="16"/>
                <w:szCs w:val="16"/>
              </w:rPr>
              <w:t>Consult with stakeholders (ministries, NGOs, consumer groups) to shape goals, timelines, and responsibilities</w:t>
            </w:r>
          </w:p>
          <w:p w14:paraId="33AC7C3B" w14:textId="77777777" w:rsidR="00B77E29" w:rsidRPr="00662906" w:rsidRDefault="00B77E29" w:rsidP="007E6C89">
            <w:pPr>
              <w:pStyle w:val="ListParagraph"/>
              <w:numPr>
                <w:ilvl w:val="0"/>
                <w:numId w:val="180"/>
              </w:numPr>
              <w:spacing w:before="0" w:after="0"/>
              <w:ind w:left="367"/>
              <w:jc w:val="center"/>
              <w:rPr>
                <w:rFonts w:cs="Arial"/>
                <w:sz w:val="16"/>
                <w:szCs w:val="16"/>
              </w:rPr>
            </w:pPr>
            <w:r w:rsidRPr="00662906">
              <w:rPr>
                <w:rFonts w:cs="Arial"/>
                <w:sz w:val="16"/>
                <w:szCs w:val="16"/>
              </w:rPr>
              <w:t>Draft the strategy, integrating feedback from consultations</w:t>
            </w:r>
          </w:p>
          <w:p w14:paraId="7B26B27B" w14:textId="77777777" w:rsidR="00B77E29" w:rsidRPr="00662906" w:rsidRDefault="00B77E29" w:rsidP="007E6C89">
            <w:pPr>
              <w:pStyle w:val="ListParagraph"/>
              <w:numPr>
                <w:ilvl w:val="0"/>
                <w:numId w:val="180"/>
              </w:numPr>
              <w:spacing w:before="0" w:after="0"/>
              <w:ind w:left="367"/>
              <w:jc w:val="center"/>
              <w:rPr>
                <w:rFonts w:cs="Arial"/>
                <w:sz w:val="16"/>
                <w:szCs w:val="16"/>
              </w:rPr>
            </w:pPr>
            <w:r w:rsidRPr="00662906">
              <w:rPr>
                <w:rFonts w:cs="Arial"/>
                <w:sz w:val="16"/>
                <w:szCs w:val="16"/>
              </w:rPr>
              <w:t>Officially adopt and publish the national strategy</w:t>
            </w:r>
          </w:p>
        </w:tc>
        <w:tc>
          <w:tcPr>
            <w:tcW w:w="1276" w:type="dxa"/>
            <w:shd w:val="clear" w:color="auto" w:fill="FFFFFF"/>
            <w:tcMar>
              <w:left w:w="57" w:type="dxa"/>
              <w:right w:w="57" w:type="dxa"/>
            </w:tcMar>
          </w:tcPr>
          <w:p w14:paraId="169A0ABA"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2E9A4695"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Ministries of Energy, Food, Agriculture</w:t>
            </w:r>
          </w:p>
        </w:tc>
        <w:tc>
          <w:tcPr>
            <w:tcW w:w="1198" w:type="dxa"/>
            <w:shd w:val="clear" w:color="auto" w:fill="FFFFFF"/>
            <w:tcMar>
              <w:left w:w="57" w:type="dxa"/>
              <w:right w:w="57" w:type="dxa"/>
            </w:tcMar>
          </w:tcPr>
          <w:p w14:paraId="6F9280C4"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Consumer Groups, NGOs</w:t>
            </w:r>
          </w:p>
        </w:tc>
        <w:tc>
          <w:tcPr>
            <w:tcW w:w="851" w:type="dxa"/>
            <w:shd w:val="clear" w:color="auto" w:fill="FFFFFF"/>
            <w:tcMar>
              <w:left w:w="57" w:type="dxa"/>
              <w:right w:w="57" w:type="dxa"/>
            </w:tcMar>
          </w:tcPr>
          <w:p w14:paraId="6262D9B6"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0546F45C"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Comprehensive baseline report</w:t>
            </w:r>
          </w:p>
          <w:p w14:paraId="0E192DB7"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Stakeholder consultation summaries</w:t>
            </w:r>
          </w:p>
          <w:p w14:paraId="76FB731C"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National clean cooking strategy document"</w:t>
            </w:r>
          </w:p>
        </w:tc>
        <w:tc>
          <w:tcPr>
            <w:tcW w:w="1701" w:type="dxa"/>
            <w:shd w:val="clear" w:color="auto" w:fill="FFFFFF"/>
          </w:tcPr>
          <w:p w14:paraId="277BEAC4"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A clear roadmap guiding the expansion of clean cooking solutions, ensuring coordinated efforts and resource allocation</w:t>
            </w:r>
          </w:p>
        </w:tc>
        <w:tc>
          <w:tcPr>
            <w:tcW w:w="1843" w:type="dxa"/>
            <w:shd w:val="clear" w:color="auto" w:fill="FFFFFF"/>
          </w:tcPr>
          <w:p w14:paraId="7AAA1B76"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Baseline assessment completed (Yes/No)</w:t>
            </w:r>
          </w:p>
          <w:p w14:paraId="652645D9" w14:textId="77777777" w:rsidR="001917D5"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Stakeholder consultations conducted (Yes/No)</w:t>
            </w:r>
          </w:p>
          <w:p w14:paraId="4C449092" w14:textId="0C2AE881"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Strategy document officially approved (Yes/No)</w:t>
            </w:r>
          </w:p>
        </w:tc>
      </w:tr>
      <w:tr w:rsidR="00B77E29" w:rsidRPr="00662906" w14:paraId="4BD363DB" w14:textId="77777777" w:rsidTr="007E6C89">
        <w:trPr>
          <w:trHeight w:val="300"/>
        </w:trPr>
        <w:tc>
          <w:tcPr>
            <w:tcW w:w="167" w:type="dxa"/>
            <w:shd w:val="clear" w:color="auto" w:fill="FFFFFF"/>
            <w:tcMar>
              <w:left w:w="57" w:type="dxa"/>
              <w:right w:w="57" w:type="dxa"/>
            </w:tcMar>
          </w:tcPr>
          <w:p w14:paraId="0D5C791F" w14:textId="77777777" w:rsidR="00B77E29" w:rsidRPr="00662906" w:rsidRDefault="00B77E29"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2F9F5C20"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Development of Guidelines on Clean Cooking Strategy Development and Link with Available Financing</w:t>
            </w:r>
          </w:p>
        </w:tc>
        <w:tc>
          <w:tcPr>
            <w:tcW w:w="3260" w:type="dxa"/>
            <w:tcBorders>
              <w:bottom w:val="single" w:sz="4" w:space="0" w:color="9F2241"/>
            </w:tcBorders>
            <w:shd w:val="clear" w:color="auto" w:fill="FFFFFF"/>
            <w:tcMar>
              <w:left w:w="57" w:type="dxa"/>
              <w:right w:w="57" w:type="dxa"/>
            </w:tcMar>
          </w:tcPr>
          <w:p w14:paraId="0F9E0481" w14:textId="77777777" w:rsidR="00B77E29" w:rsidRPr="00662906" w:rsidRDefault="00B77E29" w:rsidP="007E6C89">
            <w:pPr>
              <w:pStyle w:val="ListParagraph"/>
              <w:numPr>
                <w:ilvl w:val="0"/>
                <w:numId w:val="181"/>
              </w:numPr>
              <w:spacing w:before="40" w:after="40"/>
              <w:ind w:left="367"/>
              <w:jc w:val="center"/>
              <w:rPr>
                <w:rFonts w:eastAsia="Arial" w:cs="Arial"/>
                <w:color w:val="394A58"/>
                <w:sz w:val="16"/>
                <w:szCs w:val="16"/>
              </w:rPr>
            </w:pPr>
            <w:r w:rsidRPr="00662906">
              <w:rPr>
                <w:rFonts w:eastAsia="Arial" w:cs="Arial"/>
                <w:color w:val="394A58"/>
                <w:sz w:val="16"/>
                <w:szCs w:val="16"/>
              </w:rPr>
              <w:t>Compile best practices from existing clean cooking strategies</w:t>
            </w:r>
          </w:p>
          <w:p w14:paraId="3C1F8A47" w14:textId="77777777" w:rsidR="00B77E29" w:rsidRPr="00662906" w:rsidRDefault="00B77E29" w:rsidP="007E6C89">
            <w:pPr>
              <w:pStyle w:val="ListParagraph"/>
              <w:numPr>
                <w:ilvl w:val="0"/>
                <w:numId w:val="181"/>
              </w:numPr>
              <w:spacing w:before="40" w:after="40"/>
              <w:ind w:left="367"/>
              <w:jc w:val="center"/>
              <w:rPr>
                <w:rFonts w:eastAsia="Arial" w:cs="Arial"/>
                <w:color w:val="394A58"/>
                <w:sz w:val="16"/>
                <w:szCs w:val="16"/>
              </w:rPr>
            </w:pPr>
            <w:r w:rsidRPr="00662906">
              <w:rPr>
                <w:rFonts w:eastAsia="Arial" w:cs="Arial"/>
                <w:color w:val="394A58"/>
                <w:sz w:val="16"/>
                <w:szCs w:val="16"/>
              </w:rPr>
              <w:t>Highlight potential funding opportunities (loans, grants, carbon credits)</w:t>
            </w:r>
          </w:p>
          <w:p w14:paraId="21088F3A" w14:textId="77777777" w:rsidR="00B77E29" w:rsidRPr="00662906" w:rsidRDefault="00B77E29" w:rsidP="007E6C89">
            <w:pPr>
              <w:pStyle w:val="ListParagraph"/>
              <w:numPr>
                <w:ilvl w:val="0"/>
                <w:numId w:val="181"/>
              </w:numPr>
              <w:spacing w:before="40" w:after="40"/>
              <w:ind w:left="367"/>
              <w:jc w:val="center"/>
              <w:rPr>
                <w:rFonts w:eastAsia="Arial" w:cs="Arial"/>
                <w:color w:val="394A58"/>
                <w:sz w:val="16"/>
                <w:szCs w:val="16"/>
              </w:rPr>
            </w:pPr>
            <w:r w:rsidRPr="00662906">
              <w:rPr>
                <w:rFonts w:eastAsia="Arial" w:cs="Arial"/>
                <w:color w:val="394A58"/>
                <w:sz w:val="16"/>
                <w:szCs w:val="16"/>
              </w:rPr>
              <w:t>Provide a step-by-step guide for policymakers on integrating financial mechanisms</w:t>
            </w:r>
          </w:p>
          <w:p w14:paraId="606B57D8" w14:textId="77777777" w:rsidR="00B77E29" w:rsidRPr="00662906" w:rsidRDefault="00B77E29" w:rsidP="007E6C89">
            <w:pPr>
              <w:pStyle w:val="ListParagraph"/>
              <w:numPr>
                <w:ilvl w:val="0"/>
                <w:numId w:val="181"/>
              </w:numPr>
              <w:spacing w:before="40" w:after="40"/>
              <w:ind w:left="367"/>
              <w:jc w:val="center"/>
              <w:rPr>
                <w:rFonts w:eastAsia="Arial" w:cs="Arial"/>
                <w:color w:val="394A58"/>
                <w:sz w:val="16"/>
                <w:szCs w:val="16"/>
              </w:rPr>
            </w:pPr>
            <w:r w:rsidRPr="00662906">
              <w:rPr>
                <w:rFonts w:eastAsia="Arial" w:cs="Arial"/>
                <w:color w:val="394A58"/>
                <w:sz w:val="16"/>
                <w:szCs w:val="16"/>
              </w:rPr>
              <w:t>Distribute guidelines to Member States and relevant institutions</w:t>
            </w:r>
          </w:p>
        </w:tc>
        <w:tc>
          <w:tcPr>
            <w:tcW w:w="1276" w:type="dxa"/>
            <w:shd w:val="clear" w:color="auto" w:fill="FFFFFF"/>
            <w:tcMar>
              <w:left w:w="57" w:type="dxa"/>
              <w:right w:w="57" w:type="dxa"/>
            </w:tcMar>
          </w:tcPr>
          <w:p w14:paraId="1115E704"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104C4D5D"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AFREC and AfDB</w:t>
            </w:r>
          </w:p>
        </w:tc>
        <w:tc>
          <w:tcPr>
            <w:tcW w:w="1198" w:type="dxa"/>
            <w:shd w:val="clear" w:color="auto" w:fill="FFFFFF"/>
            <w:tcMar>
              <w:left w:w="57" w:type="dxa"/>
              <w:right w:w="57" w:type="dxa"/>
            </w:tcMar>
          </w:tcPr>
          <w:p w14:paraId="5A409225"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AFREC, AUDA-NEPAD</w:t>
            </w:r>
          </w:p>
        </w:tc>
        <w:tc>
          <w:tcPr>
            <w:tcW w:w="851" w:type="dxa"/>
            <w:shd w:val="clear" w:color="auto" w:fill="FFFFFF"/>
            <w:tcMar>
              <w:left w:w="57" w:type="dxa"/>
              <w:right w:w="57" w:type="dxa"/>
            </w:tcMar>
          </w:tcPr>
          <w:p w14:paraId="7A33797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23C7DD3E"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Best practice compendium</w:t>
            </w:r>
          </w:p>
          <w:p w14:paraId="457F5589"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Financing opportunities catalogue</w:t>
            </w:r>
          </w:p>
          <w:p w14:paraId="41014395"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Guideline booklet/online toolkit"</w:t>
            </w:r>
          </w:p>
        </w:tc>
        <w:tc>
          <w:tcPr>
            <w:tcW w:w="1701" w:type="dxa"/>
            <w:shd w:val="clear" w:color="auto" w:fill="FFFFFF"/>
          </w:tcPr>
          <w:p w14:paraId="688A8AA9"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Strengthened capacity among policymakers to formulate and finance effective clean cooking strategies, enabling faster implementation across various regions</w:t>
            </w:r>
          </w:p>
        </w:tc>
        <w:tc>
          <w:tcPr>
            <w:tcW w:w="1843" w:type="dxa"/>
            <w:shd w:val="clear" w:color="auto" w:fill="FFFFFF"/>
          </w:tcPr>
          <w:p w14:paraId="7D0955D4"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Guideline document published (Yes/No)</w:t>
            </w:r>
          </w:p>
          <w:p w14:paraId="6A2EA40B"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Member States receiving guidelines</w:t>
            </w:r>
          </w:p>
          <w:p w14:paraId="78B17B48" w14:textId="1A5827EB"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 xml:space="preserve">Incorporation of financial mechanisms in </w:t>
            </w:r>
            <w:r w:rsidRPr="00662906">
              <w:rPr>
                <w:rFonts w:eastAsia="Arial" w:cs="Arial"/>
                <w:color w:val="53575A"/>
                <w:sz w:val="16"/>
                <w:szCs w:val="16"/>
              </w:rPr>
              <w:lastRenderedPageBreak/>
              <w:t>national strategies (Yes/No)</w:t>
            </w:r>
          </w:p>
        </w:tc>
      </w:tr>
      <w:tr w:rsidR="00B77E29" w:rsidRPr="00662906" w14:paraId="1931351F" w14:textId="77777777" w:rsidTr="007E6C89">
        <w:trPr>
          <w:trHeight w:val="300"/>
        </w:trPr>
        <w:tc>
          <w:tcPr>
            <w:tcW w:w="167" w:type="dxa"/>
            <w:shd w:val="clear" w:color="auto" w:fill="FFFFFF"/>
            <w:tcMar>
              <w:left w:w="57" w:type="dxa"/>
              <w:right w:w="57" w:type="dxa"/>
            </w:tcMar>
          </w:tcPr>
          <w:p w14:paraId="07AA9537" w14:textId="77777777" w:rsidR="00B77E29" w:rsidRPr="00662906" w:rsidRDefault="00B77E29" w:rsidP="007E6C89">
            <w:pPr>
              <w:spacing w:before="40" w:after="40"/>
              <w:jc w:val="center"/>
              <w:rPr>
                <w:rFonts w:cs="Arial"/>
                <w:color w:val="53575A"/>
                <w:sz w:val="16"/>
                <w:szCs w:val="16"/>
              </w:rPr>
            </w:pPr>
            <w:r w:rsidRPr="00662906">
              <w:rPr>
                <w:rFonts w:eastAsia="Arial" w:cs="Arial"/>
                <w:color w:val="53575A"/>
                <w:sz w:val="16"/>
                <w:szCs w:val="16"/>
              </w:rPr>
              <w:lastRenderedPageBreak/>
              <w:t>3</w:t>
            </w:r>
          </w:p>
        </w:tc>
        <w:tc>
          <w:tcPr>
            <w:tcW w:w="1248" w:type="dxa"/>
            <w:shd w:val="clear" w:color="auto" w:fill="FFFFFF"/>
            <w:tcMar>
              <w:left w:w="57" w:type="dxa"/>
              <w:right w:w="57" w:type="dxa"/>
            </w:tcMar>
          </w:tcPr>
          <w:p w14:paraId="362B0B7D"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Implement Tax Breaks and Subsidies for Clean Cooking Equipment</w:t>
            </w:r>
          </w:p>
        </w:tc>
        <w:tc>
          <w:tcPr>
            <w:tcW w:w="3260" w:type="dxa"/>
            <w:tcBorders>
              <w:top w:val="single" w:sz="4" w:space="0" w:color="9F2241"/>
              <w:left w:val="nil"/>
              <w:bottom w:val="single" w:sz="4" w:space="0" w:color="9F2241"/>
              <w:right w:val="nil"/>
            </w:tcBorders>
            <w:tcMar>
              <w:left w:w="57" w:type="dxa"/>
              <w:right w:w="57" w:type="dxa"/>
            </w:tcMar>
          </w:tcPr>
          <w:p w14:paraId="2C649034" w14:textId="77777777" w:rsidR="00B77E29" w:rsidRPr="00662906" w:rsidRDefault="00B77E29" w:rsidP="007E6C89">
            <w:pPr>
              <w:pStyle w:val="ListParagraph"/>
              <w:numPr>
                <w:ilvl w:val="0"/>
                <w:numId w:val="182"/>
              </w:numPr>
              <w:spacing w:before="40" w:after="40"/>
              <w:ind w:left="367"/>
              <w:jc w:val="center"/>
              <w:rPr>
                <w:rFonts w:eastAsia="Arial" w:cs="Arial"/>
                <w:color w:val="394A58"/>
                <w:sz w:val="16"/>
                <w:szCs w:val="16"/>
              </w:rPr>
            </w:pPr>
            <w:r w:rsidRPr="00662906">
              <w:rPr>
                <w:rFonts w:eastAsia="Arial" w:cs="Arial"/>
                <w:color w:val="394A58"/>
                <w:sz w:val="16"/>
                <w:szCs w:val="16"/>
              </w:rPr>
              <w:t>Review existing fiscal policies to identify suitable tax incentives</w:t>
            </w:r>
          </w:p>
          <w:p w14:paraId="28FCF3E8" w14:textId="77777777" w:rsidR="00B77E29" w:rsidRPr="00662906" w:rsidRDefault="00B77E29" w:rsidP="007E6C89">
            <w:pPr>
              <w:pStyle w:val="ListParagraph"/>
              <w:numPr>
                <w:ilvl w:val="0"/>
                <w:numId w:val="182"/>
              </w:numPr>
              <w:spacing w:before="40" w:after="40"/>
              <w:ind w:left="367"/>
              <w:jc w:val="center"/>
              <w:rPr>
                <w:rFonts w:eastAsia="Arial" w:cs="Arial"/>
                <w:color w:val="394A58"/>
                <w:sz w:val="16"/>
                <w:szCs w:val="16"/>
              </w:rPr>
            </w:pPr>
            <w:r w:rsidRPr="00662906">
              <w:rPr>
                <w:rFonts w:eastAsia="Arial" w:cs="Arial"/>
                <w:color w:val="394A58"/>
                <w:sz w:val="16"/>
                <w:szCs w:val="16"/>
              </w:rPr>
              <w:t>Draft legislation or executive directives to enact exemptions or lower duties</w:t>
            </w:r>
          </w:p>
          <w:p w14:paraId="0B25DD08" w14:textId="77777777" w:rsidR="00B77E29" w:rsidRPr="00662906" w:rsidRDefault="00B77E29" w:rsidP="007E6C89">
            <w:pPr>
              <w:pStyle w:val="ListParagraph"/>
              <w:numPr>
                <w:ilvl w:val="0"/>
                <w:numId w:val="182"/>
              </w:numPr>
              <w:spacing w:before="40" w:after="40"/>
              <w:ind w:left="367"/>
              <w:jc w:val="center"/>
              <w:rPr>
                <w:rFonts w:eastAsia="Arial" w:cs="Arial"/>
                <w:color w:val="394A58"/>
                <w:sz w:val="16"/>
                <w:szCs w:val="16"/>
              </w:rPr>
            </w:pPr>
            <w:r w:rsidRPr="00662906">
              <w:rPr>
                <w:rFonts w:eastAsia="Arial" w:cs="Arial"/>
                <w:color w:val="394A58"/>
                <w:sz w:val="16"/>
                <w:szCs w:val="16"/>
              </w:rPr>
              <w:t>Partner with local manufacturers/importers to gauge impact on pricing</w:t>
            </w:r>
          </w:p>
          <w:p w14:paraId="469D35E7" w14:textId="77777777" w:rsidR="00B77E29" w:rsidRPr="00662906" w:rsidRDefault="00B77E29" w:rsidP="007E6C89">
            <w:pPr>
              <w:pStyle w:val="ListParagraph"/>
              <w:numPr>
                <w:ilvl w:val="0"/>
                <w:numId w:val="182"/>
              </w:numPr>
              <w:spacing w:before="40" w:after="40"/>
              <w:ind w:left="367"/>
              <w:jc w:val="center"/>
              <w:rPr>
                <w:rFonts w:eastAsia="Arial" w:cs="Arial"/>
                <w:color w:val="394A58"/>
                <w:sz w:val="16"/>
                <w:szCs w:val="16"/>
              </w:rPr>
            </w:pPr>
            <w:r w:rsidRPr="00662906">
              <w:rPr>
                <w:rFonts w:eastAsia="Arial" w:cs="Arial"/>
                <w:color w:val="394A58"/>
                <w:sz w:val="16"/>
                <w:szCs w:val="16"/>
              </w:rPr>
              <w:t>Monitor post-implementation effects on affordability and sales volumes</w:t>
            </w:r>
          </w:p>
        </w:tc>
        <w:tc>
          <w:tcPr>
            <w:tcW w:w="1276" w:type="dxa"/>
            <w:shd w:val="clear" w:color="auto" w:fill="FFFFFF"/>
            <w:tcMar>
              <w:left w:w="57" w:type="dxa"/>
              <w:right w:w="57" w:type="dxa"/>
            </w:tcMar>
          </w:tcPr>
          <w:p w14:paraId="1829A906"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1146174F"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 Ministries of Finance</w:t>
            </w:r>
          </w:p>
        </w:tc>
        <w:tc>
          <w:tcPr>
            <w:tcW w:w="1198" w:type="dxa"/>
            <w:shd w:val="clear" w:color="auto" w:fill="FFFFFF"/>
            <w:tcMar>
              <w:left w:w="57" w:type="dxa"/>
              <w:right w:w="57" w:type="dxa"/>
            </w:tcMar>
          </w:tcPr>
          <w:p w14:paraId="48F8FA2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Local Manufacturers, Importers</w:t>
            </w:r>
          </w:p>
        </w:tc>
        <w:tc>
          <w:tcPr>
            <w:tcW w:w="851" w:type="dxa"/>
            <w:shd w:val="clear" w:color="auto" w:fill="FFFFFF"/>
            <w:tcMar>
              <w:left w:w="57" w:type="dxa"/>
              <w:right w:w="57" w:type="dxa"/>
            </w:tcMar>
          </w:tcPr>
          <w:p w14:paraId="12A19CD0"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5D098797"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Revised fiscal policy proposals</w:t>
            </w:r>
          </w:p>
          <w:p w14:paraId="51A39641"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Legislative directives on tax breaks</w:t>
            </w:r>
          </w:p>
          <w:p w14:paraId="0BC812C2"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Monitoring reports on price changes"</w:t>
            </w:r>
          </w:p>
        </w:tc>
        <w:tc>
          <w:tcPr>
            <w:tcW w:w="1701" w:type="dxa"/>
            <w:shd w:val="clear" w:color="auto" w:fill="FFFFFF"/>
          </w:tcPr>
          <w:p w14:paraId="15845979"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Enhanced affordability of clean cooking technologies, spurring higher adoption rates among various income groups</w:t>
            </w:r>
          </w:p>
        </w:tc>
        <w:tc>
          <w:tcPr>
            <w:tcW w:w="1843" w:type="dxa"/>
            <w:shd w:val="clear" w:color="auto" w:fill="FFFFFF"/>
          </w:tcPr>
          <w:p w14:paraId="7801F898"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Tax incentive policy approved (Yes/No)</w:t>
            </w:r>
          </w:p>
          <w:p w14:paraId="7EAAC51E"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Price reduction observed (Yes/No)</w:t>
            </w:r>
          </w:p>
          <w:p w14:paraId="09B8FF92" w14:textId="7859114C"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Uptake rate increase (Yes/No)</w:t>
            </w:r>
          </w:p>
        </w:tc>
      </w:tr>
      <w:tr w:rsidR="00B77E29" w:rsidRPr="00662906" w14:paraId="018550D5" w14:textId="77777777" w:rsidTr="007E6C89">
        <w:trPr>
          <w:trHeight w:val="300"/>
        </w:trPr>
        <w:tc>
          <w:tcPr>
            <w:tcW w:w="167" w:type="dxa"/>
            <w:shd w:val="clear" w:color="auto" w:fill="FFFFFF"/>
            <w:tcMar>
              <w:left w:w="57" w:type="dxa"/>
              <w:right w:w="57" w:type="dxa"/>
            </w:tcMar>
          </w:tcPr>
          <w:p w14:paraId="0FCF98C4" w14:textId="77777777" w:rsidR="00B77E29" w:rsidRPr="00662906" w:rsidRDefault="00B77E29"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shd w:val="clear" w:color="auto" w:fill="FFFFFF"/>
            <w:tcMar>
              <w:left w:w="57" w:type="dxa"/>
              <w:right w:w="57" w:type="dxa"/>
            </w:tcMar>
          </w:tcPr>
          <w:p w14:paraId="2A245B04"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Coordinate with International Bodies for Policy Alignment</w:t>
            </w:r>
          </w:p>
        </w:tc>
        <w:tc>
          <w:tcPr>
            <w:tcW w:w="3260" w:type="dxa"/>
            <w:tcBorders>
              <w:top w:val="single" w:sz="4" w:space="0" w:color="9F2241"/>
              <w:left w:val="nil"/>
              <w:bottom w:val="single" w:sz="4" w:space="0" w:color="9F2241"/>
              <w:right w:val="nil"/>
            </w:tcBorders>
            <w:tcMar>
              <w:left w:w="57" w:type="dxa"/>
              <w:right w:w="57" w:type="dxa"/>
            </w:tcMar>
          </w:tcPr>
          <w:p w14:paraId="4FC46AB0" w14:textId="508C8CF2" w:rsidR="00B77E29" w:rsidRPr="00662906" w:rsidRDefault="00B77E29" w:rsidP="007E6C89">
            <w:pPr>
              <w:pStyle w:val="ListParagraph"/>
              <w:numPr>
                <w:ilvl w:val="0"/>
                <w:numId w:val="183"/>
              </w:numPr>
              <w:spacing w:before="40" w:after="40"/>
              <w:ind w:left="367"/>
              <w:jc w:val="center"/>
              <w:rPr>
                <w:rFonts w:eastAsia="Arial" w:cs="Arial"/>
                <w:color w:val="394A58"/>
                <w:sz w:val="16"/>
                <w:szCs w:val="16"/>
              </w:rPr>
            </w:pPr>
            <w:r w:rsidRPr="00662906">
              <w:rPr>
                <w:rFonts w:eastAsia="Arial" w:cs="Arial"/>
                <w:color w:val="394A58"/>
                <w:sz w:val="16"/>
                <w:szCs w:val="16"/>
              </w:rPr>
              <w:t>Identify relevant global sustainability and health standards (</w:t>
            </w:r>
            <w:r w:rsidR="00E87869" w:rsidRPr="00662906">
              <w:rPr>
                <w:rFonts w:eastAsia="Arial" w:cs="Arial"/>
                <w:color w:val="394A58"/>
                <w:sz w:val="16"/>
                <w:szCs w:val="16"/>
              </w:rPr>
              <w:t>World Health Organisation (</w:t>
            </w:r>
            <w:r w:rsidRPr="00662906">
              <w:rPr>
                <w:rFonts w:eastAsia="Arial" w:cs="Arial"/>
                <w:color w:val="394A58"/>
                <w:sz w:val="16"/>
                <w:szCs w:val="16"/>
              </w:rPr>
              <w:t>WHO</w:t>
            </w:r>
            <w:r w:rsidR="00E87869" w:rsidRPr="00662906">
              <w:rPr>
                <w:rFonts w:eastAsia="Arial" w:cs="Arial"/>
                <w:color w:val="394A58"/>
                <w:sz w:val="16"/>
                <w:szCs w:val="16"/>
              </w:rPr>
              <w:t>)</w:t>
            </w:r>
            <w:r w:rsidRPr="00662906">
              <w:rPr>
                <w:rFonts w:eastAsia="Arial" w:cs="Arial"/>
                <w:color w:val="394A58"/>
                <w:sz w:val="16"/>
                <w:szCs w:val="16"/>
              </w:rPr>
              <w:t>, UNFCCC)</w:t>
            </w:r>
          </w:p>
          <w:p w14:paraId="3D3DD1A8" w14:textId="77777777" w:rsidR="00B77E29" w:rsidRPr="00662906" w:rsidRDefault="00B77E29" w:rsidP="007E6C89">
            <w:pPr>
              <w:pStyle w:val="ListParagraph"/>
              <w:numPr>
                <w:ilvl w:val="0"/>
                <w:numId w:val="183"/>
              </w:numPr>
              <w:spacing w:before="40" w:after="40"/>
              <w:ind w:left="367"/>
              <w:jc w:val="center"/>
              <w:rPr>
                <w:rFonts w:eastAsia="Arial" w:cs="Arial"/>
                <w:color w:val="394A58"/>
                <w:sz w:val="16"/>
                <w:szCs w:val="16"/>
              </w:rPr>
            </w:pPr>
            <w:r w:rsidRPr="00662906">
              <w:rPr>
                <w:rFonts w:eastAsia="Arial" w:cs="Arial"/>
                <w:color w:val="394A58"/>
                <w:sz w:val="16"/>
                <w:szCs w:val="16"/>
              </w:rPr>
              <w:t>Arrange regular policy coordination meetings with international bodies</w:t>
            </w:r>
          </w:p>
          <w:p w14:paraId="07A0ED35" w14:textId="77777777" w:rsidR="00B77E29" w:rsidRPr="00662906" w:rsidRDefault="00B77E29" w:rsidP="007E6C89">
            <w:pPr>
              <w:pStyle w:val="ListParagraph"/>
              <w:numPr>
                <w:ilvl w:val="0"/>
                <w:numId w:val="183"/>
              </w:numPr>
              <w:spacing w:before="40" w:after="40"/>
              <w:ind w:left="367"/>
              <w:jc w:val="center"/>
              <w:rPr>
                <w:rFonts w:eastAsia="Arial" w:cs="Arial"/>
                <w:color w:val="394A58"/>
                <w:sz w:val="16"/>
                <w:szCs w:val="16"/>
              </w:rPr>
            </w:pPr>
            <w:r w:rsidRPr="00662906">
              <w:rPr>
                <w:rFonts w:eastAsia="Arial" w:cs="Arial"/>
                <w:color w:val="394A58"/>
                <w:sz w:val="16"/>
                <w:szCs w:val="16"/>
              </w:rPr>
              <w:t>Adapt national regulations to ensure compliance with global commitments</w:t>
            </w:r>
          </w:p>
          <w:p w14:paraId="43B8AF32" w14:textId="77777777" w:rsidR="00B77E29" w:rsidRPr="00662906" w:rsidRDefault="00B77E29" w:rsidP="007E6C89">
            <w:pPr>
              <w:pStyle w:val="ListParagraph"/>
              <w:numPr>
                <w:ilvl w:val="0"/>
                <w:numId w:val="183"/>
              </w:numPr>
              <w:spacing w:before="40" w:after="40"/>
              <w:ind w:left="367"/>
              <w:jc w:val="center"/>
              <w:rPr>
                <w:rFonts w:eastAsia="Arial" w:cs="Arial"/>
                <w:color w:val="394A58"/>
                <w:sz w:val="16"/>
                <w:szCs w:val="16"/>
              </w:rPr>
            </w:pPr>
            <w:r w:rsidRPr="00662906">
              <w:rPr>
                <w:rFonts w:eastAsia="Arial" w:cs="Arial"/>
                <w:color w:val="394A58"/>
                <w:sz w:val="16"/>
                <w:szCs w:val="16"/>
              </w:rPr>
              <w:t>Publish alignment reports showcasing progress and gaps</w:t>
            </w:r>
          </w:p>
        </w:tc>
        <w:tc>
          <w:tcPr>
            <w:tcW w:w="1276" w:type="dxa"/>
            <w:shd w:val="clear" w:color="auto" w:fill="FFFFFF"/>
            <w:tcMar>
              <w:left w:w="57" w:type="dxa"/>
              <w:right w:w="57" w:type="dxa"/>
            </w:tcMar>
          </w:tcPr>
          <w:p w14:paraId="1F25D9B2"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0A1D54EA"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224F40EB"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International Environmental Organizations</w:t>
            </w:r>
          </w:p>
        </w:tc>
        <w:tc>
          <w:tcPr>
            <w:tcW w:w="851" w:type="dxa"/>
            <w:shd w:val="clear" w:color="auto" w:fill="FFFFFF"/>
            <w:tcMar>
              <w:left w:w="57" w:type="dxa"/>
              <w:right w:w="57" w:type="dxa"/>
            </w:tcMar>
          </w:tcPr>
          <w:p w14:paraId="557A3BC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shd w:val="clear" w:color="auto" w:fill="FFFFFF"/>
          </w:tcPr>
          <w:p w14:paraId="4D543B47"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Policy alignment memos</w:t>
            </w:r>
          </w:p>
          <w:p w14:paraId="3372E18B"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Updated national regulations</w:t>
            </w:r>
          </w:p>
          <w:p w14:paraId="594367AA"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Periodic alignment reports"</w:t>
            </w:r>
          </w:p>
        </w:tc>
        <w:tc>
          <w:tcPr>
            <w:tcW w:w="1701" w:type="dxa"/>
            <w:shd w:val="clear" w:color="auto" w:fill="FFFFFF"/>
          </w:tcPr>
          <w:p w14:paraId="09ECBA41"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Improved synergy between African clean cooking initiatives and international standards, enhancing credibility and unlocking global support and funding</w:t>
            </w:r>
          </w:p>
        </w:tc>
        <w:tc>
          <w:tcPr>
            <w:tcW w:w="1843" w:type="dxa"/>
            <w:shd w:val="clear" w:color="auto" w:fill="FFFFFF"/>
          </w:tcPr>
          <w:p w14:paraId="7E74E17B"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Memoranda of understanding signed (Yes/No)</w:t>
            </w:r>
          </w:p>
          <w:p w14:paraId="1F578A6A" w14:textId="77777777" w:rsidR="001917D5"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Regulations updated for global compliance (Yes/No)</w:t>
            </w:r>
          </w:p>
          <w:p w14:paraId="1EA02A59" w14:textId="3811D650"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Alignment reports produced (Yes/No)</w:t>
            </w:r>
          </w:p>
        </w:tc>
      </w:tr>
      <w:tr w:rsidR="00B77E29" w:rsidRPr="00662906" w14:paraId="7103C41A" w14:textId="77777777" w:rsidTr="007E6C89">
        <w:trPr>
          <w:trHeight w:val="300"/>
        </w:trPr>
        <w:tc>
          <w:tcPr>
            <w:tcW w:w="167" w:type="dxa"/>
            <w:shd w:val="clear" w:color="auto" w:fill="FFFFFF"/>
            <w:tcMar>
              <w:left w:w="57" w:type="dxa"/>
              <w:right w:w="57" w:type="dxa"/>
            </w:tcMar>
          </w:tcPr>
          <w:p w14:paraId="727AAD34" w14:textId="77777777" w:rsidR="00B77E29" w:rsidRPr="00662906" w:rsidRDefault="00B77E29" w:rsidP="007E6C89">
            <w:pPr>
              <w:spacing w:before="40" w:after="40"/>
              <w:jc w:val="center"/>
              <w:rPr>
                <w:rFonts w:eastAsia="Arial" w:cs="Arial"/>
                <w:color w:val="53575A"/>
                <w:sz w:val="16"/>
                <w:szCs w:val="16"/>
              </w:rPr>
            </w:pPr>
            <w:r w:rsidRPr="00662906">
              <w:rPr>
                <w:rFonts w:eastAsia="Arial" w:cs="Arial"/>
                <w:color w:val="53575A"/>
                <w:sz w:val="16"/>
                <w:szCs w:val="16"/>
              </w:rPr>
              <w:t>5</w:t>
            </w:r>
          </w:p>
        </w:tc>
        <w:tc>
          <w:tcPr>
            <w:tcW w:w="1248" w:type="dxa"/>
            <w:shd w:val="clear" w:color="auto" w:fill="FFFFFF"/>
            <w:tcMar>
              <w:left w:w="57" w:type="dxa"/>
              <w:right w:w="57" w:type="dxa"/>
            </w:tcMar>
          </w:tcPr>
          <w:p w14:paraId="67539C1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Facilitate Access to International Clean Cooking Funds</w:t>
            </w:r>
          </w:p>
        </w:tc>
        <w:tc>
          <w:tcPr>
            <w:tcW w:w="3260" w:type="dxa"/>
            <w:tcBorders>
              <w:top w:val="single" w:sz="4" w:space="0" w:color="9F2241"/>
              <w:left w:val="nil"/>
              <w:bottom w:val="single" w:sz="4" w:space="0" w:color="9F2241"/>
              <w:right w:val="nil"/>
            </w:tcBorders>
            <w:tcMar>
              <w:left w:w="57" w:type="dxa"/>
              <w:right w:w="57" w:type="dxa"/>
            </w:tcMar>
          </w:tcPr>
          <w:p w14:paraId="0D9777C5" w14:textId="77777777" w:rsidR="00B77E29" w:rsidRPr="00662906" w:rsidRDefault="00B77E29" w:rsidP="007E6C89">
            <w:pPr>
              <w:pStyle w:val="ListParagraph"/>
              <w:numPr>
                <w:ilvl w:val="0"/>
                <w:numId w:val="184"/>
              </w:numPr>
              <w:spacing w:before="40" w:after="40"/>
              <w:ind w:left="367"/>
              <w:jc w:val="center"/>
              <w:rPr>
                <w:rFonts w:eastAsia="Arial" w:cs="Arial"/>
                <w:color w:val="394A58"/>
                <w:sz w:val="16"/>
                <w:szCs w:val="16"/>
              </w:rPr>
            </w:pPr>
            <w:r w:rsidRPr="00662906">
              <w:rPr>
                <w:rFonts w:eastAsia="Arial" w:cs="Arial"/>
                <w:color w:val="394A58"/>
                <w:sz w:val="16"/>
                <w:szCs w:val="16"/>
              </w:rPr>
              <w:t>Develop an online repository of funding sources (green funds, climate finance, development banks)</w:t>
            </w:r>
          </w:p>
          <w:p w14:paraId="06DA8581" w14:textId="77777777" w:rsidR="00B77E29" w:rsidRPr="00662906" w:rsidRDefault="00B77E29" w:rsidP="007E6C89">
            <w:pPr>
              <w:pStyle w:val="ListParagraph"/>
              <w:numPr>
                <w:ilvl w:val="0"/>
                <w:numId w:val="184"/>
              </w:numPr>
              <w:spacing w:before="40" w:after="40"/>
              <w:ind w:left="367"/>
              <w:jc w:val="center"/>
              <w:rPr>
                <w:rFonts w:eastAsia="Arial" w:cs="Arial"/>
                <w:color w:val="394A58"/>
                <w:sz w:val="16"/>
                <w:szCs w:val="16"/>
              </w:rPr>
            </w:pPr>
            <w:r w:rsidRPr="00662906">
              <w:rPr>
                <w:rFonts w:eastAsia="Arial" w:cs="Arial"/>
                <w:color w:val="394A58"/>
                <w:sz w:val="16"/>
                <w:szCs w:val="16"/>
              </w:rPr>
              <w:t>Τrain local stakeholders (NGOs, small businesses) on proposal writing and fund application</w:t>
            </w:r>
          </w:p>
          <w:p w14:paraId="08405D8A" w14:textId="77777777" w:rsidR="00B77E29" w:rsidRPr="00662906" w:rsidRDefault="00B77E29" w:rsidP="007E6C89">
            <w:pPr>
              <w:pStyle w:val="ListParagraph"/>
              <w:numPr>
                <w:ilvl w:val="0"/>
                <w:numId w:val="184"/>
              </w:numPr>
              <w:spacing w:before="40" w:after="40"/>
              <w:ind w:left="367"/>
              <w:jc w:val="center"/>
              <w:rPr>
                <w:rFonts w:eastAsia="Arial" w:cs="Arial"/>
                <w:color w:val="394A58"/>
                <w:sz w:val="16"/>
                <w:szCs w:val="16"/>
              </w:rPr>
            </w:pPr>
            <w:r w:rsidRPr="00662906">
              <w:rPr>
                <w:rFonts w:eastAsia="Arial" w:cs="Arial"/>
                <w:color w:val="394A58"/>
                <w:sz w:val="16"/>
                <w:szCs w:val="16"/>
              </w:rPr>
              <w:t>Provide technical support during the application process</w:t>
            </w:r>
          </w:p>
          <w:p w14:paraId="28512909" w14:textId="77777777" w:rsidR="00B77E29" w:rsidRPr="00662906" w:rsidRDefault="00B77E29" w:rsidP="007E6C89">
            <w:pPr>
              <w:pStyle w:val="ListParagraph"/>
              <w:numPr>
                <w:ilvl w:val="0"/>
                <w:numId w:val="184"/>
              </w:numPr>
              <w:spacing w:before="40" w:after="40"/>
              <w:ind w:left="367"/>
              <w:jc w:val="center"/>
              <w:rPr>
                <w:rFonts w:eastAsia="Arial" w:cs="Arial"/>
                <w:color w:val="394A58"/>
                <w:sz w:val="16"/>
                <w:szCs w:val="16"/>
              </w:rPr>
            </w:pPr>
            <w:r w:rsidRPr="00662906">
              <w:rPr>
                <w:rFonts w:eastAsia="Arial" w:cs="Arial"/>
                <w:color w:val="394A58"/>
                <w:sz w:val="16"/>
                <w:szCs w:val="16"/>
              </w:rPr>
              <w:t>Τrack successful grants/loans awarded</w:t>
            </w:r>
          </w:p>
        </w:tc>
        <w:tc>
          <w:tcPr>
            <w:tcW w:w="1276" w:type="dxa"/>
            <w:shd w:val="clear" w:color="auto" w:fill="FFFFFF"/>
            <w:tcMar>
              <w:left w:w="57" w:type="dxa"/>
              <w:right w:w="57" w:type="dxa"/>
            </w:tcMar>
          </w:tcPr>
          <w:p w14:paraId="4CA0170F"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34A17DA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 Ministries of Environment</w:t>
            </w:r>
          </w:p>
        </w:tc>
        <w:tc>
          <w:tcPr>
            <w:tcW w:w="1198" w:type="dxa"/>
            <w:shd w:val="clear" w:color="auto" w:fill="FFFFFF"/>
            <w:tcMar>
              <w:left w:w="57" w:type="dxa"/>
              <w:right w:w="57" w:type="dxa"/>
            </w:tcMar>
          </w:tcPr>
          <w:p w14:paraId="325E5C64"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International Donors, Environmental NGOs</w:t>
            </w:r>
          </w:p>
        </w:tc>
        <w:tc>
          <w:tcPr>
            <w:tcW w:w="851" w:type="dxa"/>
            <w:shd w:val="clear" w:color="auto" w:fill="FFFFFF"/>
            <w:tcMar>
              <w:left w:w="57" w:type="dxa"/>
              <w:right w:w="57" w:type="dxa"/>
            </w:tcMar>
          </w:tcPr>
          <w:p w14:paraId="690B314E"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6D6F7A64"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Online funding repository</w:t>
            </w:r>
          </w:p>
          <w:p w14:paraId="68B72E3C"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 sessions and materials</w:t>
            </w:r>
          </w:p>
          <w:p w14:paraId="5675A0D1"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Funding application support documents"</w:t>
            </w:r>
          </w:p>
        </w:tc>
        <w:tc>
          <w:tcPr>
            <w:tcW w:w="1701" w:type="dxa"/>
            <w:shd w:val="clear" w:color="auto" w:fill="FFFFFF"/>
          </w:tcPr>
          <w:p w14:paraId="79A756C7"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Increased success in securing international finance for local clean cooking projects, accelerating growth and innovation in the sector</w:t>
            </w:r>
          </w:p>
        </w:tc>
        <w:tc>
          <w:tcPr>
            <w:tcW w:w="1843" w:type="dxa"/>
            <w:shd w:val="clear" w:color="auto" w:fill="FFFFFF"/>
          </w:tcPr>
          <w:p w14:paraId="3BFCAB50"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Funding repository launched (Yes/No)</w:t>
            </w:r>
          </w:p>
          <w:p w14:paraId="499D6CB0" w14:textId="77777777" w:rsidR="001917D5"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stakeholders trained</w:t>
            </w:r>
          </w:p>
          <w:p w14:paraId="0AC98BC5" w14:textId="6B4ED064"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Successful grant/loan applications (Yes/No)</w:t>
            </w:r>
          </w:p>
        </w:tc>
      </w:tr>
      <w:tr w:rsidR="00B77E29" w:rsidRPr="00662906" w14:paraId="162DE0E4" w14:textId="77777777" w:rsidTr="007E6C89">
        <w:trPr>
          <w:trHeight w:val="300"/>
        </w:trPr>
        <w:tc>
          <w:tcPr>
            <w:tcW w:w="167" w:type="dxa"/>
            <w:shd w:val="clear" w:color="auto" w:fill="FFFFFF"/>
            <w:tcMar>
              <w:left w:w="57" w:type="dxa"/>
              <w:right w:w="57" w:type="dxa"/>
            </w:tcMar>
          </w:tcPr>
          <w:p w14:paraId="38871AD9" w14:textId="77777777" w:rsidR="00B77E29" w:rsidRPr="00662906" w:rsidRDefault="00B77E29"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shd w:val="clear" w:color="auto" w:fill="FFFFFF"/>
            <w:tcMar>
              <w:left w:w="57" w:type="dxa"/>
              <w:right w:w="57" w:type="dxa"/>
            </w:tcMar>
          </w:tcPr>
          <w:p w14:paraId="321DC4FC"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Develop Impact Assessment Studies for Clean Cooking Policies</w:t>
            </w:r>
          </w:p>
        </w:tc>
        <w:tc>
          <w:tcPr>
            <w:tcW w:w="3260" w:type="dxa"/>
            <w:tcBorders>
              <w:top w:val="single" w:sz="4" w:space="0" w:color="9F2241"/>
              <w:left w:val="nil"/>
              <w:bottom w:val="single" w:sz="4" w:space="0" w:color="9F2241"/>
              <w:right w:val="nil"/>
            </w:tcBorders>
            <w:tcMar>
              <w:left w:w="57" w:type="dxa"/>
              <w:right w:w="57" w:type="dxa"/>
            </w:tcMar>
          </w:tcPr>
          <w:p w14:paraId="3B1ABC55" w14:textId="77777777" w:rsidR="00B77E29" w:rsidRPr="00662906" w:rsidRDefault="00B77E29" w:rsidP="007E6C89">
            <w:pPr>
              <w:pStyle w:val="ListParagraph"/>
              <w:numPr>
                <w:ilvl w:val="0"/>
                <w:numId w:val="185"/>
              </w:numPr>
              <w:spacing w:before="40" w:after="40"/>
              <w:ind w:left="367"/>
              <w:jc w:val="center"/>
              <w:rPr>
                <w:rFonts w:eastAsia="Arial" w:cs="Arial"/>
                <w:color w:val="394A58"/>
                <w:sz w:val="16"/>
                <w:szCs w:val="16"/>
              </w:rPr>
            </w:pPr>
            <w:r w:rsidRPr="00662906">
              <w:rPr>
                <w:rFonts w:eastAsia="Arial" w:cs="Arial"/>
                <w:color w:val="394A58"/>
                <w:sz w:val="16"/>
                <w:szCs w:val="16"/>
              </w:rPr>
              <w:t>Establish standardized metrics for environmental, social, and economic impacts</w:t>
            </w:r>
          </w:p>
          <w:p w14:paraId="0BB7D8FB" w14:textId="77777777" w:rsidR="00B77E29" w:rsidRPr="00662906" w:rsidRDefault="00B77E29" w:rsidP="007E6C89">
            <w:pPr>
              <w:pStyle w:val="ListParagraph"/>
              <w:numPr>
                <w:ilvl w:val="0"/>
                <w:numId w:val="185"/>
              </w:numPr>
              <w:spacing w:before="40" w:after="40"/>
              <w:ind w:left="367"/>
              <w:jc w:val="center"/>
              <w:rPr>
                <w:rFonts w:eastAsia="Arial" w:cs="Arial"/>
                <w:color w:val="394A58"/>
                <w:sz w:val="16"/>
                <w:szCs w:val="16"/>
              </w:rPr>
            </w:pPr>
            <w:r w:rsidRPr="00662906">
              <w:rPr>
                <w:rFonts w:eastAsia="Arial" w:cs="Arial"/>
                <w:color w:val="394A58"/>
                <w:sz w:val="16"/>
                <w:szCs w:val="16"/>
              </w:rPr>
              <w:t>Commission studies at regular intervals to evaluate policy effectiveness</w:t>
            </w:r>
          </w:p>
          <w:p w14:paraId="270BCF54" w14:textId="77777777" w:rsidR="00B77E29" w:rsidRPr="00662906" w:rsidRDefault="00B77E29" w:rsidP="007E6C89">
            <w:pPr>
              <w:pStyle w:val="ListParagraph"/>
              <w:numPr>
                <w:ilvl w:val="0"/>
                <w:numId w:val="185"/>
              </w:numPr>
              <w:spacing w:before="40" w:after="40"/>
              <w:ind w:left="367"/>
              <w:jc w:val="center"/>
              <w:rPr>
                <w:rFonts w:eastAsia="Arial" w:cs="Arial"/>
                <w:color w:val="394A58"/>
                <w:sz w:val="16"/>
                <w:szCs w:val="16"/>
              </w:rPr>
            </w:pPr>
            <w:r w:rsidRPr="00662906">
              <w:rPr>
                <w:rFonts w:eastAsia="Arial" w:cs="Arial"/>
                <w:color w:val="394A58"/>
                <w:sz w:val="16"/>
                <w:szCs w:val="16"/>
              </w:rPr>
              <w:t>Gather feedback from communities and industry stakeholders</w:t>
            </w:r>
          </w:p>
          <w:p w14:paraId="0B1DA18F" w14:textId="77777777" w:rsidR="00B77E29" w:rsidRPr="00662906" w:rsidRDefault="00B77E29" w:rsidP="007E6C89">
            <w:pPr>
              <w:pStyle w:val="ListParagraph"/>
              <w:numPr>
                <w:ilvl w:val="0"/>
                <w:numId w:val="185"/>
              </w:numPr>
              <w:spacing w:before="40" w:after="40"/>
              <w:ind w:left="367"/>
              <w:jc w:val="center"/>
              <w:rPr>
                <w:rFonts w:eastAsia="Arial" w:cs="Arial"/>
                <w:color w:val="394A58"/>
                <w:sz w:val="16"/>
                <w:szCs w:val="16"/>
              </w:rPr>
            </w:pPr>
            <w:r w:rsidRPr="00662906">
              <w:rPr>
                <w:rFonts w:eastAsia="Arial" w:cs="Arial"/>
                <w:color w:val="394A58"/>
                <w:sz w:val="16"/>
                <w:szCs w:val="16"/>
              </w:rPr>
              <w:t>Publish assessment findings and recommended policy adjustments</w:t>
            </w:r>
          </w:p>
        </w:tc>
        <w:tc>
          <w:tcPr>
            <w:tcW w:w="1276" w:type="dxa"/>
            <w:shd w:val="clear" w:color="auto" w:fill="FFFFFF"/>
            <w:tcMar>
              <w:left w:w="57" w:type="dxa"/>
              <w:right w:w="57" w:type="dxa"/>
            </w:tcMar>
          </w:tcPr>
          <w:p w14:paraId="0ACBAED6"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42FF10F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 Environmental Agencies</w:t>
            </w:r>
          </w:p>
        </w:tc>
        <w:tc>
          <w:tcPr>
            <w:tcW w:w="1198" w:type="dxa"/>
            <w:shd w:val="clear" w:color="auto" w:fill="FFFFFF"/>
            <w:tcMar>
              <w:left w:w="57" w:type="dxa"/>
              <w:right w:w="57" w:type="dxa"/>
            </w:tcMar>
          </w:tcPr>
          <w:p w14:paraId="4E39FF8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Universities, Research Institutions</w:t>
            </w:r>
          </w:p>
        </w:tc>
        <w:tc>
          <w:tcPr>
            <w:tcW w:w="851" w:type="dxa"/>
            <w:shd w:val="clear" w:color="auto" w:fill="FFFFFF"/>
            <w:tcMar>
              <w:left w:w="57" w:type="dxa"/>
              <w:right w:w="57" w:type="dxa"/>
            </w:tcMar>
          </w:tcPr>
          <w:p w14:paraId="220C182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4506BE7F"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Impact assessment protocols</w:t>
            </w:r>
          </w:p>
          <w:p w14:paraId="2EC6E86D"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Published studies with data-driven findings</w:t>
            </w:r>
          </w:p>
          <w:p w14:paraId="1FCF72B8"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Feedback sessions with stakeholders"</w:t>
            </w:r>
          </w:p>
        </w:tc>
        <w:tc>
          <w:tcPr>
            <w:tcW w:w="1701" w:type="dxa"/>
            <w:shd w:val="clear" w:color="auto" w:fill="FFFFFF"/>
          </w:tcPr>
          <w:p w14:paraId="7470BD81"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Continuous improvement of clean cooking policies, informed by evidence-based insights into environmental, health, and socioeconomic outcomes</w:t>
            </w:r>
          </w:p>
        </w:tc>
        <w:tc>
          <w:tcPr>
            <w:tcW w:w="1843" w:type="dxa"/>
            <w:shd w:val="clear" w:color="auto" w:fill="FFFFFF"/>
          </w:tcPr>
          <w:p w14:paraId="13BE8184"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Assessment studies completed (Yes/No)</w:t>
            </w:r>
          </w:p>
          <w:p w14:paraId="0E7B562F"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stakeholder feedback sessions</w:t>
            </w:r>
          </w:p>
          <w:p w14:paraId="6C125403" w14:textId="2CA60984"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Policy adjustments recommended (Yes/No)</w:t>
            </w:r>
          </w:p>
        </w:tc>
      </w:tr>
      <w:tr w:rsidR="00B77E29" w:rsidRPr="00662906" w14:paraId="3115A282" w14:textId="77777777" w:rsidTr="007E6C89">
        <w:trPr>
          <w:trHeight w:val="300"/>
        </w:trPr>
        <w:tc>
          <w:tcPr>
            <w:tcW w:w="167" w:type="dxa"/>
            <w:shd w:val="clear" w:color="auto" w:fill="FFFFFF"/>
            <w:tcMar>
              <w:left w:w="57" w:type="dxa"/>
              <w:right w:w="57" w:type="dxa"/>
            </w:tcMar>
          </w:tcPr>
          <w:p w14:paraId="79195095" w14:textId="77777777" w:rsidR="00B77E29" w:rsidRPr="00662906" w:rsidRDefault="00B77E29"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shd w:val="clear" w:color="auto" w:fill="FFFFFF"/>
            <w:tcMar>
              <w:left w:w="57" w:type="dxa"/>
              <w:right w:w="57" w:type="dxa"/>
            </w:tcMar>
          </w:tcPr>
          <w:p w14:paraId="5B35687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 xml:space="preserve">Establish Clean Cooking </w:t>
            </w:r>
            <w:r w:rsidRPr="00662906">
              <w:rPr>
                <w:rFonts w:cs="Arial"/>
                <w:sz w:val="16"/>
                <w:szCs w:val="16"/>
              </w:rPr>
              <w:lastRenderedPageBreak/>
              <w:t>Advocacy Groups</w:t>
            </w:r>
          </w:p>
        </w:tc>
        <w:tc>
          <w:tcPr>
            <w:tcW w:w="3260" w:type="dxa"/>
            <w:tcBorders>
              <w:top w:val="single" w:sz="4" w:space="0" w:color="9F2241"/>
              <w:left w:val="nil"/>
              <w:bottom w:val="single" w:sz="4" w:space="0" w:color="9F2241"/>
              <w:right w:val="nil"/>
            </w:tcBorders>
            <w:tcMar>
              <w:left w:w="57" w:type="dxa"/>
              <w:right w:w="57" w:type="dxa"/>
            </w:tcMar>
          </w:tcPr>
          <w:p w14:paraId="2AF4FB70" w14:textId="77777777" w:rsidR="00B77E29" w:rsidRPr="00662906" w:rsidRDefault="00B77E29" w:rsidP="007E6C89">
            <w:pPr>
              <w:pStyle w:val="ListParagraph"/>
              <w:numPr>
                <w:ilvl w:val="0"/>
                <w:numId w:val="186"/>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Identify civil society, community leaders, and NGOs interested in advocacy</w:t>
            </w:r>
          </w:p>
          <w:p w14:paraId="135ED49A" w14:textId="77777777" w:rsidR="00B77E29" w:rsidRPr="00662906" w:rsidRDefault="00B77E29" w:rsidP="007E6C89">
            <w:pPr>
              <w:pStyle w:val="ListParagraph"/>
              <w:numPr>
                <w:ilvl w:val="0"/>
                <w:numId w:val="186"/>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Develop common advocacy objectives and messaging strategies</w:t>
            </w:r>
          </w:p>
          <w:p w14:paraId="380ED46A" w14:textId="77777777" w:rsidR="00B77E29" w:rsidRPr="00662906" w:rsidRDefault="00B77E29" w:rsidP="007E6C89">
            <w:pPr>
              <w:pStyle w:val="ListParagraph"/>
              <w:numPr>
                <w:ilvl w:val="0"/>
                <w:numId w:val="186"/>
              </w:numPr>
              <w:spacing w:before="40" w:after="40"/>
              <w:ind w:left="367"/>
              <w:jc w:val="center"/>
              <w:rPr>
                <w:rFonts w:eastAsia="Arial" w:cs="Arial"/>
                <w:color w:val="394A58"/>
                <w:sz w:val="16"/>
                <w:szCs w:val="16"/>
              </w:rPr>
            </w:pPr>
            <w:r w:rsidRPr="00662906">
              <w:rPr>
                <w:rFonts w:eastAsia="Arial" w:cs="Arial"/>
                <w:color w:val="394A58"/>
                <w:sz w:val="16"/>
                <w:szCs w:val="16"/>
              </w:rPr>
              <w:t>Launch outreach initiatives (workshops, media campaigns) to promote clean cooking</w:t>
            </w:r>
          </w:p>
          <w:p w14:paraId="2BF7B063" w14:textId="77777777" w:rsidR="00B77E29" w:rsidRPr="00662906" w:rsidRDefault="00B77E29" w:rsidP="007E6C89">
            <w:pPr>
              <w:pStyle w:val="ListParagraph"/>
              <w:numPr>
                <w:ilvl w:val="0"/>
                <w:numId w:val="186"/>
              </w:numPr>
              <w:spacing w:before="40" w:after="40"/>
              <w:ind w:left="367"/>
              <w:jc w:val="center"/>
              <w:rPr>
                <w:rFonts w:eastAsia="Arial" w:cs="Arial"/>
                <w:color w:val="394A58"/>
                <w:sz w:val="16"/>
                <w:szCs w:val="16"/>
              </w:rPr>
            </w:pPr>
            <w:r w:rsidRPr="00662906">
              <w:rPr>
                <w:rFonts w:eastAsia="Arial" w:cs="Arial"/>
                <w:color w:val="394A58"/>
                <w:sz w:val="16"/>
                <w:szCs w:val="16"/>
              </w:rPr>
              <w:t>Coordinate with policymakers to channel public concerns and suggestions</w:t>
            </w:r>
          </w:p>
        </w:tc>
        <w:tc>
          <w:tcPr>
            <w:tcW w:w="1276" w:type="dxa"/>
            <w:shd w:val="clear" w:color="auto" w:fill="FFFFFF"/>
            <w:tcMar>
              <w:left w:w="57" w:type="dxa"/>
              <w:right w:w="57" w:type="dxa"/>
            </w:tcMar>
          </w:tcPr>
          <w:p w14:paraId="5836A38D"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lastRenderedPageBreak/>
              <w:t>Regional</w:t>
            </w:r>
          </w:p>
        </w:tc>
        <w:tc>
          <w:tcPr>
            <w:tcW w:w="1070" w:type="dxa"/>
            <w:shd w:val="clear" w:color="auto" w:fill="FFFFFF"/>
            <w:tcMar>
              <w:left w:w="57" w:type="dxa"/>
              <w:right w:w="57" w:type="dxa"/>
            </w:tcMar>
          </w:tcPr>
          <w:p w14:paraId="432D2D0B"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RECs</w:t>
            </w:r>
          </w:p>
        </w:tc>
        <w:tc>
          <w:tcPr>
            <w:tcW w:w="1198" w:type="dxa"/>
            <w:shd w:val="clear" w:color="auto" w:fill="FFFFFF"/>
            <w:tcMar>
              <w:left w:w="57" w:type="dxa"/>
              <w:right w:w="57" w:type="dxa"/>
            </w:tcMar>
          </w:tcPr>
          <w:p w14:paraId="3725CA26"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Civil Society, Community Leaders</w:t>
            </w:r>
          </w:p>
        </w:tc>
        <w:tc>
          <w:tcPr>
            <w:tcW w:w="851" w:type="dxa"/>
            <w:shd w:val="clear" w:color="auto" w:fill="FFFFFF"/>
            <w:tcMar>
              <w:left w:w="57" w:type="dxa"/>
              <w:right w:w="57" w:type="dxa"/>
            </w:tcMar>
          </w:tcPr>
          <w:p w14:paraId="3FC8F4C3"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1B62B854"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Formalized advocacy groups</w:t>
            </w:r>
          </w:p>
          <w:p w14:paraId="3546400A"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Shared advocacy roadmap</w:t>
            </w:r>
          </w:p>
          <w:p w14:paraId="63138B15"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Media and outreach materials"</w:t>
            </w:r>
          </w:p>
        </w:tc>
        <w:tc>
          <w:tcPr>
            <w:tcW w:w="1701" w:type="dxa"/>
            <w:shd w:val="clear" w:color="auto" w:fill="FFFFFF"/>
          </w:tcPr>
          <w:p w14:paraId="7FCBA175"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lastRenderedPageBreak/>
              <w:t xml:space="preserve">Greater public engagement and community-driven </w:t>
            </w:r>
            <w:r w:rsidRPr="00662906">
              <w:rPr>
                <w:rFonts w:cs="Arial"/>
                <w:sz w:val="16"/>
                <w:szCs w:val="16"/>
              </w:rPr>
              <w:lastRenderedPageBreak/>
              <w:t>demand for clean cooking solutions, pressuring governments and markets to respond with robust policies and product offerings</w:t>
            </w:r>
          </w:p>
        </w:tc>
        <w:tc>
          <w:tcPr>
            <w:tcW w:w="1843" w:type="dxa"/>
            <w:shd w:val="clear" w:color="auto" w:fill="FFFFFF"/>
          </w:tcPr>
          <w:p w14:paraId="78C7C885"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Advocacy groups established (Yes/No)</w:t>
            </w:r>
          </w:p>
          <w:p w14:paraId="23647FAB"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Media outreach campaigns initiated (Yes/No)</w:t>
            </w:r>
          </w:p>
          <w:p w14:paraId="46F49C1B" w14:textId="61828595"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Instances of policy influence by advocacy groups (Yes/No)</w:t>
            </w:r>
          </w:p>
        </w:tc>
      </w:tr>
      <w:tr w:rsidR="00B77E29" w:rsidRPr="00662906" w14:paraId="0691F38A" w14:textId="77777777" w:rsidTr="007E6C89">
        <w:trPr>
          <w:trHeight w:val="300"/>
        </w:trPr>
        <w:tc>
          <w:tcPr>
            <w:tcW w:w="167" w:type="dxa"/>
            <w:shd w:val="clear" w:color="auto" w:fill="FFFFFF"/>
            <w:tcMar>
              <w:left w:w="57" w:type="dxa"/>
              <w:right w:w="57" w:type="dxa"/>
            </w:tcMar>
          </w:tcPr>
          <w:p w14:paraId="260821E1" w14:textId="77777777" w:rsidR="00B77E29" w:rsidRPr="00662906" w:rsidRDefault="00B77E29"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8</w:t>
            </w:r>
          </w:p>
        </w:tc>
        <w:tc>
          <w:tcPr>
            <w:tcW w:w="1248" w:type="dxa"/>
            <w:shd w:val="clear" w:color="auto" w:fill="FFFFFF"/>
            <w:tcMar>
              <w:left w:w="57" w:type="dxa"/>
              <w:right w:w="57" w:type="dxa"/>
            </w:tcMar>
          </w:tcPr>
          <w:p w14:paraId="2108879C"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Strengthen Legal Frameworks for Clean Cooking Implementations</w:t>
            </w:r>
          </w:p>
        </w:tc>
        <w:tc>
          <w:tcPr>
            <w:tcW w:w="3260" w:type="dxa"/>
            <w:tcBorders>
              <w:top w:val="single" w:sz="4" w:space="0" w:color="9F2241"/>
              <w:left w:val="nil"/>
              <w:bottom w:val="single" w:sz="4" w:space="0" w:color="9F2241"/>
              <w:right w:val="nil"/>
            </w:tcBorders>
            <w:tcMar>
              <w:left w:w="57" w:type="dxa"/>
              <w:right w:w="57" w:type="dxa"/>
            </w:tcMar>
          </w:tcPr>
          <w:p w14:paraId="5F474177" w14:textId="77777777" w:rsidR="00B77E29" w:rsidRPr="00662906" w:rsidRDefault="00B77E29" w:rsidP="007E6C89">
            <w:pPr>
              <w:pStyle w:val="ListParagraph"/>
              <w:numPr>
                <w:ilvl w:val="0"/>
                <w:numId w:val="187"/>
              </w:numPr>
              <w:spacing w:before="40" w:after="40"/>
              <w:ind w:left="367"/>
              <w:jc w:val="center"/>
              <w:rPr>
                <w:rFonts w:eastAsia="Arial" w:cs="Arial"/>
                <w:color w:val="394A58"/>
                <w:sz w:val="16"/>
                <w:szCs w:val="16"/>
              </w:rPr>
            </w:pPr>
            <w:r w:rsidRPr="00662906">
              <w:rPr>
                <w:rFonts w:eastAsia="Arial" w:cs="Arial"/>
                <w:color w:val="394A58"/>
                <w:sz w:val="16"/>
                <w:szCs w:val="16"/>
              </w:rPr>
              <w:t>Review existing legal provisions and identify gaps hindering clean cooking adoption</w:t>
            </w:r>
          </w:p>
          <w:p w14:paraId="4BA74B3F" w14:textId="77777777" w:rsidR="00B77E29" w:rsidRPr="00662906" w:rsidRDefault="00B77E29" w:rsidP="007E6C89">
            <w:pPr>
              <w:pStyle w:val="ListParagraph"/>
              <w:numPr>
                <w:ilvl w:val="0"/>
                <w:numId w:val="187"/>
              </w:numPr>
              <w:spacing w:before="40" w:after="40"/>
              <w:ind w:left="367"/>
              <w:jc w:val="center"/>
              <w:rPr>
                <w:rFonts w:eastAsia="Arial" w:cs="Arial"/>
                <w:color w:val="394A58"/>
                <w:sz w:val="16"/>
                <w:szCs w:val="16"/>
              </w:rPr>
            </w:pPr>
            <w:r w:rsidRPr="00662906">
              <w:rPr>
                <w:rFonts w:eastAsia="Arial" w:cs="Arial"/>
                <w:color w:val="394A58"/>
                <w:sz w:val="16"/>
                <w:szCs w:val="16"/>
              </w:rPr>
              <w:t>Draft amendments or new laws supporting clean cooking (liability, consumer protection, product safety)</w:t>
            </w:r>
          </w:p>
          <w:p w14:paraId="6BFE81A2" w14:textId="77777777" w:rsidR="00B77E29" w:rsidRPr="00662906" w:rsidRDefault="00B77E29" w:rsidP="007E6C89">
            <w:pPr>
              <w:pStyle w:val="ListParagraph"/>
              <w:numPr>
                <w:ilvl w:val="0"/>
                <w:numId w:val="187"/>
              </w:numPr>
              <w:spacing w:before="40" w:after="40"/>
              <w:ind w:left="367"/>
              <w:jc w:val="center"/>
              <w:rPr>
                <w:rFonts w:eastAsia="Arial" w:cs="Arial"/>
                <w:color w:val="394A58"/>
                <w:sz w:val="16"/>
                <w:szCs w:val="16"/>
              </w:rPr>
            </w:pPr>
            <w:r w:rsidRPr="00662906">
              <w:rPr>
                <w:rFonts w:eastAsia="Arial" w:cs="Arial"/>
                <w:color w:val="394A58"/>
                <w:sz w:val="16"/>
                <w:szCs w:val="16"/>
              </w:rPr>
              <w:t>Mobilize legislative support through consultations with legal experts and stakeholders</w:t>
            </w:r>
          </w:p>
          <w:p w14:paraId="1DC00436" w14:textId="77777777" w:rsidR="00B77E29" w:rsidRPr="00662906" w:rsidRDefault="00B77E29" w:rsidP="007E6C89">
            <w:pPr>
              <w:pStyle w:val="ListParagraph"/>
              <w:numPr>
                <w:ilvl w:val="0"/>
                <w:numId w:val="187"/>
              </w:numPr>
              <w:spacing w:before="40" w:after="40"/>
              <w:ind w:left="367"/>
              <w:jc w:val="center"/>
              <w:rPr>
                <w:rFonts w:eastAsia="Arial" w:cs="Arial"/>
                <w:color w:val="394A58"/>
                <w:sz w:val="16"/>
                <w:szCs w:val="16"/>
              </w:rPr>
            </w:pPr>
            <w:r w:rsidRPr="00662906">
              <w:rPr>
                <w:rFonts w:eastAsia="Arial" w:cs="Arial"/>
                <w:color w:val="394A58"/>
                <w:sz w:val="16"/>
                <w:szCs w:val="16"/>
              </w:rPr>
              <w:t>Publicize enacted legislation and enforcement measures</w:t>
            </w:r>
          </w:p>
        </w:tc>
        <w:tc>
          <w:tcPr>
            <w:tcW w:w="1276" w:type="dxa"/>
            <w:shd w:val="clear" w:color="auto" w:fill="FFFFFF"/>
            <w:tcMar>
              <w:left w:w="57" w:type="dxa"/>
              <w:right w:w="57" w:type="dxa"/>
            </w:tcMar>
          </w:tcPr>
          <w:p w14:paraId="6A6E55B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National</w:t>
            </w:r>
          </w:p>
        </w:tc>
        <w:tc>
          <w:tcPr>
            <w:tcW w:w="1070" w:type="dxa"/>
            <w:shd w:val="clear" w:color="auto" w:fill="FFFFFF"/>
            <w:tcMar>
              <w:left w:w="57" w:type="dxa"/>
              <w:right w:w="57" w:type="dxa"/>
            </w:tcMar>
          </w:tcPr>
          <w:p w14:paraId="25DB6656"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Ministries of Energy, Food, Agriculture</w:t>
            </w:r>
          </w:p>
        </w:tc>
        <w:tc>
          <w:tcPr>
            <w:tcW w:w="1198" w:type="dxa"/>
            <w:shd w:val="clear" w:color="auto" w:fill="FFFFFF"/>
            <w:tcMar>
              <w:left w:w="57" w:type="dxa"/>
              <w:right w:w="57" w:type="dxa"/>
            </w:tcMar>
          </w:tcPr>
          <w:p w14:paraId="6CF1B9B2"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Local Governments, Legal Consultants</w:t>
            </w:r>
          </w:p>
        </w:tc>
        <w:tc>
          <w:tcPr>
            <w:tcW w:w="851" w:type="dxa"/>
            <w:shd w:val="clear" w:color="auto" w:fill="FFFFFF"/>
            <w:tcMar>
              <w:left w:w="57" w:type="dxa"/>
              <w:right w:w="57" w:type="dxa"/>
            </w:tcMar>
          </w:tcPr>
          <w:p w14:paraId="106DD44F"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60768ABA"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Legal gap analysis reports</w:t>
            </w:r>
          </w:p>
          <w:p w14:paraId="3EB4EBF8"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Drafted amendments/new laws</w:t>
            </w:r>
          </w:p>
          <w:p w14:paraId="3DCD603C"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Enacted legislation on clean cooking"</w:t>
            </w:r>
          </w:p>
        </w:tc>
        <w:tc>
          <w:tcPr>
            <w:tcW w:w="1701" w:type="dxa"/>
            <w:shd w:val="clear" w:color="auto" w:fill="FFFFFF"/>
          </w:tcPr>
          <w:p w14:paraId="0AF1C128" w14:textId="77777777" w:rsidR="00B77E29" w:rsidRPr="00662906" w:rsidRDefault="00B77E29" w:rsidP="007E6C89">
            <w:pPr>
              <w:spacing w:before="40" w:after="40"/>
              <w:jc w:val="center"/>
              <w:rPr>
                <w:rFonts w:eastAsia="Arial" w:cs="Arial"/>
                <w:color w:val="53575A"/>
                <w:sz w:val="16"/>
                <w:szCs w:val="16"/>
              </w:rPr>
            </w:pPr>
            <w:r w:rsidRPr="00662906">
              <w:rPr>
                <w:rFonts w:cs="Arial"/>
                <w:sz w:val="16"/>
                <w:szCs w:val="16"/>
              </w:rPr>
              <w:t>Robust legal environment that protects consumers, enforces safety standards, and holds stakeholders accountable, thereby enhancing trust in clean cooking technologies</w:t>
            </w:r>
          </w:p>
        </w:tc>
        <w:tc>
          <w:tcPr>
            <w:tcW w:w="1843" w:type="dxa"/>
            <w:shd w:val="clear" w:color="auto" w:fill="FFFFFF"/>
          </w:tcPr>
          <w:p w14:paraId="674B8363"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Gap analysis completed (Yes/No)</w:t>
            </w:r>
          </w:p>
          <w:p w14:paraId="56FC5A22"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Legislation approved (Yes/No)</w:t>
            </w:r>
          </w:p>
          <w:p w14:paraId="48BC9AF8" w14:textId="2A1ABD25"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Enforcement mechanisms operational (Yes/No)</w:t>
            </w:r>
          </w:p>
        </w:tc>
      </w:tr>
      <w:tr w:rsidR="00B77E29" w:rsidRPr="00662906" w14:paraId="6B28167D" w14:textId="77777777" w:rsidTr="007E6C89">
        <w:trPr>
          <w:trHeight w:val="300"/>
        </w:trPr>
        <w:tc>
          <w:tcPr>
            <w:tcW w:w="167" w:type="dxa"/>
            <w:shd w:val="clear" w:color="auto" w:fill="FFFFFF"/>
            <w:tcMar>
              <w:left w:w="57" w:type="dxa"/>
              <w:right w:w="57" w:type="dxa"/>
            </w:tcMar>
          </w:tcPr>
          <w:p w14:paraId="2838A7A3" w14:textId="77777777" w:rsidR="00B77E29" w:rsidRPr="00662906" w:rsidRDefault="00B77E29" w:rsidP="007E6C89">
            <w:pPr>
              <w:spacing w:before="40" w:after="40"/>
              <w:jc w:val="center"/>
              <w:rPr>
                <w:rFonts w:eastAsia="Arial" w:cs="Arial"/>
                <w:color w:val="53575A"/>
                <w:sz w:val="16"/>
                <w:szCs w:val="16"/>
              </w:rPr>
            </w:pPr>
            <w:r w:rsidRPr="00662906">
              <w:rPr>
                <w:rFonts w:eastAsia="Arial" w:cs="Arial"/>
                <w:color w:val="53575A"/>
                <w:sz w:val="16"/>
                <w:szCs w:val="16"/>
              </w:rPr>
              <w:t>9</w:t>
            </w:r>
          </w:p>
        </w:tc>
        <w:tc>
          <w:tcPr>
            <w:tcW w:w="1248" w:type="dxa"/>
            <w:shd w:val="clear" w:color="auto" w:fill="FFFFFF"/>
            <w:tcMar>
              <w:left w:w="57" w:type="dxa"/>
              <w:right w:w="57" w:type="dxa"/>
            </w:tcMar>
          </w:tcPr>
          <w:p w14:paraId="2083DC07" w14:textId="77777777" w:rsidR="00B77E29" w:rsidRPr="00662906" w:rsidRDefault="00B77E29" w:rsidP="007E6C89">
            <w:pPr>
              <w:spacing w:before="40" w:after="40"/>
              <w:jc w:val="center"/>
              <w:rPr>
                <w:rFonts w:cs="Arial"/>
                <w:sz w:val="16"/>
                <w:szCs w:val="16"/>
              </w:rPr>
            </w:pPr>
            <w:r w:rsidRPr="00662906">
              <w:rPr>
                <w:rFonts w:cs="Arial"/>
                <w:sz w:val="16"/>
                <w:szCs w:val="16"/>
              </w:rPr>
              <w:t>Foster Inter-regional Collaboration on Clean Cooking Initiatives</w:t>
            </w:r>
          </w:p>
        </w:tc>
        <w:tc>
          <w:tcPr>
            <w:tcW w:w="3260" w:type="dxa"/>
            <w:tcBorders>
              <w:top w:val="single" w:sz="4" w:space="0" w:color="9F2241"/>
              <w:left w:val="nil"/>
              <w:bottom w:val="single" w:sz="4" w:space="0" w:color="9F2241"/>
              <w:right w:val="nil"/>
            </w:tcBorders>
            <w:tcMar>
              <w:left w:w="57" w:type="dxa"/>
              <w:right w:w="57" w:type="dxa"/>
            </w:tcMar>
          </w:tcPr>
          <w:p w14:paraId="7D9CBAC7" w14:textId="77777777" w:rsidR="00B77E29" w:rsidRPr="00662906" w:rsidRDefault="00B77E29" w:rsidP="007E6C89">
            <w:pPr>
              <w:pStyle w:val="ListParagraph"/>
              <w:numPr>
                <w:ilvl w:val="0"/>
                <w:numId w:val="188"/>
              </w:numPr>
              <w:spacing w:before="40" w:after="40"/>
              <w:ind w:left="367"/>
              <w:jc w:val="center"/>
              <w:rPr>
                <w:rFonts w:eastAsia="Arial" w:cs="Arial"/>
                <w:color w:val="394A58"/>
                <w:sz w:val="16"/>
                <w:szCs w:val="16"/>
              </w:rPr>
            </w:pPr>
            <w:r w:rsidRPr="00662906">
              <w:rPr>
                <w:rFonts w:eastAsia="Arial" w:cs="Arial"/>
                <w:color w:val="394A58"/>
                <w:sz w:val="16"/>
                <w:szCs w:val="16"/>
              </w:rPr>
              <w:t>Organize inter-regional forums to exchange successful policies and technologies</w:t>
            </w:r>
          </w:p>
          <w:p w14:paraId="00B65404" w14:textId="77777777" w:rsidR="00B77E29" w:rsidRPr="00662906" w:rsidRDefault="00B77E29" w:rsidP="007E6C89">
            <w:pPr>
              <w:pStyle w:val="ListParagraph"/>
              <w:numPr>
                <w:ilvl w:val="0"/>
                <w:numId w:val="188"/>
              </w:numPr>
              <w:spacing w:before="40" w:after="40"/>
              <w:ind w:left="367"/>
              <w:jc w:val="center"/>
              <w:rPr>
                <w:rFonts w:eastAsia="Arial" w:cs="Arial"/>
                <w:color w:val="394A58"/>
                <w:sz w:val="16"/>
                <w:szCs w:val="16"/>
              </w:rPr>
            </w:pPr>
            <w:r w:rsidRPr="00662906">
              <w:rPr>
                <w:rFonts w:eastAsia="Arial" w:cs="Arial"/>
                <w:color w:val="394A58"/>
                <w:sz w:val="16"/>
                <w:szCs w:val="16"/>
              </w:rPr>
              <w:t>Develop joint action plans for cross-border projects (e.g., shared manufacturing, distribution)</w:t>
            </w:r>
          </w:p>
          <w:p w14:paraId="6DC1CA55" w14:textId="77777777" w:rsidR="00B77E29" w:rsidRPr="00662906" w:rsidRDefault="00B77E29" w:rsidP="007E6C89">
            <w:pPr>
              <w:pStyle w:val="ListParagraph"/>
              <w:numPr>
                <w:ilvl w:val="0"/>
                <w:numId w:val="188"/>
              </w:numPr>
              <w:spacing w:before="40" w:after="40"/>
              <w:ind w:left="367"/>
              <w:jc w:val="center"/>
              <w:rPr>
                <w:rFonts w:eastAsia="Arial" w:cs="Arial"/>
                <w:color w:val="394A58"/>
                <w:sz w:val="16"/>
                <w:szCs w:val="16"/>
              </w:rPr>
            </w:pPr>
            <w:r w:rsidRPr="00662906">
              <w:rPr>
                <w:rFonts w:eastAsia="Arial" w:cs="Arial"/>
                <w:color w:val="394A58"/>
                <w:sz w:val="16"/>
                <w:szCs w:val="16"/>
              </w:rPr>
              <w:t>Share resources (research, technical expertise) to accelerate adoption</w:t>
            </w:r>
          </w:p>
          <w:p w14:paraId="3E7C1784" w14:textId="77777777" w:rsidR="00B77E29" w:rsidRPr="00662906" w:rsidRDefault="00B77E29" w:rsidP="007E6C89">
            <w:pPr>
              <w:pStyle w:val="ListParagraph"/>
              <w:numPr>
                <w:ilvl w:val="0"/>
                <w:numId w:val="188"/>
              </w:numPr>
              <w:spacing w:before="40" w:after="40"/>
              <w:ind w:left="367"/>
              <w:jc w:val="center"/>
              <w:rPr>
                <w:rFonts w:eastAsia="Arial" w:cs="Arial"/>
                <w:color w:val="394A58"/>
                <w:sz w:val="16"/>
                <w:szCs w:val="16"/>
              </w:rPr>
            </w:pPr>
            <w:r w:rsidRPr="00662906">
              <w:rPr>
                <w:rFonts w:eastAsia="Arial" w:cs="Arial"/>
                <w:color w:val="394A58"/>
                <w:sz w:val="16"/>
                <w:szCs w:val="16"/>
              </w:rPr>
              <w:t>Track outcomes in participating regions</w:t>
            </w:r>
          </w:p>
        </w:tc>
        <w:tc>
          <w:tcPr>
            <w:tcW w:w="1276" w:type="dxa"/>
            <w:shd w:val="clear" w:color="auto" w:fill="FFFFFF"/>
            <w:tcMar>
              <w:left w:w="57" w:type="dxa"/>
              <w:right w:w="57" w:type="dxa"/>
            </w:tcMar>
          </w:tcPr>
          <w:p w14:paraId="399EF2E7" w14:textId="77777777" w:rsidR="00B77E29" w:rsidRPr="00662906" w:rsidRDefault="00B77E29" w:rsidP="007E6C89">
            <w:pPr>
              <w:spacing w:before="40" w:after="40"/>
              <w:jc w:val="center"/>
              <w:rPr>
                <w:rFonts w:cs="Arial"/>
                <w:sz w:val="16"/>
                <w:szCs w:val="16"/>
              </w:rPr>
            </w:pPr>
            <w:r w:rsidRPr="00662906">
              <w:rPr>
                <w:rFonts w:cs="Arial"/>
                <w:sz w:val="16"/>
                <w:szCs w:val="16"/>
              </w:rPr>
              <w:t>Continental</w:t>
            </w:r>
          </w:p>
        </w:tc>
        <w:tc>
          <w:tcPr>
            <w:tcW w:w="1070" w:type="dxa"/>
            <w:shd w:val="clear" w:color="auto" w:fill="FFFFFF"/>
            <w:tcMar>
              <w:left w:w="57" w:type="dxa"/>
              <w:right w:w="57" w:type="dxa"/>
            </w:tcMar>
          </w:tcPr>
          <w:p w14:paraId="21D95A7E" w14:textId="77777777" w:rsidR="00B77E29" w:rsidRPr="00662906" w:rsidRDefault="00B77E29" w:rsidP="007E6C89">
            <w:pPr>
              <w:spacing w:before="40" w:after="40"/>
              <w:jc w:val="center"/>
              <w:rPr>
                <w:rFonts w:cs="Arial"/>
                <w:sz w:val="16"/>
                <w:szCs w:val="16"/>
              </w:rPr>
            </w:pPr>
            <w:r w:rsidRPr="00662906">
              <w:rPr>
                <w:rFonts w:cs="Arial"/>
                <w:sz w:val="16"/>
                <w:szCs w:val="16"/>
              </w:rPr>
              <w:t>AFREC</w:t>
            </w:r>
          </w:p>
        </w:tc>
        <w:tc>
          <w:tcPr>
            <w:tcW w:w="1198" w:type="dxa"/>
            <w:shd w:val="clear" w:color="auto" w:fill="FFFFFF"/>
            <w:tcMar>
              <w:left w:w="57" w:type="dxa"/>
              <w:right w:w="57" w:type="dxa"/>
            </w:tcMar>
          </w:tcPr>
          <w:p w14:paraId="2A714DB2" w14:textId="77777777" w:rsidR="00B77E29" w:rsidRPr="00662906" w:rsidRDefault="00B77E29" w:rsidP="007E6C89">
            <w:pPr>
              <w:spacing w:before="40" w:after="40"/>
              <w:jc w:val="center"/>
              <w:rPr>
                <w:rFonts w:cs="Arial"/>
                <w:sz w:val="16"/>
                <w:szCs w:val="16"/>
              </w:rPr>
            </w:pPr>
            <w:r w:rsidRPr="00662906">
              <w:rPr>
                <w:rFonts w:cs="Arial"/>
                <w:sz w:val="16"/>
                <w:szCs w:val="16"/>
              </w:rPr>
              <w:t>Intercontinental RECs, Foreign Governments</w:t>
            </w:r>
          </w:p>
        </w:tc>
        <w:tc>
          <w:tcPr>
            <w:tcW w:w="851" w:type="dxa"/>
            <w:shd w:val="clear" w:color="auto" w:fill="FFFFFF"/>
            <w:tcMar>
              <w:left w:w="57" w:type="dxa"/>
              <w:right w:w="57" w:type="dxa"/>
            </w:tcMar>
          </w:tcPr>
          <w:p w14:paraId="57BE68CC" w14:textId="77777777" w:rsidR="00B77E29" w:rsidRPr="00662906" w:rsidRDefault="00B77E29" w:rsidP="007E6C89">
            <w:pPr>
              <w:spacing w:before="40" w:after="40"/>
              <w:jc w:val="center"/>
              <w:rPr>
                <w:rFonts w:cs="Arial"/>
                <w:sz w:val="16"/>
                <w:szCs w:val="16"/>
              </w:rPr>
            </w:pPr>
            <w:r w:rsidRPr="00662906">
              <w:rPr>
                <w:rFonts w:cs="Arial"/>
                <w:sz w:val="16"/>
                <w:szCs w:val="16"/>
              </w:rPr>
              <w:t>Medium Term</w:t>
            </w:r>
          </w:p>
        </w:tc>
        <w:tc>
          <w:tcPr>
            <w:tcW w:w="1842" w:type="dxa"/>
            <w:shd w:val="clear" w:color="auto" w:fill="FFFFFF"/>
          </w:tcPr>
          <w:p w14:paraId="3EC750B9"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Inter-regional collaboration forums</w:t>
            </w:r>
          </w:p>
          <w:p w14:paraId="7F709149"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Joint action plans and resource-sharing protocols</w:t>
            </w:r>
          </w:p>
          <w:p w14:paraId="1C8293AF" w14:textId="77777777" w:rsidR="00B77E29" w:rsidRPr="00662906" w:rsidRDefault="00B77E29"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Monitoring reports on cross-border clean cooking projects"</w:t>
            </w:r>
          </w:p>
        </w:tc>
        <w:tc>
          <w:tcPr>
            <w:tcW w:w="1701" w:type="dxa"/>
            <w:shd w:val="clear" w:color="auto" w:fill="FFFFFF"/>
          </w:tcPr>
          <w:p w14:paraId="58686548" w14:textId="77777777" w:rsidR="00B77E29" w:rsidRPr="00662906" w:rsidRDefault="00B77E29" w:rsidP="007E6C89">
            <w:pPr>
              <w:spacing w:before="40" w:after="40"/>
              <w:jc w:val="center"/>
              <w:rPr>
                <w:rFonts w:cs="Arial"/>
                <w:sz w:val="16"/>
                <w:szCs w:val="16"/>
              </w:rPr>
            </w:pPr>
            <w:r w:rsidRPr="00662906">
              <w:rPr>
                <w:rFonts w:cs="Arial"/>
                <w:sz w:val="16"/>
                <w:szCs w:val="16"/>
              </w:rPr>
              <w:t>Expanded scale and efficiency of clean cooking initiatives through cooperative efforts and shared innovations, leading to more cohesive continental progress</w:t>
            </w:r>
          </w:p>
        </w:tc>
        <w:tc>
          <w:tcPr>
            <w:tcW w:w="1843" w:type="dxa"/>
            <w:shd w:val="clear" w:color="auto" w:fill="FFFFFF"/>
          </w:tcPr>
          <w:p w14:paraId="5ED6F268"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inter-regional forums held</w:t>
            </w:r>
          </w:p>
          <w:p w14:paraId="771E61EF" w14:textId="77777777"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Joint action plans published (Yes/No)</w:t>
            </w:r>
          </w:p>
          <w:p w14:paraId="4FC246EF" w14:textId="63A00C14" w:rsidR="00B77E29" w:rsidRPr="00662906" w:rsidRDefault="00B77E29"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Cross-border project outcomes monitored (Yes/No)</w:t>
            </w:r>
          </w:p>
        </w:tc>
      </w:tr>
    </w:tbl>
    <w:p w14:paraId="7BF3A72D" w14:textId="77777777" w:rsidR="0083216A" w:rsidRPr="00662906" w:rsidRDefault="0083216A" w:rsidP="0083216A">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17AFC0F" w14:textId="77777777" w:rsidR="00EA52FB" w:rsidRPr="00662906" w:rsidRDefault="00EA52FB" w:rsidP="00BC0340">
      <w:pPr>
        <w:pStyle w:val="Caption"/>
      </w:pPr>
    </w:p>
    <w:p w14:paraId="5598688E" w14:textId="77777777" w:rsidR="00EA52FB" w:rsidRPr="00662906" w:rsidRDefault="00EA52FB" w:rsidP="00BC0340">
      <w:pPr>
        <w:pStyle w:val="Caption"/>
      </w:pPr>
    </w:p>
    <w:p w14:paraId="58C39033" w14:textId="77777777" w:rsidR="00EA52FB" w:rsidRPr="00662906" w:rsidRDefault="00EA52FB" w:rsidP="00BC0340">
      <w:pPr>
        <w:pStyle w:val="Caption"/>
      </w:pPr>
    </w:p>
    <w:p w14:paraId="02EE11DB" w14:textId="77777777" w:rsidR="00EA52FB" w:rsidRPr="00662906" w:rsidRDefault="00EA52FB" w:rsidP="00BC0340">
      <w:pPr>
        <w:pStyle w:val="Caption"/>
      </w:pPr>
    </w:p>
    <w:p w14:paraId="48F0037F" w14:textId="77777777" w:rsidR="00EA52FB" w:rsidRPr="00662906" w:rsidRDefault="00EA52FB" w:rsidP="00BC0340">
      <w:pPr>
        <w:pStyle w:val="Caption"/>
      </w:pPr>
    </w:p>
    <w:p w14:paraId="7EA5E5FB" w14:textId="77777777" w:rsidR="00EA52FB" w:rsidRPr="00662906" w:rsidRDefault="00EA52FB" w:rsidP="00BC0340">
      <w:pPr>
        <w:pStyle w:val="Caption"/>
      </w:pPr>
    </w:p>
    <w:p w14:paraId="3551853E" w14:textId="77777777" w:rsidR="00EA52FB" w:rsidRPr="00662906" w:rsidRDefault="00EA52FB" w:rsidP="00BC0340">
      <w:pPr>
        <w:pStyle w:val="Caption"/>
      </w:pPr>
    </w:p>
    <w:p w14:paraId="6AD314F6" w14:textId="0EA06180" w:rsidR="00DC6232" w:rsidRPr="00662906" w:rsidRDefault="07A1CB6B" w:rsidP="00BC0340">
      <w:pPr>
        <w:pStyle w:val="Caption"/>
      </w:pPr>
      <w:bookmarkStart w:id="707" w:name="_Toc197433923"/>
      <w:r w:rsidRPr="00662906">
        <w:lastRenderedPageBreak/>
        <w:t xml:space="preserve">Table </w:t>
      </w:r>
      <w:fldSimple w:instr=" SEQ Table \* ARABIC ">
        <w:r w:rsidR="00610F61">
          <w:rPr>
            <w:noProof/>
          </w:rPr>
          <w:t>35</w:t>
        </w:r>
      </w:fldSimple>
      <w:r w:rsidR="5213F8B1" w:rsidRPr="00662906">
        <w:t>: Strategic Intervention: 4. Public Awareness Campaigns and Education</w:t>
      </w:r>
      <w:bookmarkEnd w:id="704"/>
      <w:bookmarkEnd w:id="705"/>
      <w:bookmarkEnd w:id="707"/>
    </w:p>
    <w:tbl>
      <w:tblPr>
        <w:tblStyle w:val="TableGrid"/>
        <w:tblpPr w:leftFromText="180" w:rightFromText="180" w:vertAnchor="text" w:tblpY="1"/>
        <w:tblOverlap w:val="never"/>
        <w:tblW w:w="14456" w:type="dxa"/>
        <w:tblBorders>
          <w:top w:val="single" w:sz="2" w:space="0" w:color="9F2241"/>
          <w:left w:val="single" w:sz="2" w:space="0" w:color="9F2241"/>
          <w:bottom w:val="single" w:sz="2" w:space="0" w:color="9F2241"/>
          <w:right w:val="single" w:sz="2" w:space="0" w:color="9F2241"/>
          <w:insideH w:val="single" w:sz="2" w:space="0" w:color="9F2241"/>
          <w:insideV w:val="single" w:sz="2" w:space="0" w:color="9F2241"/>
        </w:tblBorders>
        <w:tblLayout w:type="fixed"/>
        <w:tblLook w:val="06A0" w:firstRow="1" w:lastRow="0" w:firstColumn="1" w:lastColumn="0" w:noHBand="1" w:noVBand="1"/>
      </w:tblPr>
      <w:tblGrid>
        <w:gridCol w:w="167"/>
        <w:gridCol w:w="1248"/>
        <w:gridCol w:w="3260"/>
        <w:gridCol w:w="1276"/>
        <w:gridCol w:w="1070"/>
        <w:gridCol w:w="1198"/>
        <w:gridCol w:w="851"/>
        <w:gridCol w:w="1842"/>
        <w:gridCol w:w="1701"/>
        <w:gridCol w:w="1843"/>
      </w:tblGrid>
      <w:tr w:rsidR="00AF3B2C" w:rsidRPr="00662906" w14:paraId="48976E5E" w14:textId="77777777" w:rsidTr="007E6C89">
        <w:trPr>
          <w:trHeight w:val="360"/>
        </w:trPr>
        <w:tc>
          <w:tcPr>
            <w:tcW w:w="14456" w:type="dxa"/>
            <w:gridSpan w:val="10"/>
            <w:shd w:val="clear" w:color="auto" w:fill="B4A269"/>
            <w:vAlign w:val="center"/>
          </w:tcPr>
          <w:p w14:paraId="1C8F82BE" w14:textId="67AB81CF"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 xml:space="preserve">Pathway to Change: </w:t>
            </w:r>
            <w:r w:rsidRPr="00662906">
              <w:rPr>
                <w:rFonts w:eastAsia="Arial" w:cs="Arial"/>
                <w:color w:val="FFFFFF" w:themeColor="background2"/>
                <w:sz w:val="16"/>
                <w:szCs w:val="16"/>
              </w:rPr>
              <w:t>Lack of awareness and entrenched misconceptions about advanced clean cooking technologies hinder their acceptance and adoption. This intervention leverages targeted public awareness campaigns and educational programs to highlight the health, environmental, and economic benefits of clean cooking solutions. By changing perceptions and cooking habits, this pathway fosters widespread behavioural shifts, encouraging communities to transition to cleaner and more efficient cooking methods, ultimately improving public health and environmental sustainability.</w:t>
            </w:r>
          </w:p>
        </w:tc>
      </w:tr>
      <w:tr w:rsidR="00AF3B2C" w:rsidRPr="00662906" w14:paraId="5F36B0D3" w14:textId="77777777" w:rsidTr="007E6C89">
        <w:trPr>
          <w:trHeight w:val="699"/>
        </w:trPr>
        <w:tc>
          <w:tcPr>
            <w:tcW w:w="1415" w:type="dxa"/>
            <w:gridSpan w:val="2"/>
            <w:shd w:val="clear" w:color="auto" w:fill="B4A269"/>
            <w:tcMar>
              <w:left w:w="57" w:type="dxa"/>
              <w:right w:w="57" w:type="dxa"/>
            </w:tcMar>
            <w:vAlign w:val="center"/>
          </w:tcPr>
          <w:p w14:paraId="7471E097"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Actions</w:t>
            </w:r>
          </w:p>
        </w:tc>
        <w:tc>
          <w:tcPr>
            <w:tcW w:w="3260" w:type="dxa"/>
            <w:shd w:val="clear" w:color="auto" w:fill="B4A269"/>
            <w:tcMar>
              <w:left w:w="57" w:type="dxa"/>
              <w:right w:w="57" w:type="dxa"/>
            </w:tcMar>
            <w:vAlign w:val="center"/>
          </w:tcPr>
          <w:p w14:paraId="4FC1F5E5" w14:textId="77777777" w:rsidR="00AF3B2C" w:rsidRPr="00662906" w:rsidRDefault="00AF3B2C" w:rsidP="007E6C89">
            <w:pPr>
              <w:ind w:left="-57" w:right="-57"/>
              <w:jc w:val="center"/>
              <w:rPr>
                <w:rFonts w:eastAsia="Arial" w:cs="Arial"/>
                <w:b/>
                <w:color w:val="FFFFFF"/>
                <w:sz w:val="16"/>
                <w:szCs w:val="16"/>
              </w:rPr>
            </w:pPr>
            <w:r w:rsidRPr="00662906">
              <w:rPr>
                <w:rFonts w:eastAsia="Arial" w:cs="Arial"/>
                <w:b/>
                <w:color w:val="FFFFFF"/>
                <w:sz w:val="16"/>
                <w:szCs w:val="16"/>
              </w:rPr>
              <w:t>Activities</w:t>
            </w:r>
          </w:p>
        </w:tc>
        <w:tc>
          <w:tcPr>
            <w:tcW w:w="1276" w:type="dxa"/>
            <w:shd w:val="clear" w:color="auto" w:fill="B4A269"/>
            <w:tcMar>
              <w:left w:w="57" w:type="dxa"/>
              <w:right w:w="57" w:type="dxa"/>
            </w:tcMar>
            <w:vAlign w:val="center"/>
          </w:tcPr>
          <w:p w14:paraId="5F03218A"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Level of implementation Continental, Regional and National</w:t>
            </w:r>
          </w:p>
        </w:tc>
        <w:tc>
          <w:tcPr>
            <w:tcW w:w="1070" w:type="dxa"/>
            <w:shd w:val="clear" w:color="auto" w:fill="B4A269"/>
            <w:tcMar>
              <w:left w:w="57" w:type="dxa"/>
              <w:right w:w="57" w:type="dxa"/>
            </w:tcMar>
            <w:vAlign w:val="center"/>
          </w:tcPr>
          <w:p w14:paraId="162A92B0"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Leading Implementing Agency</w:t>
            </w:r>
          </w:p>
        </w:tc>
        <w:tc>
          <w:tcPr>
            <w:tcW w:w="1198" w:type="dxa"/>
            <w:shd w:val="clear" w:color="auto" w:fill="B4A269"/>
            <w:tcMar>
              <w:left w:w="57" w:type="dxa"/>
              <w:right w:w="57" w:type="dxa"/>
            </w:tcMar>
            <w:vAlign w:val="center"/>
          </w:tcPr>
          <w:p w14:paraId="7A4A1E76"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Collaborating Institutions</w:t>
            </w:r>
          </w:p>
        </w:tc>
        <w:tc>
          <w:tcPr>
            <w:tcW w:w="851" w:type="dxa"/>
            <w:shd w:val="clear" w:color="auto" w:fill="B4A269"/>
            <w:tcMar>
              <w:left w:w="57" w:type="dxa"/>
              <w:right w:w="57" w:type="dxa"/>
            </w:tcMar>
            <w:vAlign w:val="center"/>
          </w:tcPr>
          <w:p w14:paraId="087F7B5F"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Timeframe</w:t>
            </w:r>
          </w:p>
        </w:tc>
        <w:tc>
          <w:tcPr>
            <w:tcW w:w="1842" w:type="dxa"/>
            <w:shd w:val="clear" w:color="auto" w:fill="B4A269"/>
            <w:vAlign w:val="center"/>
          </w:tcPr>
          <w:p w14:paraId="1DACB192"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Outputs</w:t>
            </w:r>
          </w:p>
        </w:tc>
        <w:tc>
          <w:tcPr>
            <w:tcW w:w="1701" w:type="dxa"/>
            <w:shd w:val="clear" w:color="auto" w:fill="B4A269"/>
            <w:vAlign w:val="center"/>
          </w:tcPr>
          <w:p w14:paraId="05250183"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Expected Outcomes</w:t>
            </w:r>
          </w:p>
        </w:tc>
        <w:tc>
          <w:tcPr>
            <w:tcW w:w="1843" w:type="dxa"/>
            <w:shd w:val="clear" w:color="auto" w:fill="B4A269"/>
            <w:vAlign w:val="center"/>
          </w:tcPr>
          <w:p w14:paraId="77B7BF66" w14:textId="77777777" w:rsidR="00AF3B2C" w:rsidRPr="00662906" w:rsidRDefault="00AF3B2C" w:rsidP="007E6C89">
            <w:pPr>
              <w:spacing w:before="60" w:after="60"/>
              <w:ind w:left="-57" w:right="-57"/>
              <w:jc w:val="center"/>
              <w:rPr>
                <w:rFonts w:eastAsia="Arial" w:cs="Arial"/>
                <w:b/>
                <w:color w:val="FFFFFF"/>
                <w:sz w:val="16"/>
                <w:szCs w:val="16"/>
              </w:rPr>
            </w:pPr>
            <w:r w:rsidRPr="00662906">
              <w:rPr>
                <w:rFonts w:eastAsia="Arial" w:cs="Arial"/>
                <w:b/>
                <w:color w:val="FFFFFF"/>
                <w:sz w:val="16"/>
                <w:szCs w:val="16"/>
              </w:rPr>
              <w:t>KPIs</w:t>
            </w:r>
          </w:p>
        </w:tc>
      </w:tr>
      <w:tr w:rsidR="001917D5" w:rsidRPr="00662906" w14:paraId="0959D01A" w14:textId="77777777" w:rsidTr="007E6C89">
        <w:trPr>
          <w:trHeight w:val="1413"/>
        </w:trPr>
        <w:tc>
          <w:tcPr>
            <w:tcW w:w="167" w:type="dxa"/>
            <w:shd w:val="clear" w:color="auto" w:fill="FFFFFF"/>
            <w:tcMar>
              <w:left w:w="57" w:type="dxa"/>
              <w:right w:w="57" w:type="dxa"/>
            </w:tcMar>
          </w:tcPr>
          <w:p w14:paraId="502A89C2" w14:textId="77777777" w:rsidR="001917D5" w:rsidRPr="00662906" w:rsidRDefault="001917D5" w:rsidP="007E6C89">
            <w:pPr>
              <w:spacing w:before="40" w:after="40"/>
              <w:jc w:val="center"/>
              <w:rPr>
                <w:rFonts w:cs="Arial"/>
                <w:color w:val="53575A"/>
                <w:sz w:val="16"/>
                <w:szCs w:val="16"/>
              </w:rPr>
            </w:pPr>
            <w:r w:rsidRPr="00662906">
              <w:rPr>
                <w:rFonts w:eastAsia="Arial" w:cs="Arial"/>
                <w:color w:val="53575A"/>
                <w:sz w:val="16"/>
                <w:szCs w:val="16"/>
              </w:rPr>
              <w:t>1</w:t>
            </w:r>
          </w:p>
        </w:tc>
        <w:tc>
          <w:tcPr>
            <w:tcW w:w="1248" w:type="dxa"/>
            <w:shd w:val="clear" w:color="auto" w:fill="FFFFFF"/>
            <w:tcMar>
              <w:left w:w="57" w:type="dxa"/>
              <w:right w:w="57" w:type="dxa"/>
            </w:tcMar>
          </w:tcPr>
          <w:p w14:paraId="0AF3C207" w14:textId="0F2C7D13"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Launch Continental Clean Cooking Awareness Campaign</w:t>
            </w:r>
          </w:p>
        </w:tc>
        <w:tc>
          <w:tcPr>
            <w:tcW w:w="3260" w:type="dxa"/>
            <w:tcBorders>
              <w:bottom w:val="single" w:sz="2" w:space="0" w:color="9F2241"/>
            </w:tcBorders>
            <w:shd w:val="clear" w:color="auto" w:fill="FFFFFF"/>
            <w:tcMar>
              <w:left w:w="57" w:type="dxa"/>
              <w:right w:w="57" w:type="dxa"/>
            </w:tcMar>
          </w:tcPr>
          <w:p w14:paraId="14F17AA1" w14:textId="74F2469F" w:rsidR="001917D5" w:rsidRPr="00662906" w:rsidRDefault="001917D5" w:rsidP="007E6C89">
            <w:pPr>
              <w:pStyle w:val="ListParagraph"/>
              <w:numPr>
                <w:ilvl w:val="0"/>
                <w:numId w:val="189"/>
              </w:numPr>
              <w:spacing w:before="0" w:after="0"/>
              <w:ind w:left="367"/>
              <w:jc w:val="center"/>
              <w:rPr>
                <w:rFonts w:cs="Arial"/>
                <w:sz w:val="16"/>
                <w:szCs w:val="16"/>
              </w:rPr>
            </w:pPr>
            <w:r w:rsidRPr="00662906">
              <w:rPr>
                <w:rFonts w:cs="Arial"/>
                <w:sz w:val="16"/>
                <w:szCs w:val="16"/>
              </w:rPr>
              <w:t>Develop campaign messages (radio, TV, social media) highlighting health and environmental benefits</w:t>
            </w:r>
          </w:p>
          <w:p w14:paraId="0EFA2DAF" w14:textId="25F55146" w:rsidR="001917D5" w:rsidRPr="00662906" w:rsidRDefault="001917D5" w:rsidP="007E6C89">
            <w:pPr>
              <w:pStyle w:val="ListParagraph"/>
              <w:numPr>
                <w:ilvl w:val="0"/>
                <w:numId w:val="189"/>
              </w:numPr>
              <w:spacing w:before="0" w:after="0"/>
              <w:ind w:left="367"/>
              <w:jc w:val="center"/>
              <w:rPr>
                <w:rFonts w:cs="Arial"/>
                <w:sz w:val="16"/>
                <w:szCs w:val="16"/>
              </w:rPr>
            </w:pPr>
            <w:r w:rsidRPr="00662906">
              <w:rPr>
                <w:rFonts w:cs="Arial"/>
                <w:sz w:val="16"/>
                <w:szCs w:val="16"/>
              </w:rPr>
              <w:t>Partner with major media outlets and NGOs to ensure broad coverage</w:t>
            </w:r>
          </w:p>
          <w:p w14:paraId="2EB75915" w14:textId="0488455A" w:rsidR="001917D5" w:rsidRPr="00662906" w:rsidRDefault="001917D5" w:rsidP="007E6C89">
            <w:pPr>
              <w:pStyle w:val="ListParagraph"/>
              <w:numPr>
                <w:ilvl w:val="0"/>
                <w:numId w:val="189"/>
              </w:numPr>
              <w:spacing w:before="0" w:after="0"/>
              <w:ind w:left="367"/>
              <w:jc w:val="center"/>
              <w:rPr>
                <w:rFonts w:cs="Arial"/>
                <w:sz w:val="16"/>
                <w:szCs w:val="16"/>
              </w:rPr>
            </w:pPr>
            <w:r w:rsidRPr="00662906">
              <w:rPr>
                <w:rFonts w:cs="Arial"/>
                <w:sz w:val="16"/>
                <w:szCs w:val="16"/>
              </w:rPr>
              <w:t>Conduct baseline and follow-up surveys on public awareness levels</w:t>
            </w:r>
          </w:p>
          <w:p w14:paraId="4E5B441D" w14:textId="05F5D4B1" w:rsidR="001917D5" w:rsidRPr="00662906" w:rsidRDefault="001917D5" w:rsidP="007E6C89">
            <w:pPr>
              <w:pStyle w:val="ListParagraph"/>
              <w:numPr>
                <w:ilvl w:val="0"/>
                <w:numId w:val="189"/>
              </w:numPr>
              <w:spacing w:before="0" w:after="0"/>
              <w:ind w:left="367"/>
              <w:jc w:val="center"/>
              <w:rPr>
                <w:rFonts w:cs="Arial"/>
                <w:sz w:val="16"/>
                <w:szCs w:val="16"/>
              </w:rPr>
            </w:pPr>
            <w:r w:rsidRPr="00662906">
              <w:rPr>
                <w:rFonts w:cs="Arial"/>
                <w:sz w:val="16"/>
                <w:szCs w:val="16"/>
              </w:rPr>
              <w:t>Collect feedback to refine messaging over time</w:t>
            </w:r>
          </w:p>
        </w:tc>
        <w:tc>
          <w:tcPr>
            <w:tcW w:w="1276" w:type="dxa"/>
            <w:shd w:val="clear" w:color="auto" w:fill="FFFFFF"/>
            <w:tcMar>
              <w:left w:w="57" w:type="dxa"/>
              <w:right w:w="57" w:type="dxa"/>
            </w:tcMar>
          </w:tcPr>
          <w:p w14:paraId="1E50E122" w14:textId="6DBED669"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Continental</w:t>
            </w:r>
          </w:p>
        </w:tc>
        <w:tc>
          <w:tcPr>
            <w:tcW w:w="1070" w:type="dxa"/>
            <w:shd w:val="clear" w:color="auto" w:fill="FFFFFF"/>
            <w:tcMar>
              <w:left w:w="57" w:type="dxa"/>
              <w:right w:w="57" w:type="dxa"/>
            </w:tcMar>
          </w:tcPr>
          <w:p w14:paraId="1FD98B9A" w14:textId="4D347B8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AFREC</w:t>
            </w:r>
          </w:p>
        </w:tc>
        <w:tc>
          <w:tcPr>
            <w:tcW w:w="1198" w:type="dxa"/>
            <w:shd w:val="clear" w:color="auto" w:fill="FFFFFF"/>
            <w:tcMar>
              <w:left w:w="57" w:type="dxa"/>
              <w:right w:w="57" w:type="dxa"/>
            </w:tcMar>
          </w:tcPr>
          <w:p w14:paraId="77CD59E6" w14:textId="71747802"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Media Networks, NGOs</w:t>
            </w:r>
          </w:p>
        </w:tc>
        <w:tc>
          <w:tcPr>
            <w:tcW w:w="851" w:type="dxa"/>
            <w:shd w:val="clear" w:color="auto" w:fill="FFFFFF"/>
            <w:tcMar>
              <w:left w:w="57" w:type="dxa"/>
              <w:right w:w="57" w:type="dxa"/>
            </w:tcMar>
          </w:tcPr>
          <w:p w14:paraId="1BFECD49" w14:textId="1C2CCFE0"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6BA770CE" w14:textId="4DD9A28B"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Multi-platform campaign materials</w:t>
            </w:r>
          </w:p>
          <w:p w14:paraId="119F8E71" w14:textId="313D8A5C"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Media partnership agreements</w:t>
            </w:r>
          </w:p>
          <w:p w14:paraId="41A7D097" w14:textId="44C609DF"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Pre- and post-campaign awareness survey data</w:t>
            </w:r>
          </w:p>
        </w:tc>
        <w:tc>
          <w:tcPr>
            <w:tcW w:w="1701" w:type="dxa"/>
            <w:shd w:val="clear" w:color="auto" w:fill="FFFFFF"/>
          </w:tcPr>
          <w:p w14:paraId="5DFA0B12" w14:textId="43221D56"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 xml:space="preserve">Increased public awareness and understanding of clean cooking benefits, </w:t>
            </w:r>
            <w:r w:rsidR="00AE7D1F" w:rsidRPr="00662906">
              <w:rPr>
                <w:rFonts w:cs="Arial"/>
                <w:sz w:val="16"/>
                <w:szCs w:val="16"/>
              </w:rPr>
              <w:t>catalysing</w:t>
            </w:r>
            <w:r w:rsidRPr="00662906">
              <w:rPr>
                <w:rFonts w:cs="Arial"/>
                <w:sz w:val="16"/>
                <w:szCs w:val="16"/>
              </w:rPr>
              <w:t xml:space="preserve"> larger-scale </w:t>
            </w:r>
            <w:r w:rsidR="00AE7D1F" w:rsidRPr="00662906">
              <w:rPr>
                <w:rFonts w:cs="Arial"/>
                <w:sz w:val="16"/>
                <w:szCs w:val="16"/>
              </w:rPr>
              <w:t>behaviour</w:t>
            </w:r>
            <w:r w:rsidRPr="00662906">
              <w:rPr>
                <w:rFonts w:cs="Arial"/>
                <w:sz w:val="16"/>
                <w:szCs w:val="16"/>
              </w:rPr>
              <w:t xml:space="preserve"> change in households</w:t>
            </w:r>
          </w:p>
        </w:tc>
        <w:tc>
          <w:tcPr>
            <w:tcW w:w="1843" w:type="dxa"/>
            <w:shd w:val="clear" w:color="auto" w:fill="FFFFFF"/>
          </w:tcPr>
          <w:p w14:paraId="1E8AC5BD"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Campaign materials produced (Yes/No)</w:t>
            </w:r>
          </w:p>
          <w:p w14:paraId="786EA613"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Media partnerships established (Yes/No)</w:t>
            </w:r>
          </w:p>
          <w:p w14:paraId="25B35B5D" w14:textId="49F28895"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Positive shift in survey results (Yes/No)</w:t>
            </w:r>
          </w:p>
        </w:tc>
      </w:tr>
      <w:tr w:rsidR="001917D5" w:rsidRPr="00662906" w14:paraId="354A44E2" w14:textId="77777777" w:rsidTr="007E6C89">
        <w:trPr>
          <w:trHeight w:val="300"/>
        </w:trPr>
        <w:tc>
          <w:tcPr>
            <w:tcW w:w="167" w:type="dxa"/>
            <w:shd w:val="clear" w:color="auto" w:fill="FFFFFF"/>
            <w:tcMar>
              <w:left w:w="57" w:type="dxa"/>
              <w:right w:w="57" w:type="dxa"/>
            </w:tcMar>
          </w:tcPr>
          <w:p w14:paraId="54CE99C8" w14:textId="77777777" w:rsidR="001917D5" w:rsidRPr="00662906" w:rsidRDefault="001917D5" w:rsidP="007E6C89">
            <w:pPr>
              <w:spacing w:before="40" w:after="40"/>
              <w:jc w:val="center"/>
              <w:rPr>
                <w:rFonts w:cs="Arial"/>
                <w:color w:val="53575A"/>
                <w:sz w:val="16"/>
                <w:szCs w:val="16"/>
              </w:rPr>
            </w:pPr>
            <w:r w:rsidRPr="00662906">
              <w:rPr>
                <w:rFonts w:eastAsia="Arial" w:cs="Arial"/>
                <w:color w:val="53575A"/>
                <w:sz w:val="16"/>
                <w:szCs w:val="16"/>
              </w:rPr>
              <w:t>2</w:t>
            </w:r>
          </w:p>
        </w:tc>
        <w:tc>
          <w:tcPr>
            <w:tcW w:w="1248" w:type="dxa"/>
            <w:shd w:val="clear" w:color="auto" w:fill="FFFFFF"/>
            <w:tcMar>
              <w:left w:w="57" w:type="dxa"/>
              <w:right w:w="57" w:type="dxa"/>
            </w:tcMar>
          </w:tcPr>
          <w:p w14:paraId="14EE7117" w14:textId="38C6F681"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Develop Educational Programs for Schools and Universities</w:t>
            </w:r>
          </w:p>
        </w:tc>
        <w:tc>
          <w:tcPr>
            <w:tcW w:w="3260" w:type="dxa"/>
            <w:tcBorders>
              <w:bottom w:val="single" w:sz="4" w:space="0" w:color="9F2241"/>
            </w:tcBorders>
            <w:shd w:val="clear" w:color="auto" w:fill="FFFFFF"/>
            <w:tcMar>
              <w:left w:w="57" w:type="dxa"/>
              <w:right w:w="57" w:type="dxa"/>
            </w:tcMar>
          </w:tcPr>
          <w:p w14:paraId="4A85C7EE" w14:textId="59C5D6C5" w:rsidR="001917D5" w:rsidRPr="00662906" w:rsidRDefault="001917D5" w:rsidP="007E6C89">
            <w:pPr>
              <w:pStyle w:val="ListParagraph"/>
              <w:numPr>
                <w:ilvl w:val="0"/>
                <w:numId w:val="190"/>
              </w:numPr>
              <w:spacing w:before="40" w:after="40"/>
              <w:ind w:left="367"/>
              <w:jc w:val="center"/>
              <w:rPr>
                <w:rFonts w:eastAsia="Arial" w:cs="Arial"/>
                <w:color w:val="394A58"/>
                <w:sz w:val="16"/>
                <w:szCs w:val="16"/>
              </w:rPr>
            </w:pPr>
            <w:r w:rsidRPr="00662906">
              <w:rPr>
                <w:rFonts w:eastAsia="Arial" w:cs="Arial"/>
                <w:color w:val="394A58"/>
                <w:sz w:val="16"/>
                <w:szCs w:val="16"/>
              </w:rPr>
              <w:t>Integrate clean cooking topics (health, environment, technologies) into existing curricula</w:t>
            </w:r>
          </w:p>
          <w:p w14:paraId="0953D453" w14:textId="571CE872" w:rsidR="001917D5" w:rsidRPr="00662906" w:rsidRDefault="001917D5" w:rsidP="007E6C89">
            <w:pPr>
              <w:pStyle w:val="ListParagraph"/>
              <w:numPr>
                <w:ilvl w:val="0"/>
                <w:numId w:val="190"/>
              </w:numPr>
              <w:spacing w:before="40" w:after="40"/>
              <w:ind w:left="367"/>
              <w:jc w:val="center"/>
              <w:rPr>
                <w:rFonts w:eastAsia="Arial" w:cs="Arial"/>
                <w:color w:val="394A58"/>
                <w:sz w:val="16"/>
                <w:szCs w:val="16"/>
              </w:rPr>
            </w:pPr>
            <w:r w:rsidRPr="00662906">
              <w:rPr>
                <w:rFonts w:eastAsia="Arial" w:cs="Arial"/>
                <w:color w:val="394A58"/>
                <w:sz w:val="16"/>
                <w:szCs w:val="16"/>
              </w:rPr>
              <w:t>Train teachers and lecturers on delivering practical demonstrations</w:t>
            </w:r>
          </w:p>
          <w:p w14:paraId="700525FA" w14:textId="5CD0C841" w:rsidR="001917D5" w:rsidRPr="00662906" w:rsidRDefault="001917D5" w:rsidP="007E6C89">
            <w:pPr>
              <w:pStyle w:val="ListParagraph"/>
              <w:numPr>
                <w:ilvl w:val="0"/>
                <w:numId w:val="190"/>
              </w:numPr>
              <w:spacing w:before="40" w:after="40"/>
              <w:ind w:left="367"/>
              <w:jc w:val="center"/>
              <w:rPr>
                <w:rFonts w:eastAsia="Arial" w:cs="Arial"/>
                <w:color w:val="394A58"/>
                <w:sz w:val="16"/>
                <w:szCs w:val="16"/>
              </w:rPr>
            </w:pPr>
            <w:r w:rsidRPr="00662906">
              <w:rPr>
                <w:rFonts w:eastAsia="Arial" w:cs="Arial"/>
                <w:color w:val="394A58"/>
                <w:sz w:val="16"/>
                <w:szCs w:val="16"/>
              </w:rPr>
              <w:t>Develop age-appropriate learning materials (textbooks, online modules)</w:t>
            </w:r>
          </w:p>
          <w:p w14:paraId="0A66959E" w14:textId="0557A20B" w:rsidR="001917D5" w:rsidRPr="00662906" w:rsidRDefault="001917D5" w:rsidP="007E6C89">
            <w:pPr>
              <w:pStyle w:val="ListParagraph"/>
              <w:numPr>
                <w:ilvl w:val="0"/>
                <w:numId w:val="190"/>
              </w:numPr>
              <w:spacing w:before="40" w:after="40"/>
              <w:ind w:left="367"/>
              <w:jc w:val="center"/>
              <w:rPr>
                <w:rFonts w:eastAsia="Arial" w:cs="Arial"/>
                <w:color w:val="394A58"/>
                <w:sz w:val="16"/>
                <w:szCs w:val="16"/>
              </w:rPr>
            </w:pPr>
            <w:r w:rsidRPr="00662906">
              <w:rPr>
                <w:rFonts w:eastAsia="Arial" w:cs="Arial"/>
                <w:color w:val="394A58"/>
                <w:sz w:val="16"/>
                <w:szCs w:val="16"/>
              </w:rPr>
              <w:t>Evaluate student knowledge retention and interest</w:t>
            </w:r>
          </w:p>
        </w:tc>
        <w:tc>
          <w:tcPr>
            <w:tcW w:w="1276" w:type="dxa"/>
            <w:shd w:val="clear" w:color="auto" w:fill="FFFFFF"/>
            <w:tcMar>
              <w:left w:w="57" w:type="dxa"/>
              <w:right w:w="57" w:type="dxa"/>
            </w:tcMar>
          </w:tcPr>
          <w:p w14:paraId="1C867D9B" w14:textId="7E2F949F"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6E8D676A" w14:textId="02658636"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Ministries of Education</w:t>
            </w:r>
          </w:p>
        </w:tc>
        <w:tc>
          <w:tcPr>
            <w:tcW w:w="1198" w:type="dxa"/>
            <w:shd w:val="clear" w:color="auto" w:fill="FFFFFF"/>
            <w:tcMar>
              <w:left w:w="57" w:type="dxa"/>
              <w:right w:w="57" w:type="dxa"/>
            </w:tcMar>
          </w:tcPr>
          <w:p w14:paraId="41C551FB" w14:textId="0BDA6F35"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Schools, Universities, Educational NGOs</w:t>
            </w:r>
          </w:p>
        </w:tc>
        <w:tc>
          <w:tcPr>
            <w:tcW w:w="851" w:type="dxa"/>
            <w:shd w:val="clear" w:color="auto" w:fill="FFFFFF"/>
            <w:tcMar>
              <w:left w:w="57" w:type="dxa"/>
              <w:right w:w="57" w:type="dxa"/>
            </w:tcMar>
          </w:tcPr>
          <w:p w14:paraId="49E6E96B" w14:textId="55E8F077"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Medium Term</w:t>
            </w:r>
          </w:p>
        </w:tc>
        <w:tc>
          <w:tcPr>
            <w:tcW w:w="1842" w:type="dxa"/>
            <w:shd w:val="clear" w:color="auto" w:fill="FFFFFF"/>
          </w:tcPr>
          <w:p w14:paraId="04E10D39" w14:textId="548420A0"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Revised curricula with clean cooking content</w:t>
            </w:r>
          </w:p>
          <w:p w14:paraId="48C503C5" w14:textId="20F1B96D"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Trained educators</w:t>
            </w:r>
          </w:p>
          <w:p w14:paraId="503CEE51" w14:textId="0D7C84DE" w:rsidR="001917D5" w:rsidRPr="00662906" w:rsidRDefault="00AE7D1F"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Educational</w:t>
            </w:r>
            <w:r w:rsidR="001917D5" w:rsidRPr="00662906">
              <w:rPr>
                <w:rFonts w:eastAsia="Arial" w:cs="Arial"/>
                <w:color w:val="53575A"/>
                <w:sz w:val="16"/>
                <w:szCs w:val="16"/>
              </w:rPr>
              <w:t xml:space="preserve"> resources for different levels</w:t>
            </w:r>
          </w:p>
        </w:tc>
        <w:tc>
          <w:tcPr>
            <w:tcW w:w="1701" w:type="dxa"/>
            <w:shd w:val="clear" w:color="auto" w:fill="FFFFFF"/>
          </w:tcPr>
          <w:p w14:paraId="4C8F742A" w14:textId="3C28FC88"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Enhanced generation of knowledgeable youth and graduates who advocate for and adopt clean cooking methods, driving long-term societal change</w:t>
            </w:r>
          </w:p>
        </w:tc>
        <w:tc>
          <w:tcPr>
            <w:tcW w:w="1843" w:type="dxa"/>
            <w:shd w:val="clear" w:color="auto" w:fill="FFFFFF"/>
          </w:tcPr>
          <w:p w14:paraId="59CD5447"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Curriculum updates approved (Yes/No)</w:t>
            </w:r>
          </w:p>
          <w:p w14:paraId="7CE03CC0"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teachers trained</w:t>
            </w:r>
          </w:p>
          <w:p w14:paraId="3FA75E5D" w14:textId="33C08CA4"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Student evaluation results (Yes/No)</w:t>
            </w:r>
          </w:p>
        </w:tc>
      </w:tr>
      <w:tr w:rsidR="001917D5" w:rsidRPr="00662906" w14:paraId="2216CFB6" w14:textId="77777777" w:rsidTr="007E6C89">
        <w:trPr>
          <w:trHeight w:val="300"/>
        </w:trPr>
        <w:tc>
          <w:tcPr>
            <w:tcW w:w="167" w:type="dxa"/>
            <w:shd w:val="clear" w:color="auto" w:fill="FFFFFF"/>
            <w:tcMar>
              <w:left w:w="57" w:type="dxa"/>
              <w:right w:w="57" w:type="dxa"/>
            </w:tcMar>
          </w:tcPr>
          <w:p w14:paraId="17D2BDD6" w14:textId="77777777" w:rsidR="001917D5" w:rsidRPr="00662906" w:rsidRDefault="001917D5" w:rsidP="007E6C89">
            <w:pPr>
              <w:spacing w:before="40" w:after="40"/>
              <w:jc w:val="center"/>
              <w:rPr>
                <w:rFonts w:cs="Arial"/>
                <w:color w:val="53575A"/>
                <w:sz w:val="16"/>
                <w:szCs w:val="16"/>
              </w:rPr>
            </w:pPr>
            <w:r w:rsidRPr="00662906">
              <w:rPr>
                <w:rFonts w:eastAsia="Arial" w:cs="Arial"/>
                <w:color w:val="53575A"/>
                <w:sz w:val="16"/>
                <w:szCs w:val="16"/>
              </w:rPr>
              <w:t>3</w:t>
            </w:r>
          </w:p>
        </w:tc>
        <w:tc>
          <w:tcPr>
            <w:tcW w:w="1248" w:type="dxa"/>
            <w:shd w:val="clear" w:color="auto" w:fill="FFFFFF"/>
            <w:tcMar>
              <w:left w:w="57" w:type="dxa"/>
              <w:right w:w="57" w:type="dxa"/>
            </w:tcMar>
          </w:tcPr>
          <w:p w14:paraId="0AC98BBE" w14:textId="43EB79F8"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Organize Community Workshops on the Benefits of Clean Cooking</w:t>
            </w:r>
          </w:p>
        </w:tc>
        <w:tc>
          <w:tcPr>
            <w:tcW w:w="3260" w:type="dxa"/>
            <w:tcBorders>
              <w:top w:val="single" w:sz="4" w:space="0" w:color="9F2241"/>
              <w:left w:val="nil"/>
              <w:bottom w:val="single" w:sz="4" w:space="0" w:color="9F2241"/>
              <w:right w:val="nil"/>
            </w:tcBorders>
            <w:tcMar>
              <w:left w:w="57" w:type="dxa"/>
              <w:right w:w="57" w:type="dxa"/>
            </w:tcMar>
          </w:tcPr>
          <w:p w14:paraId="096CC9CF" w14:textId="4DE35843" w:rsidR="001917D5" w:rsidRPr="00662906" w:rsidRDefault="001917D5" w:rsidP="007E6C89">
            <w:pPr>
              <w:pStyle w:val="ListParagraph"/>
              <w:numPr>
                <w:ilvl w:val="0"/>
                <w:numId w:val="191"/>
              </w:numPr>
              <w:spacing w:before="40" w:after="40"/>
              <w:ind w:left="367"/>
              <w:jc w:val="center"/>
              <w:rPr>
                <w:rFonts w:eastAsia="Arial" w:cs="Arial"/>
                <w:color w:val="394A58"/>
                <w:sz w:val="16"/>
                <w:szCs w:val="16"/>
              </w:rPr>
            </w:pPr>
            <w:r w:rsidRPr="00662906">
              <w:rPr>
                <w:rFonts w:eastAsia="Arial" w:cs="Arial"/>
                <w:color w:val="394A58"/>
                <w:sz w:val="16"/>
                <w:szCs w:val="16"/>
              </w:rPr>
              <w:t xml:space="preserve">Identify key local venues (community halls, health </w:t>
            </w:r>
            <w:r w:rsidR="00AE7D1F" w:rsidRPr="00662906">
              <w:rPr>
                <w:rFonts w:eastAsia="Arial" w:cs="Arial"/>
                <w:color w:val="394A58"/>
                <w:sz w:val="16"/>
                <w:szCs w:val="16"/>
              </w:rPr>
              <w:t>centres</w:t>
            </w:r>
            <w:r w:rsidRPr="00662906">
              <w:rPr>
                <w:rFonts w:eastAsia="Arial" w:cs="Arial"/>
                <w:color w:val="394A58"/>
                <w:sz w:val="16"/>
                <w:szCs w:val="16"/>
              </w:rPr>
              <w:t>)</w:t>
            </w:r>
          </w:p>
          <w:p w14:paraId="2D86BA75" w14:textId="74634171" w:rsidR="001917D5" w:rsidRPr="00662906" w:rsidRDefault="001917D5" w:rsidP="007E6C89">
            <w:pPr>
              <w:pStyle w:val="ListParagraph"/>
              <w:numPr>
                <w:ilvl w:val="0"/>
                <w:numId w:val="191"/>
              </w:numPr>
              <w:spacing w:before="40" w:after="40"/>
              <w:ind w:left="367"/>
              <w:jc w:val="center"/>
              <w:rPr>
                <w:rFonts w:eastAsia="Arial" w:cs="Arial"/>
                <w:color w:val="394A58"/>
                <w:sz w:val="16"/>
                <w:szCs w:val="16"/>
              </w:rPr>
            </w:pPr>
            <w:r w:rsidRPr="00662906">
              <w:rPr>
                <w:rFonts w:eastAsia="Arial" w:cs="Arial"/>
                <w:color w:val="394A58"/>
                <w:sz w:val="16"/>
                <w:szCs w:val="16"/>
              </w:rPr>
              <w:t>Develop workshop modules covering health, cost-saving, and environmental aspects</w:t>
            </w:r>
          </w:p>
          <w:p w14:paraId="24ABE413" w14:textId="46C20BC5" w:rsidR="001917D5" w:rsidRPr="00662906" w:rsidRDefault="001917D5" w:rsidP="007E6C89">
            <w:pPr>
              <w:pStyle w:val="ListParagraph"/>
              <w:numPr>
                <w:ilvl w:val="0"/>
                <w:numId w:val="191"/>
              </w:numPr>
              <w:spacing w:before="40" w:after="40"/>
              <w:ind w:left="367"/>
              <w:jc w:val="center"/>
              <w:rPr>
                <w:rFonts w:eastAsia="Arial" w:cs="Arial"/>
                <w:color w:val="394A58"/>
                <w:sz w:val="16"/>
                <w:szCs w:val="16"/>
              </w:rPr>
            </w:pPr>
            <w:r w:rsidRPr="00662906">
              <w:rPr>
                <w:rFonts w:eastAsia="Arial" w:cs="Arial"/>
                <w:color w:val="394A58"/>
                <w:sz w:val="16"/>
                <w:szCs w:val="16"/>
              </w:rPr>
              <w:t>Involve local influencers (community leaders, women's groups) to facilitate acceptance</w:t>
            </w:r>
          </w:p>
          <w:p w14:paraId="50AE29AC" w14:textId="44AF0E47" w:rsidR="001917D5" w:rsidRPr="00662906" w:rsidRDefault="001917D5" w:rsidP="007E6C89">
            <w:pPr>
              <w:pStyle w:val="ListParagraph"/>
              <w:numPr>
                <w:ilvl w:val="0"/>
                <w:numId w:val="191"/>
              </w:numPr>
              <w:spacing w:before="40" w:after="40"/>
              <w:ind w:left="367"/>
              <w:jc w:val="center"/>
              <w:rPr>
                <w:rFonts w:eastAsia="Arial" w:cs="Arial"/>
                <w:color w:val="394A58"/>
                <w:sz w:val="16"/>
                <w:szCs w:val="16"/>
              </w:rPr>
            </w:pPr>
            <w:r w:rsidRPr="00662906">
              <w:rPr>
                <w:rFonts w:eastAsia="Arial" w:cs="Arial"/>
                <w:color w:val="394A58"/>
                <w:sz w:val="16"/>
                <w:szCs w:val="16"/>
              </w:rPr>
              <w:t>Collect participant feedback to measure workshop impact</w:t>
            </w:r>
          </w:p>
        </w:tc>
        <w:tc>
          <w:tcPr>
            <w:tcW w:w="1276" w:type="dxa"/>
            <w:shd w:val="clear" w:color="auto" w:fill="FFFFFF"/>
            <w:tcMar>
              <w:left w:w="57" w:type="dxa"/>
              <w:right w:w="57" w:type="dxa"/>
            </w:tcMar>
          </w:tcPr>
          <w:p w14:paraId="44818207" w14:textId="645DD624"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37661884" w14:textId="7EED1A96"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National Ministries of Health</w:t>
            </w:r>
          </w:p>
        </w:tc>
        <w:tc>
          <w:tcPr>
            <w:tcW w:w="1198" w:type="dxa"/>
            <w:shd w:val="clear" w:color="auto" w:fill="FFFFFF"/>
            <w:tcMar>
              <w:left w:w="57" w:type="dxa"/>
              <w:right w:w="57" w:type="dxa"/>
            </w:tcMar>
          </w:tcPr>
          <w:p w14:paraId="62C74EDA" w14:textId="6921E1D4"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Local Governments, Community Organizations</w:t>
            </w:r>
          </w:p>
        </w:tc>
        <w:tc>
          <w:tcPr>
            <w:tcW w:w="851" w:type="dxa"/>
            <w:shd w:val="clear" w:color="auto" w:fill="FFFFFF"/>
            <w:tcMar>
              <w:left w:w="57" w:type="dxa"/>
              <w:right w:w="57" w:type="dxa"/>
            </w:tcMar>
          </w:tcPr>
          <w:p w14:paraId="1328E54D" w14:textId="53E16D3D"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shd w:val="clear" w:color="auto" w:fill="FFFFFF"/>
          </w:tcPr>
          <w:p w14:paraId="71A00CFC" w14:textId="2B9A0A02"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Workshop modules and schedules</w:t>
            </w:r>
          </w:p>
          <w:p w14:paraId="241F0D52" w14:textId="73C2E6BC"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Community partnership agreements</w:t>
            </w:r>
          </w:p>
          <w:p w14:paraId="595A768E" w14:textId="315087A8"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Post-workshop feedback reports</w:t>
            </w:r>
          </w:p>
        </w:tc>
        <w:tc>
          <w:tcPr>
            <w:tcW w:w="1701" w:type="dxa"/>
            <w:shd w:val="clear" w:color="auto" w:fill="FFFFFF"/>
          </w:tcPr>
          <w:p w14:paraId="7E830198" w14:textId="0B6CB651"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Increased community-level adoption of clean cooking solutions, reducing indoor air pollution and related health risks</w:t>
            </w:r>
          </w:p>
        </w:tc>
        <w:tc>
          <w:tcPr>
            <w:tcW w:w="1843" w:type="dxa"/>
            <w:shd w:val="clear" w:color="auto" w:fill="FFFFFF"/>
          </w:tcPr>
          <w:p w14:paraId="1FF1F848"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workshops held</w:t>
            </w:r>
          </w:p>
          <w:p w14:paraId="6A2C36AA"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Local influencers engaged (Yes/No)</w:t>
            </w:r>
          </w:p>
          <w:p w14:paraId="28C8567C" w14:textId="2728FADA"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Positive participant feedback (Yes/No)</w:t>
            </w:r>
          </w:p>
        </w:tc>
      </w:tr>
      <w:tr w:rsidR="001917D5" w:rsidRPr="00662906" w14:paraId="0A2D6398" w14:textId="77777777" w:rsidTr="007E6C89">
        <w:trPr>
          <w:trHeight w:val="300"/>
        </w:trPr>
        <w:tc>
          <w:tcPr>
            <w:tcW w:w="167" w:type="dxa"/>
            <w:shd w:val="clear" w:color="auto" w:fill="FFFFFF"/>
            <w:tcMar>
              <w:left w:w="57" w:type="dxa"/>
              <w:right w:w="57" w:type="dxa"/>
            </w:tcMar>
          </w:tcPr>
          <w:p w14:paraId="33A0D5B4" w14:textId="77777777" w:rsidR="001917D5" w:rsidRPr="00662906" w:rsidRDefault="001917D5" w:rsidP="007E6C89">
            <w:pPr>
              <w:spacing w:before="40" w:after="40"/>
              <w:jc w:val="center"/>
              <w:rPr>
                <w:rFonts w:cs="Arial"/>
                <w:color w:val="53575A"/>
                <w:sz w:val="16"/>
                <w:szCs w:val="16"/>
              </w:rPr>
            </w:pPr>
            <w:r w:rsidRPr="00662906">
              <w:rPr>
                <w:rFonts w:eastAsia="Arial" w:cs="Arial"/>
                <w:color w:val="53575A"/>
                <w:sz w:val="16"/>
                <w:szCs w:val="16"/>
              </w:rPr>
              <w:t>4</w:t>
            </w:r>
          </w:p>
        </w:tc>
        <w:tc>
          <w:tcPr>
            <w:tcW w:w="1248" w:type="dxa"/>
            <w:tcMar>
              <w:left w:w="57" w:type="dxa"/>
              <w:right w:w="57" w:type="dxa"/>
            </w:tcMar>
          </w:tcPr>
          <w:p w14:paraId="3C33222C" w14:textId="3BB30765"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Create a Digital Campaign for Clean Cooking Adoption</w:t>
            </w:r>
          </w:p>
        </w:tc>
        <w:tc>
          <w:tcPr>
            <w:tcW w:w="3260" w:type="dxa"/>
            <w:tcBorders>
              <w:top w:val="single" w:sz="4" w:space="0" w:color="9F2241"/>
              <w:left w:val="nil"/>
              <w:bottom w:val="single" w:sz="4" w:space="0" w:color="9F2241"/>
              <w:right w:val="nil"/>
            </w:tcBorders>
            <w:tcMar>
              <w:left w:w="57" w:type="dxa"/>
              <w:right w:w="57" w:type="dxa"/>
            </w:tcMar>
          </w:tcPr>
          <w:p w14:paraId="6F9E65EA" w14:textId="358EB396" w:rsidR="001917D5" w:rsidRPr="00662906" w:rsidRDefault="001917D5" w:rsidP="007E6C89">
            <w:pPr>
              <w:pStyle w:val="ListParagraph"/>
              <w:numPr>
                <w:ilvl w:val="0"/>
                <w:numId w:val="192"/>
              </w:numPr>
              <w:spacing w:before="40" w:after="40"/>
              <w:ind w:left="367"/>
              <w:jc w:val="center"/>
              <w:rPr>
                <w:rFonts w:eastAsia="Arial" w:cs="Arial"/>
                <w:color w:val="394A58"/>
                <w:sz w:val="16"/>
                <w:szCs w:val="16"/>
              </w:rPr>
            </w:pPr>
            <w:r w:rsidRPr="00662906">
              <w:rPr>
                <w:rFonts w:eastAsia="Arial" w:cs="Arial"/>
                <w:color w:val="394A58"/>
                <w:sz w:val="16"/>
                <w:szCs w:val="16"/>
              </w:rPr>
              <w:t>Launch targeted social media challenges, online webinars, and digital newsletters</w:t>
            </w:r>
          </w:p>
          <w:p w14:paraId="2AB8B9BF" w14:textId="6EF29333" w:rsidR="001917D5" w:rsidRPr="00662906" w:rsidRDefault="001917D5" w:rsidP="007E6C89">
            <w:pPr>
              <w:pStyle w:val="ListParagraph"/>
              <w:numPr>
                <w:ilvl w:val="0"/>
                <w:numId w:val="192"/>
              </w:numPr>
              <w:spacing w:before="40" w:after="40"/>
              <w:ind w:left="367"/>
              <w:jc w:val="center"/>
              <w:rPr>
                <w:rFonts w:eastAsia="Arial" w:cs="Arial"/>
                <w:color w:val="394A58"/>
                <w:sz w:val="16"/>
                <w:szCs w:val="16"/>
              </w:rPr>
            </w:pPr>
            <w:r w:rsidRPr="00662906">
              <w:rPr>
                <w:rFonts w:eastAsia="Arial" w:cs="Arial"/>
                <w:color w:val="394A58"/>
                <w:sz w:val="16"/>
                <w:szCs w:val="16"/>
              </w:rPr>
              <w:t>Collaborate with influencers and bloggers to amplify messages</w:t>
            </w:r>
          </w:p>
          <w:p w14:paraId="0BBA920E" w14:textId="3534E45D" w:rsidR="001917D5" w:rsidRPr="00662906" w:rsidRDefault="001917D5" w:rsidP="007E6C89">
            <w:pPr>
              <w:pStyle w:val="ListParagraph"/>
              <w:numPr>
                <w:ilvl w:val="0"/>
                <w:numId w:val="192"/>
              </w:numPr>
              <w:spacing w:before="40" w:after="40"/>
              <w:ind w:left="367"/>
              <w:jc w:val="center"/>
              <w:rPr>
                <w:rFonts w:eastAsia="Arial" w:cs="Arial"/>
                <w:color w:val="394A58"/>
                <w:sz w:val="16"/>
                <w:szCs w:val="16"/>
              </w:rPr>
            </w:pPr>
            <w:r w:rsidRPr="00662906">
              <w:rPr>
                <w:rFonts w:eastAsia="Arial" w:cs="Arial"/>
                <w:color w:val="394A58"/>
                <w:sz w:val="16"/>
                <w:szCs w:val="16"/>
              </w:rPr>
              <w:lastRenderedPageBreak/>
              <w:t>Develop an interactive web platform with how-to guides and Q&amp;A forums</w:t>
            </w:r>
          </w:p>
          <w:p w14:paraId="4F9AEFF0" w14:textId="45943E5A" w:rsidR="001917D5" w:rsidRPr="00662906" w:rsidRDefault="001917D5" w:rsidP="007E6C89">
            <w:pPr>
              <w:pStyle w:val="ListParagraph"/>
              <w:numPr>
                <w:ilvl w:val="0"/>
                <w:numId w:val="192"/>
              </w:numPr>
              <w:spacing w:before="40" w:after="40"/>
              <w:ind w:left="367"/>
              <w:jc w:val="center"/>
              <w:rPr>
                <w:rFonts w:eastAsia="Arial" w:cs="Arial"/>
                <w:color w:val="394A58"/>
                <w:sz w:val="16"/>
                <w:szCs w:val="16"/>
              </w:rPr>
            </w:pPr>
            <w:r w:rsidRPr="00662906">
              <w:rPr>
                <w:rFonts w:eastAsia="Arial" w:cs="Arial"/>
                <w:color w:val="394A58"/>
                <w:sz w:val="16"/>
                <w:szCs w:val="16"/>
              </w:rPr>
              <w:t>Track campaign reach and public engagement metrics</w:t>
            </w:r>
          </w:p>
        </w:tc>
        <w:tc>
          <w:tcPr>
            <w:tcW w:w="1276" w:type="dxa"/>
            <w:tcMar>
              <w:left w:w="57" w:type="dxa"/>
              <w:right w:w="57" w:type="dxa"/>
            </w:tcMar>
          </w:tcPr>
          <w:p w14:paraId="05F3A72D" w14:textId="0A28943B" w:rsidR="001917D5" w:rsidRPr="00662906" w:rsidRDefault="001917D5" w:rsidP="007E6C89">
            <w:pPr>
              <w:spacing w:before="40" w:after="40"/>
              <w:jc w:val="center"/>
              <w:rPr>
                <w:rFonts w:eastAsia="Arial" w:cs="Arial"/>
                <w:color w:val="53575A"/>
                <w:sz w:val="16"/>
                <w:szCs w:val="16"/>
              </w:rPr>
            </w:pPr>
            <w:r w:rsidRPr="00662906">
              <w:rPr>
                <w:rFonts w:cs="Arial"/>
                <w:sz w:val="16"/>
                <w:szCs w:val="16"/>
              </w:rPr>
              <w:lastRenderedPageBreak/>
              <w:t>National (Pilot AU Member States)</w:t>
            </w:r>
          </w:p>
        </w:tc>
        <w:tc>
          <w:tcPr>
            <w:tcW w:w="1070" w:type="dxa"/>
            <w:tcMar>
              <w:left w:w="57" w:type="dxa"/>
              <w:right w:w="57" w:type="dxa"/>
            </w:tcMar>
          </w:tcPr>
          <w:p w14:paraId="6F612CC8" w14:textId="6EF31C5B"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Ministries of Energy, Food, Agriculture</w:t>
            </w:r>
          </w:p>
        </w:tc>
        <w:tc>
          <w:tcPr>
            <w:tcW w:w="1198" w:type="dxa"/>
            <w:tcMar>
              <w:left w:w="57" w:type="dxa"/>
              <w:right w:w="57" w:type="dxa"/>
            </w:tcMar>
          </w:tcPr>
          <w:p w14:paraId="7DFFE0C6" w14:textId="0000CDE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Digital Platforms, Social Media Influencers</w:t>
            </w:r>
          </w:p>
        </w:tc>
        <w:tc>
          <w:tcPr>
            <w:tcW w:w="851" w:type="dxa"/>
            <w:tcMar>
              <w:left w:w="57" w:type="dxa"/>
              <w:right w:w="57" w:type="dxa"/>
            </w:tcMar>
          </w:tcPr>
          <w:p w14:paraId="5C5F1054" w14:textId="39E89719"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 Term</w:t>
            </w:r>
          </w:p>
        </w:tc>
        <w:tc>
          <w:tcPr>
            <w:tcW w:w="1842" w:type="dxa"/>
          </w:tcPr>
          <w:p w14:paraId="05C1E0ED" w14:textId="25648B95"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Social media content and webinar materials</w:t>
            </w:r>
          </w:p>
          <w:p w14:paraId="79DE93E6" w14:textId="1ED28AC2"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lastRenderedPageBreak/>
              <w:t>Influencer collaboration agreements</w:t>
            </w:r>
          </w:p>
          <w:p w14:paraId="2480FD83" w14:textId="72B9DCA3"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Web platform analytics reports</w:t>
            </w:r>
          </w:p>
        </w:tc>
        <w:tc>
          <w:tcPr>
            <w:tcW w:w="1701" w:type="dxa"/>
          </w:tcPr>
          <w:p w14:paraId="038A5153" w14:textId="649AEAC9" w:rsidR="001917D5" w:rsidRPr="00662906" w:rsidRDefault="001917D5" w:rsidP="007E6C89">
            <w:pPr>
              <w:spacing w:before="40" w:after="40"/>
              <w:jc w:val="center"/>
              <w:rPr>
                <w:rFonts w:eastAsia="Arial" w:cs="Arial"/>
                <w:color w:val="53575A"/>
                <w:sz w:val="16"/>
                <w:szCs w:val="16"/>
              </w:rPr>
            </w:pPr>
            <w:r w:rsidRPr="00662906">
              <w:rPr>
                <w:rFonts w:cs="Arial"/>
                <w:sz w:val="16"/>
                <w:szCs w:val="16"/>
              </w:rPr>
              <w:lastRenderedPageBreak/>
              <w:t xml:space="preserve">Broader digital outreach encouraging a tech-savvy audience to switch to clean </w:t>
            </w:r>
            <w:r w:rsidRPr="00662906">
              <w:rPr>
                <w:rFonts w:cs="Arial"/>
                <w:sz w:val="16"/>
                <w:szCs w:val="16"/>
              </w:rPr>
              <w:lastRenderedPageBreak/>
              <w:t>cooking, normalizing its use in both urban and rural settings</w:t>
            </w:r>
          </w:p>
        </w:tc>
        <w:tc>
          <w:tcPr>
            <w:tcW w:w="1843" w:type="dxa"/>
          </w:tcPr>
          <w:p w14:paraId="738040C7"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lastRenderedPageBreak/>
              <w:t>Social media campaign launched (Yes/No)</w:t>
            </w:r>
          </w:p>
          <w:p w14:paraId="74283C0E" w14:textId="77777777" w:rsidR="001917D5" w:rsidRPr="00662906" w:rsidRDefault="001917D5" w:rsidP="007E6C89">
            <w:pPr>
              <w:pStyle w:val="ListParagraph"/>
              <w:numPr>
                <w:ilvl w:val="0"/>
                <w:numId w:val="63"/>
              </w:numPr>
              <w:spacing w:before="40" w:after="40"/>
              <w:ind w:left="321"/>
              <w:jc w:val="center"/>
            </w:pPr>
            <w:r w:rsidRPr="00662906">
              <w:rPr>
                <w:rFonts w:eastAsia="Arial" w:cs="Arial"/>
                <w:color w:val="53575A"/>
                <w:sz w:val="16"/>
                <w:szCs w:val="16"/>
              </w:rPr>
              <w:lastRenderedPageBreak/>
              <w:t>Number of influencer collaborations</w:t>
            </w:r>
          </w:p>
          <w:p w14:paraId="2BFD3E32" w14:textId="553883E1" w:rsidR="001917D5" w:rsidRPr="00662906" w:rsidRDefault="001917D5" w:rsidP="007E6C89">
            <w:pPr>
              <w:pStyle w:val="ListParagraph"/>
              <w:numPr>
                <w:ilvl w:val="0"/>
                <w:numId w:val="63"/>
              </w:numPr>
              <w:spacing w:before="40" w:after="40"/>
              <w:ind w:left="321"/>
              <w:jc w:val="center"/>
            </w:pPr>
            <w:r w:rsidRPr="00662906">
              <w:rPr>
                <w:rFonts w:eastAsia="Arial" w:cs="Arial"/>
                <w:color w:val="53575A"/>
                <w:sz w:val="16"/>
                <w:szCs w:val="16"/>
              </w:rPr>
              <w:t>Web platform engagement (Yes/No)</w:t>
            </w:r>
          </w:p>
        </w:tc>
      </w:tr>
      <w:tr w:rsidR="001917D5" w:rsidRPr="00662906" w14:paraId="26B8BEFF" w14:textId="77777777" w:rsidTr="007E6C89">
        <w:trPr>
          <w:trHeight w:val="300"/>
        </w:trPr>
        <w:tc>
          <w:tcPr>
            <w:tcW w:w="167" w:type="dxa"/>
            <w:shd w:val="clear" w:color="auto" w:fill="FFFFFF"/>
            <w:tcMar>
              <w:left w:w="57" w:type="dxa"/>
              <w:right w:w="57" w:type="dxa"/>
            </w:tcMar>
          </w:tcPr>
          <w:p w14:paraId="35AFE57B" w14:textId="77777777" w:rsidR="001917D5" w:rsidRPr="00662906" w:rsidRDefault="001917D5"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5</w:t>
            </w:r>
          </w:p>
        </w:tc>
        <w:tc>
          <w:tcPr>
            <w:tcW w:w="1248" w:type="dxa"/>
            <w:tcMar>
              <w:left w:w="57" w:type="dxa"/>
              <w:right w:w="57" w:type="dxa"/>
            </w:tcMar>
          </w:tcPr>
          <w:p w14:paraId="38037002" w14:textId="5E2F8189"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Implement Regional Exhibitions and Clean Cooking Fairs</w:t>
            </w:r>
          </w:p>
        </w:tc>
        <w:tc>
          <w:tcPr>
            <w:tcW w:w="3260" w:type="dxa"/>
            <w:tcBorders>
              <w:top w:val="single" w:sz="4" w:space="0" w:color="9F2241"/>
              <w:left w:val="nil"/>
              <w:bottom w:val="single" w:sz="4" w:space="0" w:color="9F2241"/>
              <w:right w:val="nil"/>
            </w:tcBorders>
            <w:tcMar>
              <w:left w:w="57" w:type="dxa"/>
              <w:right w:w="57" w:type="dxa"/>
            </w:tcMar>
          </w:tcPr>
          <w:p w14:paraId="16F8C54F" w14:textId="00781998" w:rsidR="001917D5" w:rsidRPr="00662906" w:rsidRDefault="001917D5" w:rsidP="007E6C89">
            <w:pPr>
              <w:pStyle w:val="ListParagraph"/>
              <w:numPr>
                <w:ilvl w:val="0"/>
                <w:numId w:val="193"/>
              </w:numPr>
              <w:spacing w:before="40" w:after="40"/>
              <w:ind w:left="367"/>
              <w:jc w:val="center"/>
              <w:rPr>
                <w:rFonts w:eastAsia="Arial" w:cs="Arial"/>
                <w:color w:val="394A58"/>
                <w:sz w:val="16"/>
                <w:szCs w:val="16"/>
              </w:rPr>
            </w:pPr>
            <w:r w:rsidRPr="00662906">
              <w:rPr>
                <w:rFonts w:eastAsia="Arial" w:cs="Arial"/>
                <w:color w:val="394A58"/>
                <w:sz w:val="16"/>
                <w:szCs w:val="16"/>
              </w:rPr>
              <w:t xml:space="preserve">Identify suitable venues for regional fairs (conference </w:t>
            </w:r>
            <w:r w:rsidR="00AE7D1F" w:rsidRPr="00662906">
              <w:rPr>
                <w:rFonts w:eastAsia="Arial" w:cs="Arial"/>
                <w:color w:val="394A58"/>
                <w:sz w:val="16"/>
                <w:szCs w:val="16"/>
              </w:rPr>
              <w:t>centres</w:t>
            </w:r>
            <w:r w:rsidRPr="00662906">
              <w:rPr>
                <w:rFonts w:eastAsia="Arial" w:cs="Arial"/>
                <w:color w:val="394A58"/>
                <w:sz w:val="16"/>
                <w:szCs w:val="16"/>
              </w:rPr>
              <w:t>, community halls)</w:t>
            </w:r>
          </w:p>
          <w:p w14:paraId="60B61DDF" w14:textId="136F02C1" w:rsidR="001917D5" w:rsidRPr="00662906" w:rsidRDefault="001917D5" w:rsidP="007E6C89">
            <w:pPr>
              <w:pStyle w:val="ListParagraph"/>
              <w:numPr>
                <w:ilvl w:val="0"/>
                <w:numId w:val="193"/>
              </w:numPr>
              <w:spacing w:before="40" w:after="40"/>
              <w:ind w:left="367"/>
              <w:jc w:val="center"/>
              <w:rPr>
                <w:rFonts w:eastAsia="Arial" w:cs="Arial"/>
                <w:color w:val="394A58"/>
                <w:sz w:val="16"/>
                <w:szCs w:val="16"/>
              </w:rPr>
            </w:pPr>
            <w:r w:rsidRPr="00662906">
              <w:rPr>
                <w:rFonts w:eastAsia="Arial" w:cs="Arial"/>
                <w:color w:val="394A58"/>
                <w:sz w:val="16"/>
                <w:szCs w:val="16"/>
              </w:rPr>
              <w:t>Invite manufacturers, NGOs, and consumers to showcase products and success stories</w:t>
            </w:r>
          </w:p>
          <w:p w14:paraId="45A4DA5D" w14:textId="5D636FA9" w:rsidR="001917D5" w:rsidRPr="00662906" w:rsidRDefault="001917D5" w:rsidP="007E6C89">
            <w:pPr>
              <w:pStyle w:val="ListParagraph"/>
              <w:numPr>
                <w:ilvl w:val="0"/>
                <w:numId w:val="193"/>
              </w:numPr>
              <w:spacing w:before="40" w:after="40"/>
              <w:ind w:left="367"/>
              <w:jc w:val="center"/>
              <w:rPr>
                <w:rFonts w:eastAsia="Arial" w:cs="Arial"/>
                <w:color w:val="394A58"/>
                <w:sz w:val="16"/>
                <w:szCs w:val="16"/>
              </w:rPr>
            </w:pPr>
            <w:r w:rsidRPr="00662906">
              <w:rPr>
                <w:rFonts w:eastAsia="Arial" w:cs="Arial"/>
                <w:color w:val="394A58"/>
                <w:sz w:val="16"/>
                <w:szCs w:val="16"/>
              </w:rPr>
              <w:t>Organize panel discussions, demonstrations, and networking sessions</w:t>
            </w:r>
          </w:p>
          <w:p w14:paraId="7B0A570C" w14:textId="0FB00A8E" w:rsidR="001917D5" w:rsidRPr="00662906" w:rsidRDefault="001917D5" w:rsidP="007E6C89">
            <w:pPr>
              <w:pStyle w:val="ListParagraph"/>
              <w:numPr>
                <w:ilvl w:val="0"/>
                <w:numId w:val="193"/>
              </w:numPr>
              <w:spacing w:before="40" w:after="40"/>
              <w:ind w:left="367"/>
              <w:jc w:val="center"/>
              <w:rPr>
                <w:rFonts w:eastAsia="Arial" w:cs="Arial"/>
                <w:color w:val="394A58"/>
                <w:sz w:val="16"/>
                <w:szCs w:val="16"/>
              </w:rPr>
            </w:pPr>
            <w:r w:rsidRPr="00662906">
              <w:rPr>
                <w:rFonts w:eastAsia="Arial" w:cs="Arial"/>
                <w:color w:val="394A58"/>
                <w:sz w:val="16"/>
                <w:szCs w:val="16"/>
              </w:rPr>
              <w:t>Record outcomes and follow-up leads for ongoing partnerships</w:t>
            </w:r>
          </w:p>
        </w:tc>
        <w:tc>
          <w:tcPr>
            <w:tcW w:w="1276" w:type="dxa"/>
            <w:tcMar>
              <w:left w:w="57" w:type="dxa"/>
              <w:right w:w="57" w:type="dxa"/>
            </w:tcMar>
          </w:tcPr>
          <w:p w14:paraId="56BA60AB" w14:textId="2AF9750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Regional</w:t>
            </w:r>
          </w:p>
        </w:tc>
        <w:tc>
          <w:tcPr>
            <w:tcW w:w="1070" w:type="dxa"/>
            <w:tcMar>
              <w:left w:w="57" w:type="dxa"/>
              <w:right w:w="57" w:type="dxa"/>
            </w:tcMar>
          </w:tcPr>
          <w:p w14:paraId="471B5CF5" w14:textId="3F0C2241"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Regional Economic Communities Directorates of Energy, Forest, Agriculture and Natural Resources</w:t>
            </w:r>
          </w:p>
        </w:tc>
        <w:tc>
          <w:tcPr>
            <w:tcW w:w="1198" w:type="dxa"/>
            <w:tcMar>
              <w:left w:w="57" w:type="dxa"/>
              <w:right w:w="57" w:type="dxa"/>
            </w:tcMar>
          </w:tcPr>
          <w:p w14:paraId="7FC9FEDD" w14:textId="4F8AE9B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Private Sector Partners, Trade Associations</w:t>
            </w:r>
          </w:p>
        </w:tc>
        <w:tc>
          <w:tcPr>
            <w:tcW w:w="851" w:type="dxa"/>
            <w:tcMar>
              <w:left w:w="57" w:type="dxa"/>
              <w:right w:w="57" w:type="dxa"/>
            </w:tcMar>
          </w:tcPr>
          <w:p w14:paraId="034358A7" w14:textId="1F35AE23"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Short-Medium Term</w:t>
            </w:r>
          </w:p>
        </w:tc>
        <w:tc>
          <w:tcPr>
            <w:tcW w:w="1842" w:type="dxa"/>
          </w:tcPr>
          <w:p w14:paraId="34305C7B" w14:textId="20B48A04"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Exhibition schedules and promotional materials</w:t>
            </w:r>
          </w:p>
          <w:p w14:paraId="3E58BC04" w14:textId="3812BCF4"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Signed participation agreements</w:t>
            </w:r>
          </w:p>
          <w:p w14:paraId="2133DAE6" w14:textId="583DE81A"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Post-event partnership leads/reports</w:t>
            </w:r>
          </w:p>
        </w:tc>
        <w:tc>
          <w:tcPr>
            <w:tcW w:w="1701" w:type="dxa"/>
          </w:tcPr>
          <w:p w14:paraId="5D617FF3" w14:textId="262E050D"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Greater visibility and acceptance of clean cooking innovations, fostering direct engagement between solution providers and end-users to boost adoption</w:t>
            </w:r>
          </w:p>
        </w:tc>
        <w:tc>
          <w:tcPr>
            <w:tcW w:w="1843" w:type="dxa"/>
          </w:tcPr>
          <w:p w14:paraId="227DCEDF"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fairs conducted</w:t>
            </w:r>
          </w:p>
          <w:p w14:paraId="4855EC58"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Stakeholder participation (Yes/No)</w:t>
            </w:r>
          </w:p>
          <w:p w14:paraId="06B547AF" w14:textId="186DD375"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Partnerships/agreements formed (Yes/No)</w:t>
            </w:r>
          </w:p>
        </w:tc>
      </w:tr>
      <w:tr w:rsidR="001917D5" w:rsidRPr="00662906" w14:paraId="14B326ED" w14:textId="77777777" w:rsidTr="007E6C89">
        <w:trPr>
          <w:trHeight w:val="300"/>
        </w:trPr>
        <w:tc>
          <w:tcPr>
            <w:tcW w:w="167" w:type="dxa"/>
            <w:shd w:val="clear" w:color="auto" w:fill="FFFFFF"/>
            <w:tcMar>
              <w:left w:w="57" w:type="dxa"/>
              <w:right w:w="57" w:type="dxa"/>
            </w:tcMar>
          </w:tcPr>
          <w:p w14:paraId="5300D24E" w14:textId="77777777" w:rsidR="001917D5" w:rsidRPr="00662906" w:rsidRDefault="001917D5" w:rsidP="007E6C89">
            <w:pPr>
              <w:spacing w:before="40" w:after="40"/>
              <w:jc w:val="center"/>
              <w:rPr>
                <w:rFonts w:eastAsia="Arial" w:cs="Arial"/>
                <w:color w:val="53575A"/>
                <w:sz w:val="16"/>
                <w:szCs w:val="16"/>
              </w:rPr>
            </w:pPr>
            <w:r w:rsidRPr="00662906">
              <w:rPr>
                <w:rFonts w:eastAsia="Arial" w:cs="Arial"/>
                <w:color w:val="53575A"/>
                <w:sz w:val="16"/>
                <w:szCs w:val="16"/>
              </w:rPr>
              <w:t>6</w:t>
            </w:r>
          </w:p>
        </w:tc>
        <w:tc>
          <w:tcPr>
            <w:tcW w:w="1248" w:type="dxa"/>
            <w:tcMar>
              <w:left w:w="57" w:type="dxa"/>
              <w:right w:w="57" w:type="dxa"/>
            </w:tcMar>
          </w:tcPr>
          <w:p w14:paraId="6190EB8D" w14:textId="5F89486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Facilitate Training Programs for Artisans and Local Manufacturers</w:t>
            </w:r>
          </w:p>
        </w:tc>
        <w:tc>
          <w:tcPr>
            <w:tcW w:w="3260" w:type="dxa"/>
            <w:tcBorders>
              <w:top w:val="single" w:sz="4" w:space="0" w:color="9F2241"/>
              <w:left w:val="nil"/>
              <w:bottom w:val="single" w:sz="4" w:space="0" w:color="9F2241"/>
              <w:right w:val="nil"/>
            </w:tcBorders>
            <w:tcMar>
              <w:left w:w="57" w:type="dxa"/>
              <w:right w:w="57" w:type="dxa"/>
            </w:tcMar>
          </w:tcPr>
          <w:p w14:paraId="4D79A1AB" w14:textId="55240782" w:rsidR="001917D5" w:rsidRPr="00662906" w:rsidRDefault="001917D5" w:rsidP="007E6C89">
            <w:pPr>
              <w:pStyle w:val="ListParagraph"/>
              <w:numPr>
                <w:ilvl w:val="0"/>
                <w:numId w:val="194"/>
              </w:numPr>
              <w:spacing w:before="40" w:after="40"/>
              <w:ind w:left="367"/>
              <w:jc w:val="center"/>
              <w:rPr>
                <w:rFonts w:eastAsia="Arial" w:cs="Arial"/>
                <w:color w:val="394A58"/>
                <w:sz w:val="16"/>
                <w:szCs w:val="16"/>
              </w:rPr>
            </w:pPr>
            <w:r w:rsidRPr="00662906">
              <w:rPr>
                <w:rFonts w:eastAsia="Arial" w:cs="Arial"/>
                <w:color w:val="394A58"/>
                <w:sz w:val="16"/>
                <w:szCs w:val="16"/>
              </w:rPr>
              <w:t>Develop technical training modules on clean cooking equipment design, production, and maintenance</w:t>
            </w:r>
          </w:p>
          <w:p w14:paraId="4E3BEB45" w14:textId="19FDEF07" w:rsidR="001917D5" w:rsidRPr="00662906" w:rsidRDefault="001917D5" w:rsidP="007E6C89">
            <w:pPr>
              <w:pStyle w:val="ListParagraph"/>
              <w:numPr>
                <w:ilvl w:val="0"/>
                <w:numId w:val="194"/>
              </w:numPr>
              <w:spacing w:before="40" w:after="40"/>
              <w:ind w:left="367"/>
              <w:jc w:val="center"/>
              <w:rPr>
                <w:rFonts w:eastAsia="Arial" w:cs="Arial"/>
                <w:color w:val="394A58"/>
                <w:sz w:val="16"/>
                <w:szCs w:val="16"/>
              </w:rPr>
            </w:pPr>
            <w:r w:rsidRPr="00662906">
              <w:rPr>
                <w:rFonts w:eastAsia="Arial" w:cs="Arial"/>
                <w:color w:val="394A58"/>
                <w:sz w:val="16"/>
                <w:szCs w:val="16"/>
              </w:rPr>
              <w:t>Conduct workshops in partnership with local technical schools</w:t>
            </w:r>
          </w:p>
          <w:p w14:paraId="6BBDA136" w14:textId="194E35E6" w:rsidR="001917D5" w:rsidRPr="00662906" w:rsidRDefault="001917D5" w:rsidP="007E6C89">
            <w:pPr>
              <w:pStyle w:val="ListParagraph"/>
              <w:numPr>
                <w:ilvl w:val="0"/>
                <w:numId w:val="194"/>
              </w:numPr>
              <w:spacing w:before="40" w:after="40"/>
              <w:ind w:left="367"/>
              <w:jc w:val="center"/>
              <w:rPr>
                <w:rFonts w:eastAsia="Arial" w:cs="Arial"/>
                <w:color w:val="394A58"/>
                <w:sz w:val="16"/>
                <w:szCs w:val="16"/>
              </w:rPr>
            </w:pPr>
            <w:r w:rsidRPr="00662906">
              <w:rPr>
                <w:rFonts w:eastAsia="Arial" w:cs="Arial"/>
                <w:color w:val="394A58"/>
                <w:sz w:val="16"/>
                <w:szCs w:val="16"/>
              </w:rPr>
              <w:t>Provide seed grants or toolkits to promising trainees</w:t>
            </w:r>
          </w:p>
          <w:p w14:paraId="75161D8F" w14:textId="0364D2DA" w:rsidR="001917D5" w:rsidRPr="00662906" w:rsidRDefault="00AE7D1F" w:rsidP="007E6C89">
            <w:pPr>
              <w:pStyle w:val="ListParagraph"/>
              <w:numPr>
                <w:ilvl w:val="0"/>
                <w:numId w:val="194"/>
              </w:numPr>
              <w:spacing w:before="40" w:after="40"/>
              <w:ind w:left="367"/>
              <w:jc w:val="center"/>
              <w:rPr>
                <w:rFonts w:eastAsia="Arial" w:cs="Arial"/>
                <w:color w:val="394A58"/>
                <w:sz w:val="16"/>
                <w:szCs w:val="16"/>
              </w:rPr>
            </w:pPr>
            <w:r w:rsidRPr="00662906">
              <w:rPr>
                <w:rFonts w:eastAsia="Arial" w:cs="Arial"/>
                <w:color w:val="394A58"/>
                <w:sz w:val="16"/>
                <w:szCs w:val="16"/>
              </w:rPr>
              <w:t>Establish</w:t>
            </w:r>
            <w:r w:rsidR="001917D5" w:rsidRPr="00662906">
              <w:rPr>
                <w:rFonts w:eastAsia="Arial" w:cs="Arial"/>
                <w:color w:val="394A58"/>
                <w:sz w:val="16"/>
                <w:szCs w:val="16"/>
              </w:rPr>
              <w:t xml:space="preserve"> monitoring and support for newly skilled artisans</w:t>
            </w:r>
          </w:p>
        </w:tc>
        <w:tc>
          <w:tcPr>
            <w:tcW w:w="1276" w:type="dxa"/>
            <w:tcMar>
              <w:left w:w="57" w:type="dxa"/>
              <w:right w:w="57" w:type="dxa"/>
            </w:tcMar>
          </w:tcPr>
          <w:p w14:paraId="6C78F979" w14:textId="69662A36"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National (Pilot AU Member States)</w:t>
            </w:r>
          </w:p>
        </w:tc>
        <w:tc>
          <w:tcPr>
            <w:tcW w:w="1070" w:type="dxa"/>
            <w:tcMar>
              <w:left w:w="57" w:type="dxa"/>
              <w:right w:w="57" w:type="dxa"/>
            </w:tcMar>
          </w:tcPr>
          <w:p w14:paraId="780780FA" w14:textId="0F6E4DF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National Ministries of Trade and Industry</w:t>
            </w:r>
          </w:p>
        </w:tc>
        <w:tc>
          <w:tcPr>
            <w:tcW w:w="1198" w:type="dxa"/>
            <w:tcMar>
              <w:left w:w="57" w:type="dxa"/>
              <w:right w:w="57" w:type="dxa"/>
            </w:tcMar>
          </w:tcPr>
          <w:p w14:paraId="52EBF7EC" w14:textId="15B27366"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Technical Schools, Local Businesses</w:t>
            </w:r>
          </w:p>
        </w:tc>
        <w:tc>
          <w:tcPr>
            <w:tcW w:w="851" w:type="dxa"/>
            <w:tcMar>
              <w:left w:w="57" w:type="dxa"/>
              <w:right w:w="57" w:type="dxa"/>
            </w:tcMar>
          </w:tcPr>
          <w:p w14:paraId="4192F160" w14:textId="7A01C207"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tcPr>
          <w:p w14:paraId="26187D6B" w14:textId="6004AA05" w:rsidR="001917D5" w:rsidRPr="00662906" w:rsidRDefault="00AE7D1F"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Training</w:t>
            </w:r>
            <w:r w:rsidR="001917D5" w:rsidRPr="00662906">
              <w:rPr>
                <w:rFonts w:eastAsia="Arial" w:cs="Arial"/>
                <w:color w:val="53575A"/>
                <w:sz w:val="16"/>
                <w:szCs w:val="16"/>
              </w:rPr>
              <w:t xml:space="preserve"> curricula and materials</w:t>
            </w:r>
          </w:p>
          <w:p w14:paraId="14904891" w14:textId="3BA54615"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Skilled artisan registry</w:t>
            </w:r>
          </w:p>
          <w:p w14:paraId="09F2CD3B" w14:textId="72697A82"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Seed grants/toolkits distributed</w:t>
            </w:r>
          </w:p>
        </w:tc>
        <w:tc>
          <w:tcPr>
            <w:tcW w:w="1701" w:type="dxa"/>
          </w:tcPr>
          <w:p w14:paraId="42B807CE" w14:textId="4E848A01"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Boosted local capacity to produce and maintain clean cooking appliances, expanding the supply chain and generating employment</w:t>
            </w:r>
          </w:p>
        </w:tc>
        <w:tc>
          <w:tcPr>
            <w:tcW w:w="1843" w:type="dxa"/>
          </w:tcPr>
          <w:p w14:paraId="031ABB19"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training workshops</w:t>
            </w:r>
          </w:p>
          <w:p w14:paraId="431816AE"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Skilled artisans certified (Yes/No)</w:t>
            </w:r>
          </w:p>
          <w:p w14:paraId="375EA1B2" w14:textId="5E2EC3BD"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Toolkits/grants provided (Yes/No)</w:t>
            </w:r>
          </w:p>
        </w:tc>
      </w:tr>
      <w:tr w:rsidR="001917D5" w:rsidRPr="00662906" w14:paraId="74E78822" w14:textId="77777777" w:rsidTr="007E6C89">
        <w:trPr>
          <w:trHeight w:val="300"/>
        </w:trPr>
        <w:tc>
          <w:tcPr>
            <w:tcW w:w="167" w:type="dxa"/>
            <w:shd w:val="clear" w:color="auto" w:fill="FFFFFF"/>
            <w:tcMar>
              <w:left w:w="57" w:type="dxa"/>
              <w:right w:w="57" w:type="dxa"/>
            </w:tcMar>
          </w:tcPr>
          <w:p w14:paraId="4ABA46D9" w14:textId="77777777" w:rsidR="001917D5" w:rsidRPr="00662906" w:rsidRDefault="001917D5" w:rsidP="007E6C89">
            <w:pPr>
              <w:spacing w:before="40" w:after="40"/>
              <w:jc w:val="center"/>
              <w:rPr>
                <w:rFonts w:eastAsia="Arial" w:cs="Arial"/>
                <w:color w:val="53575A"/>
                <w:sz w:val="16"/>
                <w:szCs w:val="16"/>
              </w:rPr>
            </w:pPr>
            <w:r w:rsidRPr="00662906">
              <w:rPr>
                <w:rFonts w:eastAsia="Arial" w:cs="Arial"/>
                <w:color w:val="53575A"/>
                <w:sz w:val="16"/>
                <w:szCs w:val="16"/>
              </w:rPr>
              <w:t>7</w:t>
            </w:r>
          </w:p>
        </w:tc>
        <w:tc>
          <w:tcPr>
            <w:tcW w:w="1248" w:type="dxa"/>
            <w:tcMar>
              <w:left w:w="57" w:type="dxa"/>
              <w:right w:w="57" w:type="dxa"/>
            </w:tcMar>
          </w:tcPr>
          <w:p w14:paraId="673CC207" w14:textId="30AC4767"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Coordinate with Religious and Traditional Leaders</w:t>
            </w:r>
          </w:p>
        </w:tc>
        <w:tc>
          <w:tcPr>
            <w:tcW w:w="3260" w:type="dxa"/>
            <w:tcBorders>
              <w:top w:val="single" w:sz="4" w:space="0" w:color="9F2241"/>
              <w:left w:val="nil"/>
              <w:bottom w:val="single" w:sz="4" w:space="0" w:color="9F2241"/>
              <w:right w:val="nil"/>
            </w:tcBorders>
            <w:tcMar>
              <w:left w:w="57" w:type="dxa"/>
              <w:right w:w="57" w:type="dxa"/>
            </w:tcMar>
          </w:tcPr>
          <w:p w14:paraId="6BB58F13" w14:textId="29052C7B" w:rsidR="001917D5" w:rsidRPr="00662906" w:rsidRDefault="001917D5" w:rsidP="007E6C89">
            <w:pPr>
              <w:pStyle w:val="ListParagraph"/>
              <w:numPr>
                <w:ilvl w:val="0"/>
                <w:numId w:val="195"/>
              </w:numPr>
              <w:spacing w:before="40" w:after="40"/>
              <w:ind w:left="367"/>
              <w:jc w:val="center"/>
              <w:rPr>
                <w:rFonts w:eastAsia="Arial" w:cs="Arial"/>
                <w:color w:val="394A58"/>
                <w:sz w:val="16"/>
                <w:szCs w:val="16"/>
              </w:rPr>
            </w:pPr>
            <w:r w:rsidRPr="00662906">
              <w:rPr>
                <w:rFonts w:eastAsia="Arial" w:cs="Arial"/>
                <w:color w:val="394A58"/>
                <w:sz w:val="16"/>
                <w:szCs w:val="16"/>
              </w:rPr>
              <w:t>Identify influential religious and community figures interested in promoting clean cooking</w:t>
            </w:r>
          </w:p>
          <w:p w14:paraId="2F3EB28E" w14:textId="3FA6D188" w:rsidR="001917D5" w:rsidRPr="00662906" w:rsidRDefault="001917D5" w:rsidP="007E6C89">
            <w:pPr>
              <w:pStyle w:val="ListParagraph"/>
              <w:numPr>
                <w:ilvl w:val="0"/>
                <w:numId w:val="195"/>
              </w:numPr>
              <w:spacing w:before="40" w:after="40"/>
              <w:ind w:left="367"/>
              <w:jc w:val="center"/>
              <w:rPr>
                <w:rFonts w:eastAsia="Arial" w:cs="Arial"/>
                <w:color w:val="394A58"/>
                <w:sz w:val="16"/>
                <w:szCs w:val="16"/>
              </w:rPr>
            </w:pPr>
            <w:r w:rsidRPr="00662906">
              <w:rPr>
                <w:rFonts w:eastAsia="Arial" w:cs="Arial"/>
                <w:color w:val="394A58"/>
                <w:sz w:val="16"/>
                <w:szCs w:val="16"/>
              </w:rPr>
              <w:t>Develop tailored messages emphasizing health, economic, and environmental benefits</w:t>
            </w:r>
          </w:p>
          <w:p w14:paraId="1354C5BC" w14:textId="1008C3F3" w:rsidR="001917D5" w:rsidRPr="00662906" w:rsidRDefault="001917D5" w:rsidP="007E6C89">
            <w:pPr>
              <w:pStyle w:val="ListParagraph"/>
              <w:numPr>
                <w:ilvl w:val="0"/>
                <w:numId w:val="195"/>
              </w:numPr>
              <w:spacing w:before="40" w:after="40"/>
              <w:ind w:left="367"/>
              <w:jc w:val="center"/>
              <w:rPr>
                <w:rFonts w:eastAsia="Arial" w:cs="Arial"/>
                <w:color w:val="394A58"/>
                <w:sz w:val="16"/>
                <w:szCs w:val="16"/>
              </w:rPr>
            </w:pPr>
            <w:r w:rsidRPr="00662906">
              <w:rPr>
                <w:rFonts w:eastAsia="Arial" w:cs="Arial"/>
                <w:color w:val="394A58"/>
                <w:sz w:val="16"/>
                <w:szCs w:val="16"/>
              </w:rPr>
              <w:t>Conduct orientation sessions to align leaders with campaign goals</w:t>
            </w:r>
          </w:p>
          <w:p w14:paraId="3D9924B9" w14:textId="11639538" w:rsidR="001917D5" w:rsidRPr="00662906" w:rsidRDefault="001917D5" w:rsidP="007E6C89">
            <w:pPr>
              <w:pStyle w:val="ListParagraph"/>
              <w:numPr>
                <w:ilvl w:val="0"/>
                <w:numId w:val="195"/>
              </w:numPr>
              <w:spacing w:before="40" w:after="40"/>
              <w:ind w:left="367"/>
              <w:jc w:val="center"/>
              <w:rPr>
                <w:rFonts w:eastAsia="Arial" w:cs="Arial"/>
                <w:color w:val="394A58"/>
                <w:sz w:val="16"/>
                <w:szCs w:val="16"/>
              </w:rPr>
            </w:pPr>
            <w:r w:rsidRPr="00662906">
              <w:rPr>
                <w:rFonts w:eastAsia="Arial" w:cs="Arial"/>
                <w:color w:val="394A58"/>
                <w:sz w:val="16"/>
                <w:szCs w:val="16"/>
              </w:rPr>
              <w:t>Organize local events led by these trusted figures</w:t>
            </w:r>
          </w:p>
        </w:tc>
        <w:tc>
          <w:tcPr>
            <w:tcW w:w="1276" w:type="dxa"/>
            <w:tcMar>
              <w:left w:w="57" w:type="dxa"/>
              <w:right w:w="57" w:type="dxa"/>
            </w:tcMar>
          </w:tcPr>
          <w:p w14:paraId="3722A386" w14:textId="307D8CAA"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Regional</w:t>
            </w:r>
          </w:p>
        </w:tc>
        <w:tc>
          <w:tcPr>
            <w:tcW w:w="1070" w:type="dxa"/>
            <w:tcMar>
              <w:left w:w="57" w:type="dxa"/>
              <w:right w:w="57" w:type="dxa"/>
            </w:tcMar>
          </w:tcPr>
          <w:p w14:paraId="46E82F1C" w14:textId="5B8A34FE"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RECs</w:t>
            </w:r>
          </w:p>
        </w:tc>
        <w:tc>
          <w:tcPr>
            <w:tcW w:w="1198" w:type="dxa"/>
            <w:tcMar>
              <w:left w:w="57" w:type="dxa"/>
              <w:right w:w="57" w:type="dxa"/>
            </w:tcMar>
          </w:tcPr>
          <w:p w14:paraId="5464206F" w14:textId="601FC8F1"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Religious Institutions, Traditional Councils</w:t>
            </w:r>
          </w:p>
        </w:tc>
        <w:tc>
          <w:tcPr>
            <w:tcW w:w="851" w:type="dxa"/>
            <w:tcMar>
              <w:left w:w="57" w:type="dxa"/>
              <w:right w:w="57" w:type="dxa"/>
            </w:tcMar>
          </w:tcPr>
          <w:p w14:paraId="203D254F" w14:textId="3E6CA922"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Short-Long Term</w:t>
            </w:r>
          </w:p>
        </w:tc>
        <w:tc>
          <w:tcPr>
            <w:tcW w:w="1842" w:type="dxa"/>
          </w:tcPr>
          <w:p w14:paraId="2FDAC71D" w14:textId="0E21EDF3"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List of engaged religious/traditional leaders</w:t>
            </w:r>
          </w:p>
          <w:p w14:paraId="771560E6" w14:textId="46B242F7"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Orientation session materials</w:t>
            </w:r>
          </w:p>
          <w:p w14:paraId="765BD128" w14:textId="51BFA646"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Local events championed by community leaders</w:t>
            </w:r>
          </w:p>
        </w:tc>
        <w:tc>
          <w:tcPr>
            <w:tcW w:w="1701" w:type="dxa"/>
          </w:tcPr>
          <w:p w14:paraId="3B73D601" w14:textId="4DAF30BD"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Stronger advocacy for clean cooking solutions among culturally significant groups, leading to higher acceptance rates within diverse communities</w:t>
            </w:r>
          </w:p>
        </w:tc>
        <w:tc>
          <w:tcPr>
            <w:tcW w:w="1843" w:type="dxa"/>
          </w:tcPr>
          <w:p w14:paraId="56FD616C"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Leaders engaged (Yes/No)</w:t>
            </w:r>
          </w:p>
          <w:p w14:paraId="646C1A8D"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Orientation sessions conducted (Yes/No)</w:t>
            </w:r>
          </w:p>
          <w:p w14:paraId="5D63455C" w14:textId="612F08A9"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Increase in local event participation (Yes/No)</w:t>
            </w:r>
          </w:p>
        </w:tc>
      </w:tr>
      <w:tr w:rsidR="001917D5" w:rsidRPr="00662906" w14:paraId="13926E9F" w14:textId="77777777" w:rsidTr="007E6C89">
        <w:trPr>
          <w:trHeight w:val="300"/>
        </w:trPr>
        <w:tc>
          <w:tcPr>
            <w:tcW w:w="167" w:type="dxa"/>
            <w:shd w:val="clear" w:color="auto" w:fill="FFFFFF"/>
            <w:tcMar>
              <w:left w:w="57" w:type="dxa"/>
              <w:right w:w="57" w:type="dxa"/>
            </w:tcMar>
          </w:tcPr>
          <w:p w14:paraId="015C4E8F" w14:textId="77777777" w:rsidR="001917D5" w:rsidRPr="00662906" w:rsidRDefault="001917D5" w:rsidP="007E6C89">
            <w:pPr>
              <w:spacing w:before="40" w:after="40"/>
              <w:jc w:val="center"/>
              <w:rPr>
                <w:rFonts w:eastAsia="Arial" w:cs="Arial"/>
                <w:color w:val="53575A"/>
                <w:sz w:val="16"/>
                <w:szCs w:val="16"/>
              </w:rPr>
            </w:pPr>
            <w:r w:rsidRPr="00662906">
              <w:rPr>
                <w:rFonts w:eastAsia="Arial" w:cs="Arial"/>
                <w:color w:val="53575A"/>
                <w:sz w:val="16"/>
                <w:szCs w:val="16"/>
              </w:rPr>
              <w:t>8</w:t>
            </w:r>
          </w:p>
        </w:tc>
        <w:tc>
          <w:tcPr>
            <w:tcW w:w="1248" w:type="dxa"/>
            <w:tcMar>
              <w:left w:w="57" w:type="dxa"/>
              <w:right w:w="57" w:type="dxa"/>
            </w:tcMar>
          </w:tcPr>
          <w:p w14:paraId="4D3E63B8" w14:textId="5C3C1109"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Produce and Distribute Clean Cooking Educational Material</w:t>
            </w:r>
          </w:p>
        </w:tc>
        <w:tc>
          <w:tcPr>
            <w:tcW w:w="3260" w:type="dxa"/>
            <w:tcBorders>
              <w:top w:val="single" w:sz="4" w:space="0" w:color="9F2241"/>
              <w:left w:val="nil"/>
              <w:bottom w:val="single" w:sz="4" w:space="0" w:color="9F2241"/>
              <w:right w:val="nil"/>
            </w:tcBorders>
            <w:tcMar>
              <w:left w:w="57" w:type="dxa"/>
              <w:right w:w="57" w:type="dxa"/>
            </w:tcMar>
          </w:tcPr>
          <w:p w14:paraId="1C1485E6" w14:textId="2C7BAA04" w:rsidR="001917D5" w:rsidRPr="00662906" w:rsidRDefault="001917D5" w:rsidP="007E6C89">
            <w:pPr>
              <w:pStyle w:val="ListParagraph"/>
              <w:numPr>
                <w:ilvl w:val="0"/>
                <w:numId w:val="196"/>
              </w:numPr>
              <w:spacing w:before="40" w:after="40"/>
              <w:ind w:left="367"/>
              <w:jc w:val="center"/>
              <w:rPr>
                <w:rFonts w:eastAsia="Arial" w:cs="Arial"/>
                <w:color w:val="394A58"/>
                <w:sz w:val="16"/>
                <w:szCs w:val="16"/>
              </w:rPr>
            </w:pPr>
            <w:r w:rsidRPr="00662906">
              <w:rPr>
                <w:rFonts w:eastAsia="Arial" w:cs="Arial"/>
                <w:color w:val="394A58"/>
                <w:sz w:val="16"/>
                <w:szCs w:val="16"/>
              </w:rPr>
              <w:t>Design culturally relevant brochures, posters, and flyers in local languages</w:t>
            </w:r>
          </w:p>
          <w:p w14:paraId="5A617D9A" w14:textId="200C014A" w:rsidR="001917D5" w:rsidRPr="00662906" w:rsidRDefault="001917D5" w:rsidP="007E6C89">
            <w:pPr>
              <w:pStyle w:val="ListParagraph"/>
              <w:numPr>
                <w:ilvl w:val="0"/>
                <w:numId w:val="196"/>
              </w:numPr>
              <w:spacing w:before="40" w:after="40"/>
              <w:ind w:left="367"/>
              <w:jc w:val="center"/>
              <w:rPr>
                <w:rFonts w:eastAsia="Arial" w:cs="Arial"/>
                <w:color w:val="394A58"/>
                <w:sz w:val="16"/>
                <w:szCs w:val="16"/>
              </w:rPr>
            </w:pPr>
            <w:r w:rsidRPr="00662906">
              <w:rPr>
                <w:rFonts w:eastAsia="Arial" w:cs="Arial"/>
                <w:color w:val="394A58"/>
                <w:sz w:val="16"/>
                <w:szCs w:val="16"/>
              </w:rPr>
              <w:t xml:space="preserve">Partner with public libraries and community </w:t>
            </w:r>
            <w:r w:rsidR="00AE7D1F" w:rsidRPr="00662906">
              <w:rPr>
                <w:rFonts w:eastAsia="Arial" w:cs="Arial"/>
                <w:color w:val="394A58"/>
                <w:sz w:val="16"/>
                <w:szCs w:val="16"/>
              </w:rPr>
              <w:t>centres</w:t>
            </w:r>
            <w:r w:rsidRPr="00662906">
              <w:rPr>
                <w:rFonts w:eastAsia="Arial" w:cs="Arial"/>
                <w:color w:val="394A58"/>
                <w:sz w:val="16"/>
                <w:szCs w:val="16"/>
              </w:rPr>
              <w:t xml:space="preserve"> for distribution</w:t>
            </w:r>
          </w:p>
          <w:p w14:paraId="691C6DDC" w14:textId="4580FF0B" w:rsidR="001917D5" w:rsidRPr="00662906" w:rsidRDefault="001917D5" w:rsidP="007E6C89">
            <w:pPr>
              <w:pStyle w:val="ListParagraph"/>
              <w:numPr>
                <w:ilvl w:val="0"/>
                <w:numId w:val="196"/>
              </w:numPr>
              <w:spacing w:before="40" w:after="40"/>
              <w:ind w:left="367"/>
              <w:jc w:val="center"/>
              <w:rPr>
                <w:rFonts w:eastAsia="Arial" w:cs="Arial"/>
                <w:color w:val="394A58"/>
                <w:sz w:val="16"/>
                <w:szCs w:val="16"/>
              </w:rPr>
            </w:pPr>
            <w:r w:rsidRPr="00662906">
              <w:rPr>
                <w:rFonts w:eastAsia="Arial" w:cs="Arial"/>
                <w:color w:val="394A58"/>
                <w:sz w:val="16"/>
                <w:szCs w:val="16"/>
              </w:rPr>
              <w:t>Provide digital versions for wider online dissemination</w:t>
            </w:r>
          </w:p>
          <w:p w14:paraId="475B90C8" w14:textId="20CC6282" w:rsidR="001917D5" w:rsidRPr="00662906" w:rsidRDefault="001917D5" w:rsidP="007E6C89">
            <w:pPr>
              <w:pStyle w:val="ListParagraph"/>
              <w:numPr>
                <w:ilvl w:val="0"/>
                <w:numId w:val="196"/>
              </w:numPr>
              <w:spacing w:before="40" w:after="40"/>
              <w:ind w:left="367"/>
              <w:jc w:val="center"/>
              <w:rPr>
                <w:rFonts w:eastAsia="Arial" w:cs="Arial"/>
                <w:color w:val="394A58"/>
                <w:sz w:val="16"/>
                <w:szCs w:val="16"/>
              </w:rPr>
            </w:pPr>
            <w:r w:rsidRPr="00662906">
              <w:rPr>
                <w:rFonts w:eastAsia="Arial" w:cs="Arial"/>
                <w:color w:val="394A58"/>
                <w:sz w:val="16"/>
                <w:szCs w:val="16"/>
              </w:rPr>
              <w:t>Collect feedback to improve materials</w:t>
            </w:r>
          </w:p>
        </w:tc>
        <w:tc>
          <w:tcPr>
            <w:tcW w:w="1276" w:type="dxa"/>
            <w:tcMar>
              <w:left w:w="57" w:type="dxa"/>
              <w:right w:w="57" w:type="dxa"/>
            </w:tcMar>
          </w:tcPr>
          <w:p w14:paraId="1ECE2D70" w14:textId="728F8466" w:rsidR="001917D5" w:rsidRPr="00662906" w:rsidRDefault="001917D5" w:rsidP="007E6C89">
            <w:pPr>
              <w:spacing w:before="40" w:after="40"/>
              <w:jc w:val="center"/>
              <w:rPr>
                <w:rFonts w:cs="Arial"/>
                <w:sz w:val="16"/>
                <w:szCs w:val="16"/>
              </w:rPr>
            </w:pPr>
            <w:r w:rsidRPr="00662906">
              <w:rPr>
                <w:rFonts w:cs="Arial"/>
                <w:sz w:val="16"/>
                <w:szCs w:val="16"/>
              </w:rPr>
              <w:t>National (Pilot AU Member States)</w:t>
            </w:r>
          </w:p>
        </w:tc>
        <w:tc>
          <w:tcPr>
            <w:tcW w:w="1070" w:type="dxa"/>
            <w:tcMar>
              <w:left w:w="57" w:type="dxa"/>
              <w:right w:w="57" w:type="dxa"/>
            </w:tcMar>
          </w:tcPr>
          <w:p w14:paraId="66B1E0ED" w14:textId="02BBB999" w:rsidR="001917D5" w:rsidRPr="00662906" w:rsidRDefault="001917D5" w:rsidP="007E6C89">
            <w:pPr>
              <w:spacing w:before="40" w:after="40"/>
              <w:jc w:val="center"/>
              <w:rPr>
                <w:rFonts w:cs="Arial"/>
                <w:sz w:val="16"/>
                <w:szCs w:val="16"/>
              </w:rPr>
            </w:pPr>
            <w:r w:rsidRPr="00662906">
              <w:rPr>
                <w:rFonts w:cs="Arial"/>
                <w:sz w:val="16"/>
                <w:szCs w:val="16"/>
              </w:rPr>
              <w:t>Ministries of Energy, Food, Agriculture</w:t>
            </w:r>
          </w:p>
        </w:tc>
        <w:tc>
          <w:tcPr>
            <w:tcW w:w="1198" w:type="dxa"/>
            <w:tcMar>
              <w:left w:w="57" w:type="dxa"/>
              <w:right w:w="57" w:type="dxa"/>
            </w:tcMar>
          </w:tcPr>
          <w:p w14:paraId="510EC9A0" w14:textId="06ACC8E3" w:rsidR="001917D5" w:rsidRPr="00662906" w:rsidRDefault="001917D5" w:rsidP="007E6C89">
            <w:pPr>
              <w:spacing w:before="40" w:after="40"/>
              <w:jc w:val="center"/>
              <w:rPr>
                <w:rFonts w:cs="Arial"/>
                <w:sz w:val="16"/>
                <w:szCs w:val="16"/>
              </w:rPr>
            </w:pPr>
            <w:r w:rsidRPr="00662906">
              <w:rPr>
                <w:rFonts w:cs="Arial"/>
                <w:sz w:val="16"/>
                <w:szCs w:val="16"/>
              </w:rPr>
              <w:t>Educational Institutes, Public Libraries</w:t>
            </w:r>
          </w:p>
        </w:tc>
        <w:tc>
          <w:tcPr>
            <w:tcW w:w="851" w:type="dxa"/>
            <w:tcMar>
              <w:left w:w="57" w:type="dxa"/>
              <w:right w:w="57" w:type="dxa"/>
            </w:tcMar>
          </w:tcPr>
          <w:p w14:paraId="3F59DDAF" w14:textId="2DA36736" w:rsidR="001917D5" w:rsidRPr="00662906" w:rsidRDefault="001917D5" w:rsidP="007E6C89">
            <w:pPr>
              <w:spacing w:before="40" w:after="40"/>
              <w:jc w:val="center"/>
              <w:rPr>
                <w:rFonts w:cs="Arial"/>
                <w:sz w:val="16"/>
                <w:szCs w:val="16"/>
              </w:rPr>
            </w:pPr>
            <w:r w:rsidRPr="00662906">
              <w:rPr>
                <w:rFonts w:cs="Arial"/>
                <w:sz w:val="16"/>
                <w:szCs w:val="16"/>
              </w:rPr>
              <w:t>Short-Long Term</w:t>
            </w:r>
          </w:p>
        </w:tc>
        <w:tc>
          <w:tcPr>
            <w:tcW w:w="1842" w:type="dxa"/>
          </w:tcPr>
          <w:p w14:paraId="47735BA5" w14:textId="42F13FB7"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Printed and digital educational materials</w:t>
            </w:r>
          </w:p>
          <w:p w14:paraId="2F8FB13E" w14:textId="43C75959"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Distribution agreements with libraries/</w:t>
            </w:r>
            <w:r w:rsidR="00AE7D1F" w:rsidRPr="00662906">
              <w:rPr>
                <w:rFonts w:eastAsia="Arial" w:cs="Arial"/>
                <w:color w:val="53575A"/>
                <w:sz w:val="16"/>
                <w:szCs w:val="16"/>
              </w:rPr>
              <w:t>centres</w:t>
            </w:r>
          </w:p>
          <w:p w14:paraId="7BCC2D32" w14:textId="5A052DD0"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Feedback forms from recipients</w:t>
            </w:r>
          </w:p>
        </w:tc>
        <w:tc>
          <w:tcPr>
            <w:tcW w:w="1701" w:type="dxa"/>
          </w:tcPr>
          <w:p w14:paraId="62EED198" w14:textId="09E78A7C" w:rsidR="001917D5" w:rsidRPr="00662906" w:rsidRDefault="001917D5" w:rsidP="007E6C89">
            <w:pPr>
              <w:spacing w:before="40" w:after="40"/>
              <w:jc w:val="center"/>
              <w:rPr>
                <w:rFonts w:eastAsia="Arial" w:cs="Arial"/>
                <w:color w:val="53575A"/>
                <w:sz w:val="16"/>
                <w:szCs w:val="16"/>
              </w:rPr>
            </w:pPr>
            <w:r w:rsidRPr="00662906">
              <w:rPr>
                <w:rFonts w:cs="Arial"/>
                <w:sz w:val="16"/>
                <w:szCs w:val="16"/>
              </w:rPr>
              <w:t xml:space="preserve">Greater public awareness of clean cooking benefits, boosting knowledge retention and driving </w:t>
            </w:r>
            <w:r w:rsidR="00AE7D1F" w:rsidRPr="00662906">
              <w:rPr>
                <w:rFonts w:cs="Arial"/>
                <w:sz w:val="16"/>
                <w:szCs w:val="16"/>
              </w:rPr>
              <w:t>behavioural</w:t>
            </w:r>
            <w:r w:rsidRPr="00662906">
              <w:rPr>
                <w:rFonts w:cs="Arial"/>
                <w:sz w:val="16"/>
                <w:szCs w:val="16"/>
              </w:rPr>
              <w:t xml:space="preserve"> shifts toward cleaner methods</w:t>
            </w:r>
          </w:p>
        </w:tc>
        <w:tc>
          <w:tcPr>
            <w:tcW w:w="1843" w:type="dxa"/>
          </w:tcPr>
          <w:p w14:paraId="58E32B63"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Materials produced (Yes/No)</w:t>
            </w:r>
          </w:p>
          <w:p w14:paraId="1E04636A" w14:textId="77777777" w:rsidR="001917D5" w:rsidRPr="00662906" w:rsidRDefault="001917D5" w:rsidP="007E6C89">
            <w:pPr>
              <w:pStyle w:val="ListParagraph"/>
              <w:numPr>
                <w:ilvl w:val="0"/>
                <w:numId w:val="63"/>
              </w:numPr>
              <w:spacing w:before="40" w:after="40"/>
              <w:ind w:left="321" w:right="-107"/>
              <w:jc w:val="center"/>
              <w:rPr>
                <w:rFonts w:eastAsia="Arial" w:cs="Arial"/>
                <w:color w:val="53575A"/>
                <w:sz w:val="16"/>
                <w:szCs w:val="16"/>
              </w:rPr>
            </w:pPr>
            <w:r w:rsidRPr="00662906">
              <w:rPr>
                <w:rFonts w:eastAsia="Arial" w:cs="Arial"/>
                <w:color w:val="53575A"/>
                <w:sz w:val="16"/>
                <w:szCs w:val="16"/>
              </w:rPr>
              <w:t>Distribution network established (Yes/No)</w:t>
            </w:r>
          </w:p>
          <w:p w14:paraId="262B94C2" w14:textId="29668E69"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Feedback collected (Yes/No)</w:t>
            </w:r>
          </w:p>
        </w:tc>
      </w:tr>
      <w:tr w:rsidR="001917D5" w:rsidRPr="00662906" w14:paraId="53CD5310" w14:textId="77777777" w:rsidTr="007E6C89">
        <w:trPr>
          <w:trHeight w:val="300"/>
        </w:trPr>
        <w:tc>
          <w:tcPr>
            <w:tcW w:w="167" w:type="dxa"/>
            <w:shd w:val="clear" w:color="auto" w:fill="FFFFFF"/>
            <w:tcMar>
              <w:left w:w="57" w:type="dxa"/>
              <w:right w:w="57" w:type="dxa"/>
            </w:tcMar>
          </w:tcPr>
          <w:p w14:paraId="3D92C1C0" w14:textId="77777777" w:rsidR="001917D5" w:rsidRPr="00662906" w:rsidRDefault="001917D5" w:rsidP="007E6C89">
            <w:pPr>
              <w:spacing w:before="40" w:after="40"/>
              <w:jc w:val="center"/>
              <w:rPr>
                <w:rFonts w:eastAsia="Arial" w:cs="Arial"/>
                <w:color w:val="53575A"/>
                <w:sz w:val="16"/>
                <w:szCs w:val="16"/>
              </w:rPr>
            </w:pPr>
            <w:r w:rsidRPr="00662906">
              <w:rPr>
                <w:rFonts w:eastAsia="Arial" w:cs="Arial"/>
                <w:color w:val="53575A"/>
                <w:sz w:val="16"/>
                <w:szCs w:val="16"/>
              </w:rPr>
              <w:lastRenderedPageBreak/>
              <w:t>9</w:t>
            </w:r>
          </w:p>
        </w:tc>
        <w:tc>
          <w:tcPr>
            <w:tcW w:w="1248" w:type="dxa"/>
            <w:shd w:val="clear" w:color="auto" w:fill="FFFFFF"/>
            <w:tcMar>
              <w:left w:w="57" w:type="dxa"/>
              <w:right w:w="57" w:type="dxa"/>
            </w:tcMar>
          </w:tcPr>
          <w:p w14:paraId="421FCAD3" w14:textId="07665F37" w:rsidR="001917D5" w:rsidRPr="00662906" w:rsidRDefault="001917D5" w:rsidP="007E6C89">
            <w:pPr>
              <w:spacing w:before="40" w:after="40"/>
              <w:jc w:val="center"/>
              <w:rPr>
                <w:rFonts w:cs="Arial"/>
                <w:sz w:val="16"/>
                <w:szCs w:val="16"/>
              </w:rPr>
            </w:pPr>
            <w:r w:rsidRPr="00662906">
              <w:rPr>
                <w:rFonts w:cs="Arial"/>
                <w:sz w:val="16"/>
                <w:szCs w:val="16"/>
              </w:rPr>
              <w:t>Organize Roadshows in Rural and Urban Areas</w:t>
            </w:r>
          </w:p>
        </w:tc>
        <w:tc>
          <w:tcPr>
            <w:tcW w:w="3260" w:type="dxa"/>
            <w:tcBorders>
              <w:top w:val="single" w:sz="4" w:space="0" w:color="9F2241"/>
              <w:left w:val="nil"/>
              <w:bottom w:val="single" w:sz="4" w:space="0" w:color="9F2241"/>
              <w:right w:val="nil"/>
            </w:tcBorders>
            <w:tcMar>
              <w:left w:w="57" w:type="dxa"/>
              <w:right w:w="57" w:type="dxa"/>
            </w:tcMar>
          </w:tcPr>
          <w:p w14:paraId="69295B82" w14:textId="6E6E0BE8" w:rsidR="001917D5" w:rsidRPr="00662906" w:rsidRDefault="001917D5" w:rsidP="007E6C89">
            <w:pPr>
              <w:pStyle w:val="ListParagraph"/>
              <w:numPr>
                <w:ilvl w:val="0"/>
                <w:numId w:val="197"/>
              </w:numPr>
              <w:spacing w:before="40" w:after="40"/>
              <w:ind w:left="367"/>
              <w:jc w:val="center"/>
              <w:rPr>
                <w:rFonts w:eastAsia="Arial" w:cs="Arial"/>
                <w:color w:val="394A58"/>
                <w:sz w:val="16"/>
                <w:szCs w:val="16"/>
              </w:rPr>
            </w:pPr>
            <w:r w:rsidRPr="00662906">
              <w:rPr>
                <w:rFonts w:eastAsia="Arial" w:cs="Arial"/>
                <w:color w:val="394A58"/>
                <w:sz w:val="16"/>
                <w:szCs w:val="16"/>
              </w:rPr>
              <w:t>Assemble mobile demonstration teams equipped with various clean cooking technologies</w:t>
            </w:r>
          </w:p>
          <w:p w14:paraId="72A86C9B" w14:textId="46B355AC" w:rsidR="001917D5" w:rsidRPr="00662906" w:rsidRDefault="001917D5" w:rsidP="007E6C89">
            <w:pPr>
              <w:pStyle w:val="ListParagraph"/>
              <w:numPr>
                <w:ilvl w:val="0"/>
                <w:numId w:val="197"/>
              </w:numPr>
              <w:spacing w:before="40" w:after="40"/>
              <w:ind w:left="367"/>
              <w:jc w:val="center"/>
              <w:rPr>
                <w:rFonts w:eastAsia="Arial" w:cs="Arial"/>
                <w:color w:val="394A58"/>
                <w:sz w:val="16"/>
                <w:szCs w:val="16"/>
              </w:rPr>
            </w:pPr>
            <w:r w:rsidRPr="00662906">
              <w:rPr>
                <w:rFonts w:eastAsia="Arial" w:cs="Arial"/>
                <w:color w:val="394A58"/>
                <w:sz w:val="16"/>
                <w:szCs w:val="16"/>
              </w:rPr>
              <w:t xml:space="preserve">Plan routes covering both densely populated urban </w:t>
            </w:r>
            <w:r w:rsidR="00AE7D1F" w:rsidRPr="00662906">
              <w:rPr>
                <w:rFonts w:eastAsia="Arial" w:cs="Arial"/>
                <w:color w:val="394A58"/>
                <w:sz w:val="16"/>
                <w:szCs w:val="16"/>
              </w:rPr>
              <w:t>centres</w:t>
            </w:r>
            <w:r w:rsidRPr="00662906">
              <w:rPr>
                <w:rFonts w:eastAsia="Arial" w:cs="Arial"/>
                <w:color w:val="394A58"/>
                <w:sz w:val="16"/>
                <w:szCs w:val="16"/>
              </w:rPr>
              <w:t xml:space="preserve"> and remote rural communities</w:t>
            </w:r>
          </w:p>
          <w:p w14:paraId="425B631B" w14:textId="65078814" w:rsidR="001917D5" w:rsidRPr="00662906" w:rsidRDefault="001917D5" w:rsidP="007E6C89">
            <w:pPr>
              <w:pStyle w:val="ListParagraph"/>
              <w:numPr>
                <w:ilvl w:val="0"/>
                <w:numId w:val="197"/>
              </w:numPr>
              <w:spacing w:before="40" w:after="40"/>
              <w:ind w:left="367"/>
              <w:jc w:val="center"/>
              <w:rPr>
                <w:rFonts w:eastAsia="Arial" w:cs="Arial"/>
                <w:color w:val="394A58"/>
                <w:sz w:val="16"/>
                <w:szCs w:val="16"/>
              </w:rPr>
            </w:pPr>
            <w:r w:rsidRPr="00662906">
              <w:rPr>
                <w:rFonts w:eastAsia="Arial" w:cs="Arial"/>
                <w:color w:val="394A58"/>
                <w:sz w:val="16"/>
                <w:szCs w:val="16"/>
              </w:rPr>
              <w:t>Conduct live demonstrations, Q&amp;A sessions, and instant feedback collection</w:t>
            </w:r>
          </w:p>
          <w:p w14:paraId="52DDDF15" w14:textId="121948E0" w:rsidR="001917D5" w:rsidRPr="00662906" w:rsidRDefault="001917D5" w:rsidP="007E6C89">
            <w:pPr>
              <w:pStyle w:val="ListParagraph"/>
              <w:numPr>
                <w:ilvl w:val="0"/>
                <w:numId w:val="197"/>
              </w:numPr>
              <w:spacing w:before="40" w:after="40"/>
              <w:ind w:left="367"/>
              <w:jc w:val="center"/>
              <w:rPr>
                <w:rFonts w:eastAsia="Arial" w:cs="Arial"/>
                <w:color w:val="394A58"/>
                <w:sz w:val="16"/>
                <w:szCs w:val="16"/>
              </w:rPr>
            </w:pPr>
            <w:r w:rsidRPr="00662906">
              <w:rPr>
                <w:rFonts w:eastAsia="Arial" w:cs="Arial"/>
                <w:color w:val="394A58"/>
                <w:sz w:val="16"/>
                <w:szCs w:val="16"/>
              </w:rPr>
              <w:t>Document adoption interest for follow-up support</w:t>
            </w:r>
          </w:p>
        </w:tc>
        <w:tc>
          <w:tcPr>
            <w:tcW w:w="1276" w:type="dxa"/>
            <w:shd w:val="clear" w:color="auto" w:fill="FFFFFF"/>
            <w:tcMar>
              <w:left w:w="57" w:type="dxa"/>
              <w:right w:w="57" w:type="dxa"/>
            </w:tcMar>
          </w:tcPr>
          <w:p w14:paraId="24C41906" w14:textId="70BB45AD" w:rsidR="001917D5" w:rsidRPr="00662906" w:rsidRDefault="001917D5" w:rsidP="007E6C89">
            <w:pPr>
              <w:spacing w:before="40" w:after="40"/>
              <w:jc w:val="center"/>
              <w:rPr>
                <w:rFonts w:cs="Arial"/>
                <w:sz w:val="16"/>
                <w:szCs w:val="16"/>
              </w:rPr>
            </w:pPr>
            <w:r w:rsidRPr="00662906">
              <w:rPr>
                <w:rFonts w:cs="Arial"/>
                <w:sz w:val="16"/>
                <w:szCs w:val="16"/>
              </w:rPr>
              <w:t>National (Pilot AU Member States)</w:t>
            </w:r>
          </w:p>
        </w:tc>
        <w:tc>
          <w:tcPr>
            <w:tcW w:w="1070" w:type="dxa"/>
            <w:shd w:val="clear" w:color="auto" w:fill="FFFFFF"/>
            <w:tcMar>
              <w:left w:w="57" w:type="dxa"/>
              <w:right w:w="57" w:type="dxa"/>
            </w:tcMar>
          </w:tcPr>
          <w:p w14:paraId="1200C057" w14:textId="3E380768" w:rsidR="001917D5" w:rsidRPr="00662906" w:rsidRDefault="001917D5" w:rsidP="007E6C89">
            <w:pPr>
              <w:spacing w:before="40" w:after="40"/>
              <w:jc w:val="center"/>
              <w:rPr>
                <w:rFonts w:cs="Arial"/>
                <w:sz w:val="16"/>
                <w:szCs w:val="16"/>
              </w:rPr>
            </w:pPr>
            <w:r w:rsidRPr="00662906">
              <w:rPr>
                <w:rFonts w:cs="Arial"/>
                <w:sz w:val="16"/>
                <w:szCs w:val="16"/>
              </w:rPr>
              <w:t>Ministries of Energy, Food, Agriculture</w:t>
            </w:r>
          </w:p>
        </w:tc>
        <w:tc>
          <w:tcPr>
            <w:tcW w:w="1198" w:type="dxa"/>
            <w:shd w:val="clear" w:color="auto" w:fill="FFFFFF"/>
            <w:tcMar>
              <w:left w:w="57" w:type="dxa"/>
              <w:right w:w="57" w:type="dxa"/>
            </w:tcMar>
          </w:tcPr>
          <w:p w14:paraId="41DF962F" w14:textId="7CDFC71F" w:rsidR="001917D5" w:rsidRPr="00662906" w:rsidRDefault="001917D5" w:rsidP="007E6C89">
            <w:pPr>
              <w:spacing w:before="40" w:after="40"/>
              <w:jc w:val="center"/>
              <w:rPr>
                <w:rFonts w:cs="Arial"/>
                <w:sz w:val="16"/>
                <w:szCs w:val="16"/>
              </w:rPr>
            </w:pPr>
            <w:r w:rsidRPr="00662906">
              <w:rPr>
                <w:rFonts w:cs="Arial"/>
                <w:sz w:val="16"/>
                <w:szCs w:val="16"/>
              </w:rPr>
              <w:t>Local NGOs, Community Centres</w:t>
            </w:r>
          </w:p>
        </w:tc>
        <w:tc>
          <w:tcPr>
            <w:tcW w:w="851" w:type="dxa"/>
            <w:shd w:val="clear" w:color="auto" w:fill="FFFFFF"/>
            <w:tcMar>
              <w:left w:w="57" w:type="dxa"/>
              <w:right w:w="57" w:type="dxa"/>
            </w:tcMar>
          </w:tcPr>
          <w:p w14:paraId="399154FA" w14:textId="2FE6F3FD" w:rsidR="001917D5" w:rsidRPr="00662906" w:rsidRDefault="001917D5" w:rsidP="007E6C89">
            <w:pPr>
              <w:spacing w:before="40" w:after="40"/>
              <w:jc w:val="center"/>
              <w:rPr>
                <w:rFonts w:cs="Arial"/>
                <w:sz w:val="16"/>
                <w:szCs w:val="16"/>
              </w:rPr>
            </w:pPr>
            <w:r w:rsidRPr="00662906">
              <w:rPr>
                <w:rFonts w:cs="Arial"/>
                <w:sz w:val="16"/>
                <w:szCs w:val="16"/>
              </w:rPr>
              <w:t>Short Term</w:t>
            </w:r>
          </w:p>
        </w:tc>
        <w:tc>
          <w:tcPr>
            <w:tcW w:w="1842" w:type="dxa"/>
            <w:shd w:val="clear" w:color="auto" w:fill="FFFFFF"/>
          </w:tcPr>
          <w:p w14:paraId="0CEECD46" w14:textId="0C2CBB38"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Roadshow event schedules</w:t>
            </w:r>
          </w:p>
          <w:p w14:paraId="4045B299" w14:textId="7C08CB9E"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Demonstration kits and informational brochures</w:t>
            </w:r>
          </w:p>
          <w:p w14:paraId="24B6B475" w14:textId="2BE81420" w:rsidR="001917D5" w:rsidRPr="00662906" w:rsidRDefault="001917D5" w:rsidP="007E6C89">
            <w:pPr>
              <w:pStyle w:val="ListParagraph"/>
              <w:numPr>
                <w:ilvl w:val="0"/>
                <w:numId w:val="63"/>
              </w:numPr>
              <w:spacing w:before="40" w:after="40"/>
              <w:ind w:left="318"/>
              <w:jc w:val="center"/>
              <w:rPr>
                <w:rFonts w:eastAsia="Arial" w:cs="Arial"/>
                <w:color w:val="53575A"/>
                <w:sz w:val="16"/>
                <w:szCs w:val="16"/>
              </w:rPr>
            </w:pPr>
            <w:r w:rsidRPr="00662906">
              <w:rPr>
                <w:rFonts w:eastAsia="Arial" w:cs="Arial"/>
                <w:color w:val="53575A"/>
                <w:sz w:val="16"/>
                <w:szCs w:val="16"/>
              </w:rPr>
              <w:t>Database of interested households/businesses</w:t>
            </w:r>
          </w:p>
        </w:tc>
        <w:tc>
          <w:tcPr>
            <w:tcW w:w="1701" w:type="dxa"/>
            <w:shd w:val="clear" w:color="auto" w:fill="FFFFFF"/>
          </w:tcPr>
          <w:p w14:paraId="1035BB1B" w14:textId="05F651FC" w:rsidR="001917D5" w:rsidRPr="00662906" w:rsidRDefault="001917D5" w:rsidP="007E6C89">
            <w:pPr>
              <w:spacing w:before="40" w:after="40"/>
              <w:jc w:val="center"/>
              <w:rPr>
                <w:rFonts w:cs="Arial"/>
                <w:sz w:val="16"/>
                <w:szCs w:val="16"/>
              </w:rPr>
            </w:pPr>
            <w:r w:rsidRPr="00662906">
              <w:rPr>
                <w:rFonts w:cs="Arial"/>
                <w:sz w:val="16"/>
                <w:szCs w:val="16"/>
              </w:rPr>
              <w:t xml:space="preserve">Increased public awareness and understanding of clean cooking benefits, </w:t>
            </w:r>
            <w:r w:rsidR="00AE7D1F" w:rsidRPr="00662906">
              <w:rPr>
                <w:rFonts w:cs="Arial"/>
                <w:sz w:val="16"/>
                <w:szCs w:val="16"/>
              </w:rPr>
              <w:t>catalysing</w:t>
            </w:r>
            <w:r w:rsidRPr="00662906">
              <w:rPr>
                <w:rFonts w:cs="Arial"/>
                <w:sz w:val="16"/>
                <w:szCs w:val="16"/>
              </w:rPr>
              <w:t xml:space="preserve"> larger-scale </w:t>
            </w:r>
            <w:r w:rsidR="00AE7D1F" w:rsidRPr="00662906">
              <w:rPr>
                <w:rFonts w:cs="Arial"/>
                <w:sz w:val="16"/>
                <w:szCs w:val="16"/>
              </w:rPr>
              <w:t>behaviour</w:t>
            </w:r>
            <w:r w:rsidRPr="00662906">
              <w:rPr>
                <w:rFonts w:cs="Arial"/>
                <w:sz w:val="16"/>
                <w:szCs w:val="16"/>
              </w:rPr>
              <w:t xml:space="preserve"> change in households</w:t>
            </w:r>
          </w:p>
        </w:tc>
        <w:tc>
          <w:tcPr>
            <w:tcW w:w="1843" w:type="dxa"/>
            <w:shd w:val="clear" w:color="auto" w:fill="FFFFFF"/>
          </w:tcPr>
          <w:p w14:paraId="58AD26A8"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Number of roadshows conducted</w:t>
            </w:r>
          </w:p>
          <w:p w14:paraId="42C37C19" w14:textId="77777777"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Urban vs. rural coverage (Yes/No)</w:t>
            </w:r>
          </w:p>
          <w:p w14:paraId="55FFDCFA" w14:textId="27E6226D" w:rsidR="001917D5" w:rsidRPr="00662906" w:rsidRDefault="001917D5" w:rsidP="007E6C89">
            <w:pPr>
              <w:pStyle w:val="ListParagraph"/>
              <w:numPr>
                <w:ilvl w:val="0"/>
                <w:numId w:val="63"/>
              </w:numPr>
              <w:spacing w:before="40" w:after="40"/>
              <w:ind w:left="321"/>
              <w:jc w:val="center"/>
              <w:rPr>
                <w:rFonts w:eastAsia="Arial" w:cs="Arial"/>
                <w:color w:val="53575A"/>
                <w:sz w:val="16"/>
                <w:szCs w:val="16"/>
              </w:rPr>
            </w:pPr>
            <w:r w:rsidRPr="00662906">
              <w:rPr>
                <w:rFonts w:eastAsia="Arial" w:cs="Arial"/>
                <w:color w:val="53575A"/>
                <w:sz w:val="16"/>
                <w:szCs w:val="16"/>
              </w:rPr>
              <w:t>Documented follow-up interest (Yes/No)</w:t>
            </w:r>
          </w:p>
        </w:tc>
      </w:tr>
    </w:tbl>
    <w:p w14:paraId="31EF0100" w14:textId="229D0383" w:rsidR="00F60D6E" w:rsidRPr="00662906" w:rsidRDefault="00B30EC3" w:rsidP="00B30EC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5463F222" w14:textId="77777777" w:rsidR="00FB5D0C" w:rsidRPr="00662906" w:rsidRDefault="00FB5D0C" w:rsidP="00F55014">
      <w:pPr>
        <w:pStyle w:val="Heading2"/>
        <w:sectPr w:rsidR="00FB5D0C" w:rsidRPr="00662906" w:rsidSect="005852FE">
          <w:pgSz w:w="16838" w:h="11906" w:orient="landscape"/>
          <w:pgMar w:top="1440" w:right="1440" w:bottom="1440" w:left="1440" w:header="720" w:footer="720" w:gutter="0"/>
          <w:cols w:space="720"/>
          <w:titlePg/>
          <w:docGrid w:linePitch="360"/>
        </w:sectPr>
      </w:pPr>
      <w:bookmarkStart w:id="708" w:name="_Toc176190961"/>
      <w:bookmarkStart w:id="709" w:name="_Toc176191127"/>
      <w:bookmarkStart w:id="710" w:name="_Toc176341846"/>
      <w:bookmarkStart w:id="711" w:name="_Toc176430240"/>
      <w:bookmarkStart w:id="712" w:name="_Toc176430297"/>
      <w:bookmarkStart w:id="713" w:name="_Toc176441430"/>
      <w:bookmarkStart w:id="714" w:name="_Toc176442085"/>
      <w:bookmarkStart w:id="715" w:name="_Toc178937498"/>
    </w:p>
    <w:p w14:paraId="6A6D17FF" w14:textId="07A7E26F" w:rsidR="00F60D6E" w:rsidRPr="00662906" w:rsidRDefault="00F60D6E" w:rsidP="00F55014">
      <w:pPr>
        <w:pStyle w:val="Heading2"/>
      </w:pPr>
      <w:bookmarkStart w:id="716" w:name="_Toc197433863"/>
      <w:r w:rsidRPr="00662906">
        <w:lastRenderedPageBreak/>
        <w:t xml:space="preserve">Summarized </w:t>
      </w:r>
      <w:r w:rsidR="663FDF7D" w:rsidRPr="00662906">
        <w:t>Strategic Objectives and Interventions</w:t>
      </w:r>
      <w:bookmarkEnd w:id="708"/>
      <w:bookmarkEnd w:id="709"/>
      <w:bookmarkEnd w:id="710"/>
      <w:bookmarkEnd w:id="711"/>
      <w:bookmarkEnd w:id="712"/>
      <w:bookmarkEnd w:id="713"/>
      <w:bookmarkEnd w:id="714"/>
      <w:bookmarkEnd w:id="715"/>
      <w:bookmarkEnd w:id="716"/>
    </w:p>
    <w:p w14:paraId="63016896" w14:textId="3AE7F6A6" w:rsidR="00F60D6E" w:rsidRPr="00662906" w:rsidRDefault="753A96E2" w:rsidP="7606E323">
      <w:r w:rsidRPr="00662906">
        <w:t xml:space="preserve">The Summary of Strategic objectives, strategic interventions by selected sub sectors of the action plan and is presented in </w:t>
      </w:r>
      <w:r w:rsidR="366F651D" w:rsidRPr="00662906">
        <w:t xml:space="preserve">Table </w:t>
      </w:r>
      <w:r w:rsidR="00A5461B" w:rsidRPr="00662906">
        <w:t>36</w:t>
      </w:r>
      <w:r w:rsidR="366F651D" w:rsidRPr="00662906">
        <w:t xml:space="preserve">. The full Roadmap showing the Actions for each of the subsector, Strategic Objective and Strategic Intervention is </w:t>
      </w:r>
      <w:r w:rsidR="3FF23887" w:rsidRPr="00662906">
        <w:t>accompanying this ETSAP as an attachment.</w:t>
      </w:r>
    </w:p>
    <w:p w14:paraId="58DDFD3E" w14:textId="3966F958" w:rsidR="00F60D6E" w:rsidRPr="00662906" w:rsidRDefault="3C090C02" w:rsidP="7606E323">
      <w:pPr>
        <w:pStyle w:val="Caption"/>
      </w:pPr>
      <w:bookmarkStart w:id="717" w:name="_Toc176430337"/>
      <w:bookmarkStart w:id="718" w:name="_Toc197433924"/>
      <w:r w:rsidRPr="00662906">
        <w:t xml:space="preserve">Table </w:t>
      </w:r>
      <w:fldSimple w:instr=" SEQ Table \* ARABIC ">
        <w:r w:rsidR="00610F61">
          <w:rPr>
            <w:noProof/>
          </w:rPr>
          <w:t>36</w:t>
        </w:r>
      </w:fldSimple>
      <w:r w:rsidR="753A96E2" w:rsidRPr="00662906">
        <w:t>: Summary of ETSAP Strategic objectives, strategic interventions, cross cutting, and cross sectoral issues</w:t>
      </w:r>
      <w:bookmarkEnd w:id="717"/>
      <w:bookmarkEnd w:id="718"/>
    </w:p>
    <w:tbl>
      <w:tblPr>
        <w:tblW w:w="8779"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ook w:val="06A0" w:firstRow="1" w:lastRow="0" w:firstColumn="1" w:lastColumn="0" w:noHBand="1" w:noVBand="1"/>
      </w:tblPr>
      <w:tblGrid>
        <w:gridCol w:w="619"/>
        <w:gridCol w:w="1241"/>
        <w:gridCol w:w="1999"/>
        <w:gridCol w:w="4920"/>
      </w:tblGrid>
      <w:tr w:rsidR="00F60D6E" w:rsidRPr="00662906" w14:paraId="1D136E85" w14:textId="77777777" w:rsidTr="00B52881">
        <w:trPr>
          <w:trHeight w:val="454"/>
        </w:trPr>
        <w:tc>
          <w:tcPr>
            <w:tcW w:w="619" w:type="dxa"/>
            <w:shd w:val="clear" w:color="auto" w:fill="B4A269" w:themeFill="text2"/>
            <w:vAlign w:val="center"/>
          </w:tcPr>
          <w:p w14:paraId="57491B26" w14:textId="77777777" w:rsidR="00F60D6E" w:rsidRPr="00662906" w:rsidRDefault="00F60D6E" w:rsidP="00AB16A4">
            <w:pPr>
              <w:spacing w:before="0" w:after="0" w:line="240" w:lineRule="auto"/>
              <w:jc w:val="center"/>
              <w:rPr>
                <w:rFonts w:eastAsia="Arial" w:cs="Arial"/>
                <w:b/>
                <w:bCs/>
                <w:color w:val="FFFFFF" w:themeColor="background2"/>
                <w:sz w:val="18"/>
                <w:szCs w:val="18"/>
              </w:rPr>
            </w:pPr>
            <w:r w:rsidRPr="00662906">
              <w:rPr>
                <w:rFonts w:eastAsia="Arial" w:cs="Arial"/>
                <w:b/>
                <w:bCs/>
                <w:color w:val="FFFFFF" w:themeColor="background2"/>
                <w:sz w:val="18"/>
                <w:szCs w:val="18"/>
              </w:rPr>
              <w:t>No.</w:t>
            </w:r>
          </w:p>
        </w:tc>
        <w:tc>
          <w:tcPr>
            <w:tcW w:w="1241" w:type="dxa"/>
            <w:shd w:val="clear" w:color="auto" w:fill="B4A269" w:themeFill="text2"/>
            <w:vAlign w:val="center"/>
          </w:tcPr>
          <w:p w14:paraId="2AA362AA" w14:textId="77777777" w:rsidR="00F60D6E" w:rsidRPr="00662906" w:rsidRDefault="00F60D6E" w:rsidP="00AB16A4">
            <w:pPr>
              <w:spacing w:before="0" w:after="0" w:line="240" w:lineRule="auto"/>
              <w:jc w:val="center"/>
              <w:rPr>
                <w:rFonts w:eastAsia="Arial" w:cs="Arial"/>
                <w:b/>
                <w:color w:val="FFFFFF" w:themeColor="background2"/>
                <w:sz w:val="18"/>
                <w:szCs w:val="18"/>
              </w:rPr>
            </w:pPr>
            <w:r w:rsidRPr="00662906">
              <w:rPr>
                <w:rFonts w:eastAsia="Arial" w:cs="Arial"/>
                <w:b/>
                <w:bCs/>
                <w:color w:val="FFFFFF" w:themeColor="background2"/>
                <w:sz w:val="18"/>
                <w:szCs w:val="18"/>
              </w:rPr>
              <w:t>Subsector</w:t>
            </w:r>
          </w:p>
        </w:tc>
        <w:tc>
          <w:tcPr>
            <w:tcW w:w="1999" w:type="dxa"/>
            <w:shd w:val="clear" w:color="auto" w:fill="B4A269" w:themeFill="text2"/>
            <w:vAlign w:val="center"/>
          </w:tcPr>
          <w:p w14:paraId="590CCFC6" w14:textId="77777777" w:rsidR="00F60D6E" w:rsidRPr="00662906" w:rsidRDefault="00F60D6E" w:rsidP="00AB16A4">
            <w:pPr>
              <w:spacing w:before="0" w:after="0" w:line="240" w:lineRule="auto"/>
              <w:jc w:val="center"/>
              <w:rPr>
                <w:rFonts w:eastAsia="Arial" w:cs="Arial"/>
                <w:b/>
                <w:color w:val="FFFFFF" w:themeColor="background2"/>
                <w:sz w:val="18"/>
                <w:szCs w:val="18"/>
              </w:rPr>
            </w:pPr>
            <w:r w:rsidRPr="00662906">
              <w:rPr>
                <w:rFonts w:eastAsia="Arial" w:cs="Arial"/>
                <w:b/>
                <w:bCs/>
                <w:color w:val="FFFFFF" w:themeColor="background2"/>
                <w:sz w:val="18"/>
                <w:szCs w:val="18"/>
              </w:rPr>
              <w:t>Strategic Objective</w:t>
            </w:r>
          </w:p>
        </w:tc>
        <w:tc>
          <w:tcPr>
            <w:tcW w:w="4920" w:type="dxa"/>
            <w:shd w:val="clear" w:color="auto" w:fill="B4A269" w:themeFill="text2"/>
            <w:vAlign w:val="center"/>
          </w:tcPr>
          <w:p w14:paraId="5B8BCBB9" w14:textId="77777777" w:rsidR="00F60D6E" w:rsidRPr="00662906" w:rsidRDefault="00F60D6E" w:rsidP="00AB16A4">
            <w:pPr>
              <w:spacing w:before="0" w:after="0" w:line="240" w:lineRule="auto"/>
              <w:jc w:val="center"/>
              <w:rPr>
                <w:rFonts w:eastAsia="Arial" w:cs="Arial"/>
                <w:b/>
                <w:color w:val="FFFFFF" w:themeColor="background2"/>
                <w:sz w:val="18"/>
                <w:szCs w:val="18"/>
              </w:rPr>
            </w:pPr>
            <w:r w:rsidRPr="00662906">
              <w:rPr>
                <w:rFonts w:eastAsia="Arial" w:cs="Arial"/>
                <w:b/>
                <w:bCs/>
                <w:color w:val="FFFFFF" w:themeColor="background2"/>
                <w:sz w:val="18"/>
                <w:szCs w:val="18"/>
              </w:rPr>
              <w:t>Strategic Interventions</w:t>
            </w:r>
          </w:p>
        </w:tc>
      </w:tr>
      <w:tr w:rsidR="00F60D6E" w:rsidRPr="00662906" w14:paraId="40730A90" w14:textId="77777777" w:rsidTr="00B52881">
        <w:trPr>
          <w:trHeight w:val="435"/>
        </w:trPr>
        <w:tc>
          <w:tcPr>
            <w:tcW w:w="619" w:type="dxa"/>
            <w:vMerge w:val="restart"/>
            <w:vAlign w:val="center"/>
          </w:tcPr>
          <w:p w14:paraId="0D83B6E4" w14:textId="7ACE423C"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1</w:t>
            </w:r>
          </w:p>
        </w:tc>
        <w:tc>
          <w:tcPr>
            <w:tcW w:w="1241" w:type="dxa"/>
            <w:vMerge w:val="restart"/>
            <w:vAlign w:val="center"/>
          </w:tcPr>
          <w:p w14:paraId="110C02C0"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Electricity subsector</w:t>
            </w:r>
          </w:p>
        </w:tc>
        <w:tc>
          <w:tcPr>
            <w:tcW w:w="1999" w:type="dxa"/>
            <w:vMerge w:val="restart"/>
            <w:vAlign w:val="center"/>
          </w:tcPr>
          <w:p w14:paraId="14D242E4" w14:textId="4B954674" w:rsidR="00F60D6E" w:rsidRPr="00662906" w:rsidRDefault="00B2402B"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Strengthen and Modernize Energy Infrastructure and Systems in the Electricity Supply Industry</w:t>
            </w:r>
          </w:p>
        </w:tc>
        <w:tc>
          <w:tcPr>
            <w:tcW w:w="4920" w:type="dxa"/>
          </w:tcPr>
          <w:p w14:paraId="41B6D095" w14:textId="399FC973" w:rsidR="00F60D6E" w:rsidRPr="00662906" w:rsidRDefault="2A351595" w:rsidP="00AB16A4">
            <w:pPr>
              <w:spacing w:before="0" w:after="0" w:line="240" w:lineRule="auto"/>
              <w:jc w:val="left"/>
              <w:rPr>
                <w:rFonts w:eastAsiaTheme="minorEastAsia" w:cs="Arial"/>
                <w:color w:val="394A58"/>
                <w:sz w:val="18"/>
                <w:szCs w:val="18"/>
              </w:rPr>
            </w:pPr>
            <w:r w:rsidRPr="00662906">
              <w:rPr>
                <w:rFonts w:eastAsia="Arial" w:cs="Arial"/>
                <w:color w:val="394A58"/>
                <w:sz w:val="18"/>
                <w:szCs w:val="18"/>
              </w:rPr>
              <w:t xml:space="preserve">Strategic Intervention 1.1: </w:t>
            </w:r>
            <w:r w:rsidR="3AF2E445" w:rsidRPr="00662906">
              <w:rPr>
                <w:rFonts w:eastAsiaTheme="minorEastAsia" w:cs="Arial"/>
                <w:color w:val="394A58"/>
                <w:sz w:val="18"/>
                <w:szCs w:val="18"/>
              </w:rPr>
              <w:t>Accelerate the deployment of RE</w:t>
            </w:r>
          </w:p>
          <w:p w14:paraId="615CCEB6" w14:textId="32374D41" w:rsidR="00F60D6E" w:rsidRPr="00662906" w:rsidRDefault="00F60D6E" w:rsidP="00AB16A4">
            <w:pPr>
              <w:spacing w:before="0" w:after="0" w:line="240" w:lineRule="auto"/>
              <w:jc w:val="left"/>
              <w:rPr>
                <w:rFonts w:cs="Arial"/>
                <w:sz w:val="18"/>
                <w:szCs w:val="18"/>
              </w:rPr>
            </w:pPr>
          </w:p>
        </w:tc>
      </w:tr>
      <w:tr w:rsidR="00F60D6E" w:rsidRPr="00662906" w14:paraId="1BC97418" w14:textId="77777777" w:rsidTr="00B52881">
        <w:trPr>
          <w:trHeight w:val="495"/>
        </w:trPr>
        <w:tc>
          <w:tcPr>
            <w:tcW w:w="619" w:type="dxa"/>
            <w:vMerge/>
            <w:vAlign w:val="center"/>
          </w:tcPr>
          <w:p w14:paraId="1869061D"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101C4B2C"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287C9926"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01FFB376" w14:textId="42002628" w:rsidR="00F60D6E" w:rsidRPr="00662906" w:rsidRDefault="2A351595" w:rsidP="00AB16A4">
            <w:pPr>
              <w:spacing w:before="0" w:after="0" w:line="240" w:lineRule="auto"/>
              <w:jc w:val="left"/>
              <w:rPr>
                <w:rFonts w:eastAsia="Arial" w:cs="Arial"/>
                <w:b/>
                <w:bCs/>
                <w:color w:val="156082"/>
                <w:sz w:val="18"/>
                <w:szCs w:val="18"/>
              </w:rPr>
            </w:pPr>
            <w:r w:rsidRPr="00662906">
              <w:rPr>
                <w:rFonts w:eastAsia="Arial" w:cs="Arial"/>
                <w:color w:val="394A58"/>
                <w:sz w:val="18"/>
                <w:szCs w:val="18"/>
              </w:rPr>
              <w:t xml:space="preserve">Strategic Intervention 1.2: </w:t>
            </w:r>
            <w:r w:rsidR="5B1A6143" w:rsidRPr="00662906">
              <w:rPr>
                <w:rFonts w:eastAsiaTheme="minorEastAsia" w:cs="Arial"/>
                <w:color w:val="394A58"/>
                <w:sz w:val="18"/>
                <w:szCs w:val="18"/>
              </w:rPr>
              <w:t xml:space="preserve">Foster and Accelerate development of resilient Transmission and Distribution networks to </w:t>
            </w:r>
            <w:r w:rsidR="6734C9D8" w:rsidRPr="00662906">
              <w:rPr>
                <w:rFonts w:eastAsiaTheme="minorEastAsia" w:cs="Arial"/>
                <w:color w:val="394A58"/>
                <w:sz w:val="18"/>
                <w:szCs w:val="18"/>
              </w:rPr>
              <w:t>s</w:t>
            </w:r>
            <w:r w:rsidR="5B1A6143" w:rsidRPr="00662906">
              <w:rPr>
                <w:rFonts w:eastAsiaTheme="minorEastAsia" w:cs="Arial"/>
                <w:color w:val="394A58"/>
                <w:sz w:val="18"/>
                <w:szCs w:val="18"/>
              </w:rPr>
              <w:t>upport deployment and trade of clean and RE power</w:t>
            </w:r>
          </w:p>
          <w:p w14:paraId="4F0C0931" w14:textId="120C48E1" w:rsidR="00F60D6E" w:rsidRPr="00662906" w:rsidRDefault="00F60D6E" w:rsidP="00AB16A4">
            <w:pPr>
              <w:spacing w:before="0" w:after="0" w:line="240" w:lineRule="auto"/>
              <w:jc w:val="left"/>
              <w:rPr>
                <w:rFonts w:cs="Arial"/>
                <w:sz w:val="18"/>
                <w:szCs w:val="18"/>
              </w:rPr>
            </w:pPr>
          </w:p>
        </w:tc>
      </w:tr>
      <w:tr w:rsidR="00F60D6E" w:rsidRPr="00662906" w14:paraId="33E25804" w14:textId="77777777" w:rsidTr="00B52881">
        <w:trPr>
          <w:trHeight w:val="617"/>
        </w:trPr>
        <w:tc>
          <w:tcPr>
            <w:tcW w:w="619" w:type="dxa"/>
            <w:vMerge w:val="restart"/>
            <w:vAlign w:val="center"/>
          </w:tcPr>
          <w:p w14:paraId="1A7787A6" w14:textId="25431AF4"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2</w:t>
            </w:r>
          </w:p>
        </w:tc>
        <w:tc>
          <w:tcPr>
            <w:tcW w:w="1241" w:type="dxa"/>
            <w:vMerge w:val="restart"/>
            <w:vAlign w:val="center"/>
          </w:tcPr>
          <w:p w14:paraId="769BB75B"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Transport</w:t>
            </w:r>
          </w:p>
        </w:tc>
        <w:tc>
          <w:tcPr>
            <w:tcW w:w="1999" w:type="dxa"/>
            <w:vMerge w:val="restart"/>
            <w:vAlign w:val="center"/>
          </w:tcPr>
          <w:p w14:paraId="4ED605E9"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Advance Sustainable Transport Solutions</w:t>
            </w:r>
          </w:p>
        </w:tc>
        <w:tc>
          <w:tcPr>
            <w:tcW w:w="4920" w:type="dxa"/>
          </w:tcPr>
          <w:p w14:paraId="03AD8C0C"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2.1. Promoting introduction of various NEVs and clean fuels in various sub sectors of the transport sector. </w:t>
            </w:r>
          </w:p>
        </w:tc>
      </w:tr>
      <w:tr w:rsidR="00F60D6E" w:rsidRPr="00662906" w14:paraId="7673ADC3" w14:textId="77777777" w:rsidTr="00B52881">
        <w:trPr>
          <w:trHeight w:val="525"/>
        </w:trPr>
        <w:tc>
          <w:tcPr>
            <w:tcW w:w="619" w:type="dxa"/>
            <w:vMerge/>
            <w:vAlign w:val="center"/>
          </w:tcPr>
          <w:p w14:paraId="0D575903"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6AFE8D79"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42863C70"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32C97AAB" w14:textId="072237D1"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2.2: </w:t>
            </w:r>
            <w:r w:rsidR="005C2DB4" w:rsidRPr="00662906">
              <w:rPr>
                <w:rFonts w:eastAsia="Arial" w:cs="Arial"/>
                <w:color w:val="394A58"/>
                <w:sz w:val="18"/>
                <w:szCs w:val="18"/>
              </w:rPr>
              <w:t>Transitioning the conventional transport systems to multi-modal transport systems for efficient use and energy demand reduction.</w:t>
            </w:r>
          </w:p>
        </w:tc>
      </w:tr>
      <w:tr w:rsidR="00F60D6E" w:rsidRPr="00662906" w14:paraId="31DD6CA8" w14:textId="77777777" w:rsidTr="00B52881">
        <w:trPr>
          <w:trHeight w:val="465"/>
        </w:trPr>
        <w:tc>
          <w:tcPr>
            <w:tcW w:w="619" w:type="dxa"/>
            <w:vMerge w:val="restart"/>
            <w:vAlign w:val="center"/>
          </w:tcPr>
          <w:p w14:paraId="4EDE0228" w14:textId="214C3ACE"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3</w:t>
            </w:r>
          </w:p>
        </w:tc>
        <w:tc>
          <w:tcPr>
            <w:tcW w:w="1241" w:type="dxa"/>
            <w:vMerge w:val="restart"/>
            <w:vAlign w:val="center"/>
          </w:tcPr>
          <w:p w14:paraId="36059D29"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Buildings</w:t>
            </w:r>
          </w:p>
        </w:tc>
        <w:tc>
          <w:tcPr>
            <w:tcW w:w="1999" w:type="dxa"/>
            <w:vMerge w:val="restart"/>
            <w:vAlign w:val="center"/>
          </w:tcPr>
          <w:p w14:paraId="106B0590"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Elevate Building Standards for Energy</w:t>
            </w:r>
          </w:p>
        </w:tc>
        <w:tc>
          <w:tcPr>
            <w:tcW w:w="4920" w:type="dxa"/>
          </w:tcPr>
          <w:p w14:paraId="74C12CB7"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3.1: Strengthen and adopt compliance with building energy codes </w:t>
            </w:r>
          </w:p>
        </w:tc>
      </w:tr>
      <w:tr w:rsidR="00F60D6E" w:rsidRPr="00662906" w14:paraId="33543D0F" w14:textId="77777777" w:rsidTr="00B52881">
        <w:trPr>
          <w:trHeight w:val="555"/>
        </w:trPr>
        <w:tc>
          <w:tcPr>
            <w:tcW w:w="619" w:type="dxa"/>
            <w:vMerge/>
            <w:vAlign w:val="center"/>
          </w:tcPr>
          <w:p w14:paraId="169E2C65"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4D19DD7B"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745299C3"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1FE1C521"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3.2: Boost market demand for Energy Efficient buildings </w:t>
            </w:r>
          </w:p>
        </w:tc>
      </w:tr>
      <w:tr w:rsidR="00F60D6E" w:rsidRPr="00662906" w14:paraId="595AC4F0" w14:textId="77777777" w:rsidTr="00B52881">
        <w:trPr>
          <w:trHeight w:val="420"/>
        </w:trPr>
        <w:tc>
          <w:tcPr>
            <w:tcW w:w="619" w:type="dxa"/>
            <w:vMerge/>
            <w:vAlign w:val="center"/>
          </w:tcPr>
          <w:p w14:paraId="41B73986"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2D2691B0"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3BAFD5C5"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63A8AF52"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3.3: Boost capacity for delivering energy efficient buildings </w:t>
            </w:r>
          </w:p>
        </w:tc>
      </w:tr>
      <w:tr w:rsidR="00F60D6E" w:rsidRPr="00662906" w14:paraId="3B2F2F30" w14:textId="77777777" w:rsidTr="00B52881">
        <w:trPr>
          <w:trHeight w:val="465"/>
        </w:trPr>
        <w:tc>
          <w:tcPr>
            <w:tcW w:w="619" w:type="dxa"/>
            <w:vMerge w:val="restart"/>
            <w:vAlign w:val="center"/>
          </w:tcPr>
          <w:p w14:paraId="0A421776" w14:textId="1B49D2EB" w:rsidR="00F60D6E" w:rsidRPr="00662906" w:rsidRDefault="00C4234C"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4</w:t>
            </w:r>
          </w:p>
        </w:tc>
        <w:tc>
          <w:tcPr>
            <w:tcW w:w="1241" w:type="dxa"/>
            <w:vMerge w:val="restart"/>
            <w:vAlign w:val="center"/>
          </w:tcPr>
          <w:p w14:paraId="248ACF67"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Industry</w:t>
            </w:r>
          </w:p>
        </w:tc>
        <w:tc>
          <w:tcPr>
            <w:tcW w:w="1999" w:type="dxa"/>
            <w:vMerge w:val="restart"/>
            <w:vAlign w:val="center"/>
          </w:tcPr>
          <w:p w14:paraId="7C436B78" w14:textId="63A2D9B6"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Foster Sustainable and transformative Industrial Development:</w:t>
            </w:r>
          </w:p>
        </w:tc>
        <w:tc>
          <w:tcPr>
            <w:tcW w:w="4920" w:type="dxa"/>
          </w:tcPr>
          <w:p w14:paraId="417EDE9E" w14:textId="1AC49D28" w:rsidR="00F60D6E" w:rsidRPr="00662906" w:rsidRDefault="2A351595" w:rsidP="00AB16A4">
            <w:pPr>
              <w:spacing w:before="0" w:after="0" w:line="240" w:lineRule="auto"/>
              <w:jc w:val="left"/>
              <w:rPr>
                <w:rFonts w:eastAsia="Arial" w:cs="Arial"/>
                <w:color w:val="394A58"/>
                <w:sz w:val="18"/>
                <w:szCs w:val="18"/>
              </w:rPr>
            </w:pPr>
            <w:r w:rsidRPr="00662906">
              <w:rPr>
                <w:rFonts w:eastAsia="Arial" w:cs="Arial"/>
                <w:color w:val="394A58"/>
                <w:sz w:val="18"/>
                <w:szCs w:val="18"/>
              </w:rPr>
              <w:t>Strategic Intervention 4.1: Targe</w:t>
            </w:r>
            <w:r w:rsidR="6F6ED7C2" w:rsidRPr="00662906">
              <w:rPr>
                <w:rFonts w:eastAsia="Arial" w:cs="Arial"/>
                <w:color w:val="394A58"/>
                <w:sz w:val="18"/>
                <w:szCs w:val="18"/>
              </w:rPr>
              <w:t>t</w:t>
            </w:r>
            <w:r w:rsidRPr="00662906">
              <w:rPr>
                <w:rFonts w:eastAsia="Arial" w:cs="Arial"/>
                <w:color w:val="394A58"/>
                <w:sz w:val="18"/>
                <w:szCs w:val="18"/>
              </w:rPr>
              <w:t xml:space="preserve"> reduction of fossil fuel demand in industry through fuel substitution, RE supply and EE Practices</w:t>
            </w:r>
          </w:p>
        </w:tc>
      </w:tr>
      <w:tr w:rsidR="00F60D6E" w:rsidRPr="00662906" w14:paraId="641A6E0B" w14:textId="77777777" w:rsidTr="00B52881">
        <w:trPr>
          <w:trHeight w:val="300"/>
        </w:trPr>
        <w:tc>
          <w:tcPr>
            <w:tcW w:w="619" w:type="dxa"/>
            <w:vMerge/>
            <w:vAlign w:val="center"/>
          </w:tcPr>
          <w:p w14:paraId="1C320B79"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46EEDBED"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5477EB10"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1781A818" w14:textId="7A79FA96" w:rsidR="00F60D6E" w:rsidRPr="00662906" w:rsidRDefault="2A351595"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4.2. Transformative industrialization </w:t>
            </w:r>
            <w:r w:rsidR="7403BDE6" w:rsidRPr="00662906">
              <w:rPr>
                <w:rFonts w:eastAsia="Arial" w:cs="Arial"/>
                <w:color w:val="394A58"/>
                <w:sz w:val="18"/>
                <w:szCs w:val="18"/>
              </w:rPr>
              <w:t>to leverage</w:t>
            </w:r>
            <w:r w:rsidRPr="00662906">
              <w:rPr>
                <w:rFonts w:eastAsia="Arial" w:cs="Arial"/>
                <w:color w:val="394A58"/>
                <w:sz w:val="18"/>
                <w:szCs w:val="18"/>
              </w:rPr>
              <w:t xml:space="preserve"> Africa’s comparative advantage</w:t>
            </w:r>
          </w:p>
        </w:tc>
      </w:tr>
      <w:tr w:rsidR="00F60D6E" w:rsidRPr="00662906" w14:paraId="5D5CCA04" w14:textId="77777777" w:rsidTr="00B52881">
        <w:trPr>
          <w:trHeight w:val="250"/>
        </w:trPr>
        <w:tc>
          <w:tcPr>
            <w:tcW w:w="619" w:type="dxa"/>
            <w:vMerge w:val="restart"/>
            <w:vAlign w:val="center"/>
          </w:tcPr>
          <w:p w14:paraId="64FC8737" w14:textId="74569FFE"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5</w:t>
            </w:r>
          </w:p>
        </w:tc>
        <w:tc>
          <w:tcPr>
            <w:tcW w:w="1241" w:type="dxa"/>
            <w:vMerge w:val="restart"/>
            <w:vAlign w:val="center"/>
          </w:tcPr>
          <w:p w14:paraId="46DC4669"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Oil and gas</w:t>
            </w:r>
          </w:p>
        </w:tc>
        <w:tc>
          <w:tcPr>
            <w:tcW w:w="1999" w:type="dxa"/>
            <w:vMerge w:val="restart"/>
            <w:vAlign w:val="center"/>
          </w:tcPr>
          <w:p w14:paraId="0B860689"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Optimize Oil and Gas Sector Transition</w:t>
            </w:r>
          </w:p>
        </w:tc>
        <w:tc>
          <w:tcPr>
            <w:tcW w:w="4920" w:type="dxa"/>
          </w:tcPr>
          <w:p w14:paraId="2FB567D3"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Strategic Intervention 5.1: Sustainable supply and utilization of natural gas on the continent</w:t>
            </w:r>
          </w:p>
        </w:tc>
      </w:tr>
      <w:tr w:rsidR="00F60D6E" w:rsidRPr="00662906" w14:paraId="793E3C76" w14:textId="77777777" w:rsidTr="00B52881">
        <w:trPr>
          <w:trHeight w:val="315"/>
        </w:trPr>
        <w:tc>
          <w:tcPr>
            <w:tcW w:w="619" w:type="dxa"/>
            <w:vMerge/>
            <w:vAlign w:val="center"/>
          </w:tcPr>
          <w:p w14:paraId="4BBED66A"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73348DFA"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4237981F"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69D3B11B" w14:textId="770E2AF6"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5.2: </w:t>
            </w:r>
            <w:r w:rsidR="0023250B" w:rsidRPr="00662906">
              <w:rPr>
                <w:rFonts w:eastAsia="Arial" w:cs="Arial"/>
                <w:color w:val="394A58"/>
                <w:sz w:val="18"/>
                <w:szCs w:val="18"/>
              </w:rPr>
              <w:t>Promote economic and technical efficiency in the production, transport, and use of oil and gas</w:t>
            </w:r>
          </w:p>
        </w:tc>
      </w:tr>
      <w:tr w:rsidR="00F60D6E" w:rsidRPr="00662906" w14:paraId="6B974DA1" w14:textId="77777777" w:rsidTr="00B52881">
        <w:trPr>
          <w:trHeight w:val="435"/>
        </w:trPr>
        <w:tc>
          <w:tcPr>
            <w:tcW w:w="619" w:type="dxa"/>
            <w:vMerge/>
            <w:vAlign w:val="center"/>
          </w:tcPr>
          <w:p w14:paraId="63A26B08"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68F10EF6"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02D7D348"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2CD11174" w14:textId="18BF7CB9" w:rsidR="00F60D6E" w:rsidRPr="00662906" w:rsidRDefault="2A351595" w:rsidP="00AB16A4">
            <w:pPr>
              <w:spacing w:before="0" w:after="0" w:line="240" w:lineRule="auto"/>
              <w:jc w:val="left"/>
              <w:rPr>
                <w:rFonts w:eastAsia="Arial" w:cs="Arial"/>
                <w:color w:val="394A58"/>
                <w:sz w:val="18"/>
                <w:szCs w:val="18"/>
              </w:rPr>
            </w:pPr>
            <w:r w:rsidRPr="00662906">
              <w:rPr>
                <w:rFonts w:eastAsia="Arial" w:cs="Arial"/>
                <w:color w:val="394A58"/>
                <w:sz w:val="18"/>
                <w:szCs w:val="18"/>
              </w:rPr>
              <w:t>Strategic Intervention 5.3 ESG sustainability</w:t>
            </w:r>
            <w:r w:rsidR="5A45E649" w:rsidRPr="00662906">
              <w:rPr>
                <w:rFonts w:eastAsia="Arial" w:cs="Arial"/>
                <w:color w:val="394A58"/>
                <w:sz w:val="18"/>
                <w:szCs w:val="18"/>
              </w:rPr>
              <w:t xml:space="preserve"> enhanced</w:t>
            </w:r>
          </w:p>
        </w:tc>
      </w:tr>
      <w:tr w:rsidR="00F60D6E" w:rsidRPr="00662906" w14:paraId="175B7CA9" w14:textId="77777777" w:rsidTr="00B52881">
        <w:trPr>
          <w:trHeight w:val="480"/>
        </w:trPr>
        <w:tc>
          <w:tcPr>
            <w:tcW w:w="619" w:type="dxa"/>
            <w:vMerge w:val="restart"/>
            <w:vAlign w:val="center"/>
          </w:tcPr>
          <w:p w14:paraId="268A1D10" w14:textId="5EB2B273"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6</w:t>
            </w:r>
          </w:p>
        </w:tc>
        <w:tc>
          <w:tcPr>
            <w:tcW w:w="1241" w:type="dxa"/>
            <w:vMerge w:val="restart"/>
            <w:vAlign w:val="center"/>
          </w:tcPr>
          <w:p w14:paraId="1B89C728"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Agriculture</w:t>
            </w:r>
          </w:p>
        </w:tc>
        <w:tc>
          <w:tcPr>
            <w:tcW w:w="1999" w:type="dxa"/>
            <w:vMerge w:val="restart"/>
            <w:vAlign w:val="center"/>
          </w:tcPr>
          <w:p w14:paraId="083F1D2F" w14:textId="27B91B04" w:rsidR="00F60D6E" w:rsidRPr="00662906" w:rsidRDefault="00AF67F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Increase the Use of Modern and Efficient Energy Technologies in Agriculture</w:t>
            </w:r>
            <w:r w:rsidRPr="00662906" w:rsidDel="00D55902">
              <w:rPr>
                <w:rFonts w:eastAsia="Arial" w:cs="Arial"/>
                <w:color w:val="394A58"/>
                <w:sz w:val="18"/>
                <w:szCs w:val="18"/>
              </w:rPr>
              <w:t xml:space="preserve"> </w:t>
            </w:r>
          </w:p>
        </w:tc>
        <w:tc>
          <w:tcPr>
            <w:tcW w:w="4920" w:type="dxa"/>
          </w:tcPr>
          <w:p w14:paraId="784F5ACE"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6.1: Modernization of Agricultural Equipment </w:t>
            </w:r>
          </w:p>
        </w:tc>
      </w:tr>
      <w:tr w:rsidR="00F60D6E" w:rsidRPr="00662906" w14:paraId="746A5414" w14:textId="77777777" w:rsidTr="00B52881">
        <w:trPr>
          <w:trHeight w:val="495"/>
        </w:trPr>
        <w:tc>
          <w:tcPr>
            <w:tcW w:w="619" w:type="dxa"/>
            <w:vMerge/>
            <w:vAlign w:val="center"/>
          </w:tcPr>
          <w:p w14:paraId="2BCA218F"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04762D57"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44B61389"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181839B3"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6.2: Promotion of Renewable Energy in Agriculture </w:t>
            </w:r>
          </w:p>
        </w:tc>
      </w:tr>
      <w:tr w:rsidR="00F60D6E" w:rsidRPr="00662906" w14:paraId="1D1B80D2" w14:textId="77777777" w:rsidTr="00B52881">
        <w:trPr>
          <w:trHeight w:val="52"/>
        </w:trPr>
        <w:tc>
          <w:tcPr>
            <w:tcW w:w="619" w:type="dxa"/>
            <w:vMerge/>
            <w:vAlign w:val="center"/>
          </w:tcPr>
          <w:p w14:paraId="2E286B1E"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5FA22E4B"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6BD6EFA0"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2FB3BB0C"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6.3: Advance Carbon Farming </w:t>
            </w:r>
          </w:p>
        </w:tc>
      </w:tr>
      <w:tr w:rsidR="00F60D6E" w:rsidRPr="00662906" w14:paraId="007972AC" w14:textId="77777777" w:rsidTr="00B52881">
        <w:trPr>
          <w:trHeight w:val="60"/>
        </w:trPr>
        <w:tc>
          <w:tcPr>
            <w:tcW w:w="619" w:type="dxa"/>
            <w:vMerge/>
            <w:vAlign w:val="center"/>
          </w:tcPr>
          <w:p w14:paraId="4329BA60"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32DFD6A8"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503AC671"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79DBCDF7"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6.4: Enhancement of Agricultural Extension Services </w:t>
            </w:r>
          </w:p>
        </w:tc>
      </w:tr>
      <w:tr w:rsidR="00F60D6E" w:rsidRPr="00662906" w14:paraId="48619D5B" w14:textId="77777777" w:rsidTr="00B52881">
        <w:trPr>
          <w:trHeight w:val="465"/>
        </w:trPr>
        <w:tc>
          <w:tcPr>
            <w:tcW w:w="619" w:type="dxa"/>
            <w:vMerge w:val="restart"/>
            <w:vAlign w:val="center"/>
          </w:tcPr>
          <w:p w14:paraId="4E30E037" w14:textId="1D3B50F9"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7</w:t>
            </w:r>
          </w:p>
        </w:tc>
        <w:tc>
          <w:tcPr>
            <w:tcW w:w="1241" w:type="dxa"/>
            <w:vMerge w:val="restart"/>
            <w:vAlign w:val="center"/>
          </w:tcPr>
          <w:p w14:paraId="44166C82" w14:textId="77777777" w:rsidR="00F60D6E" w:rsidRPr="00662906" w:rsidRDefault="00F60D6E"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Clean cooking</w:t>
            </w:r>
          </w:p>
        </w:tc>
        <w:tc>
          <w:tcPr>
            <w:tcW w:w="1999" w:type="dxa"/>
            <w:vMerge w:val="restart"/>
            <w:vAlign w:val="center"/>
          </w:tcPr>
          <w:p w14:paraId="2B4D83F4" w14:textId="034E2B12" w:rsidR="00F60D6E" w:rsidRPr="00662906" w:rsidRDefault="00831291" w:rsidP="00AB16A4">
            <w:pPr>
              <w:spacing w:before="0" w:after="0" w:line="240" w:lineRule="auto"/>
              <w:jc w:val="center"/>
              <w:rPr>
                <w:rFonts w:eastAsia="Arial" w:cs="Arial"/>
                <w:color w:val="394A58"/>
                <w:sz w:val="18"/>
                <w:szCs w:val="18"/>
              </w:rPr>
            </w:pPr>
            <w:r w:rsidRPr="00662906">
              <w:rPr>
                <w:rFonts w:eastAsia="Arial" w:cs="Arial"/>
                <w:color w:val="394A58"/>
                <w:sz w:val="18"/>
                <w:szCs w:val="18"/>
              </w:rPr>
              <w:t>Promote the adoption of clean cooking technologies</w:t>
            </w:r>
          </w:p>
        </w:tc>
        <w:tc>
          <w:tcPr>
            <w:tcW w:w="4920" w:type="dxa"/>
          </w:tcPr>
          <w:p w14:paraId="57CC017B"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7.1: Development and Deployment of Advanced Cooking Technologies </w:t>
            </w:r>
          </w:p>
        </w:tc>
      </w:tr>
      <w:tr w:rsidR="00F60D6E" w:rsidRPr="00662906" w14:paraId="48DA1D42" w14:textId="77777777" w:rsidTr="00B52881">
        <w:trPr>
          <w:trHeight w:val="540"/>
        </w:trPr>
        <w:tc>
          <w:tcPr>
            <w:tcW w:w="619" w:type="dxa"/>
            <w:vMerge/>
            <w:vAlign w:val="center"/>
          </w:tcPr>
          <w:p w14:paraId="63DE8572"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6AB25B00"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575A011D"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32E9A7E0"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 Strategic Intervention 7.2: Enhancing Market Structures and Supply Chains: </w:t>
            </w:r>
          </w:p>
        </w:tc>
      </w:tr>
      <w:tr w:rsidR="00F60D6E" w:rsidRPr="00662906" w14:paraId="0BC7E506" w14:textId="77777777" w:rsidTr="00B52881">
        <w:trPr>
          <w:trHeight w:val="540"/>
        </w:trPr>
        <w:tc>
          <w:tcPr>
            <w:tcW w:w="619" w:type="dxa"/>
            <w:vMerge/>
            <w:vAlign w:val="center"/>
          </w:tcPr>
          <w:p w14:paraId="72A1417E"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2F5A7AC8"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3D2515CF"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52C28728"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7.3: Policy Development and Regulatory Support </w:t>
            </w:r>
          </w:p>
        </w:tc>
      </w:tr>
      <w:tr w:rsidR="00F60D6E" w:rsidRPr="00662906" w14:paraId="72BEF7E5" w14:textId="77777777" w:rsidTr="00B52881">
        <w:trPr>
          <w:trHeight w:val="540"/>
        </w:trPr>
        <w:tc>
          <w:tcPr>
            <w:tcW w:w="619" w:type="dxa"/>
            <w:vMerge/>
            <w:vAlign w:val="center"/>
          </w:tcPr>
          <w:p w14:paraId="0EA9C257" w14:textId="77777777" w:rsidR="00F60D6E" w:rsidRPr="00662906" w:rsidRDefault="00F60D6E" w:rsidP="00AB16A4">
            <w:pPr>
              <w:spacing w:before="0" w:after="0" w:line="240" w:lineRule="auto"/>
              <w:jc w:val="center"/>
              <w:rPr>
                <w:rFonts w:eastAsia="Arial" w:cs="Arial"/>
                <w:color w:val="394A58"/>
                <w:sz w:val="18"/>
                <w:szCs w:val="18"/>
              </w:rPr>
            </w:pPr>
          </w:p>
        </w:tc>
        <w:tc>
          <w:tcPr>
            <w:tcW w:w="1241" w:type="dxa"/>
            <w:vMerge/>
            <w:vAlign w:val="center"/>
          </w:tcPr>
          <w:p w14:paraId="21914F0F" w14:textId="77777777" w:rsidR="00F60D6E" w:rsidRPr="00662906" w:rsidRDefault="00F60D6E" w:rsidP="00AB16A4">
            <w:pPr>
              <w:spacing w:before="0" w:after="0" w:line="240" w:lineRule="auto"/>
              <w:jc w:val="center"/>
              <w:rPr>
                <w:rFonts w:eastAsia="Arial" w:cs="Arial"/>
                <w:color w:val="394A58"/>
                <w:sz w:val="18"/>
                <w:szCs w:val="18"/>
              </w:rPr>
            </w:pPr>
          </w:p>
        </w:tc>
        <w:tc>
          <w:tcPr>
            <w:tcW w:w="1999" w:type="dxa"/>
            <w:vMerge/>
            <w:vAlign w:val="center"/>
          </w:tcPr>
          <w:p w14:paraId="5E92C8EA" w14:textId="77777777" w:rsidR="00F60D6E" w:rsidRPr="00662906" w:rsidRDefault="00F60D6E" w:rsidP="00AB16A4">
            <w:pPr>
              <w:spacing w:before="0" w:after="0" w:line="240" w:lineRule="auto"/>
              <w:jc w:val="center"/>
              <w:rPr>
                <w:rFonts w:eastAsia="Arial" w:cs="Arial"/>
                <w:color w:val="394A58"/>
                <w:sz w:val="18"/>
                <w:szCs w:val="18"/>
              </w:rPr>
            </w:pPr>
          </w:p>
        </w:tc>
        <w:tc>
          <w:tcPr>
            <w:tcW w:w="4920" w:type="dxa"/>
          </w:tcPr>
          <w:p w14:paraId="4032AA60" w14:textId="77777777" w:rsidR="00F60D6E" w:rsidRPr="00662906" w:rsidRDefault="00F60D6E" w:rsidP="00AB16A4">
            <w:pPr>
              <w:spacing w:before="0" w:after="0" w:line="240" w:lineRule="auto"/>
              <w:jc w:val="left"/>
              <w:rPr>
                <w:rFonts w:eastAsia="Arial" w:cs="Arial"/>
                <w:color w:val="394A58"/>
                <w:sz w:val="18"/>
                <w:szCs w:val="18"/>
              </w:rPr>
            </w:pPr>
            <w:r w:rsidRPr="00662906">
              <w:rPr>
                <w:rFonts w:eastAsia="Arial" w:cs="Arial"/>
                <w:color w:val="394A58"/>
                <w:sz w:val="18"/>
                <w:szCs w:val="18"/>
              </w:rPr>
              <w:t xml:space="preserve">Strategic Intervention 7.4: Public Awareness Campaigns and Education </w:t>
            </w:r>
          </w:p>
        </w:tc>
      </w:tr>
    </w:tbl>
    <w:p w14:paraId="460F4CCD" w14:textId="582EF27E" w:rsidR="5C88E6D1" w:rsidRPr="00662906" w:rsidRDefault="699F4B4C" w:rsidP="5C88E6D1">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p>
    <w:p w14:paraId="42B27B5A" w14:textId="11595B5C" w:rsidR="15A0294D" w:rsidRPr="00662906" w:rsidRDefault="15A0294D" w:rsidP="00EB6981">
      <w:pPr>
        <w:pStyle w:val="Heading2"/>
      </w:pPr>
      <w:bookmarkStart w:id="719" w:name="_Toc178937499"/>
      <w:bookmarkStart w:id="720" w:name="_Toc197433864"/>
      <w:r w:rsidRPr="00662906">
        <w:lastRenderedPageBreak/>
        <w:t>Horizontal Planning</w:t>
      </w:r>
      <w:bookmarkEnd w:id="719"/>
      <w:bookmarkEnd w:id="720"/>
    </w:p>
    <w:p w14:paraId="653B63F9" w14:textId="21E5637C" w:rsidR="5C88E6D1" w:rsidRPr="00662906" w:rsidRDefault="15A0294D" w:rsidP="5C88E6D1">
      <w:pPr>
        <w:rPr>
          <w:rFonts w:eastAsia="Arial" w:cs="Arial"/>
        </w:rPr>
      </w:pPr>
      <w:r w:rsidRPr="00662906">
        <w:rPr>
          <w:rFonts w:eastAsia="Arial" w:cs="Arial"/>
        </w:rPr>
        <w:t xml:space="preserve">Apart from the subsector strategic interventions and action plans, there is recognition that horizontal Strategic interventions and Action plans are also needed that will address requirements of the </w:t>
      </w:r>
      <w:r w:rsidR="00E366C7" w:rsidRPr="00662906">
        <w:rPr>
          <w:rFonts w:eastAsia="Arial" w:cs="Arial"/>
        </w:rPr>
        <w:t>whole</w:t>
      </w:r>
      <w:r w:rsidRPr="00662906">
        <w:rPr>
          <w:rFonts w:eastAsia="Arial" w:cs="Arial"/>
        </w:rPr>
        <w:t xml:space="preserve"> energy sector transition.</w:t>
      </w:r>
    </w:p>
    <w:p w14:paraId="37FE732E" w14:textId="5338DF4F" w:rsidR="15A0294D" w:rsidRPr="00662906" w:rsidRDefault="15A0294D" w:rsidP="5C88E6D1">
      <w:pPr>
        <w:rPr>
          <w:rFonts w:eastAsia="Arial" w:cs="Arial"/>
        </w:rPr>
      </w:pPr>
      <w:r w:rsidRPr="00662906">
        <w:rPr>
          <w:rFonts w:eastAsia="Arial" w:cs="Arial"/>
        </w:rPr>
        <w:t>The identified horizontal strategic interventions pertain to:</w:t>
      </w:r>
    </w:p>
    <w:p w14:paraId="29CE9CB9" w14:textId="2AE9F861" w:rsidR="15A0294D" w:rsidRPr="00662906" w:rsidRDefault="15A0294D" w:rsidP="5C88E6D1">
      <w:pPr>
        <w:pStyle w:val="ListParagraph"/>
        <w:rPr>
          <w:rFonts w:eastAsia="Arial" w:cs="Arial"/>
        </w:rPr>
      </w:pPr>
      <w:r w:rsidRPr="00662906">
        <w:rPr>
          <w:rFonts w:eastAsia="Arial" w:cs="Arial"/>
        </w:rPr>
        <w:t>Supporting AU-MS to develop their national DDPs</w:t>
      </w:r>
      <w:r w:rsidR="00F44162" w:rsidRPr="00662906">
        <w:rPr>
          <w:rFonts w:eastAsia="Arial" w:cs="Arial"/>
        </w:rPr>
        <w:t>.</w:t>
      </w:r>
    </w:p>
    <w:p w14:paraId="05B96971" w14:textId="6CEA75D5" w:rsidR="15A0294D" w:rsidRPr="00662906" w:rsidRDefault="15A0294D" w:rsidP="5C88E6D1">
      <w:pPr>
        <w:pStyle w:val="ListParagraph"/>
        <w:rPr>
          <w:rFonts w:eastAsia="Arial" w:cs="Arial"/>
        </w:rPr>
      </w:pPr>
      <w:r w:rsidRPr="00662906">
        <w:rPr>
          <w:rFonts w:eastAsia="Arial" w:cs="Arial"/>
        </w:rPr>
        <w:t>Creating adequate and focused data sets for energy transition in general and specifically to support development of national DDPs</w:t>
      </w:r>
      <w:r w:rsidR="00F44162" w:rsidRPr="00662906">
        <w:rPr>
          <w:rFonts w:eastAsia="Arial" w:cs="Arial"/>
        </w:rPr>
        <w:t>.</w:t>
      </w:r>
    </w:p>
    <w:p w14:paraId="3C9A26EC" w14:textId="37D51906" w:rsidR="15A0294D" w:rsidRPr="00662906" w:rsidRDefault="15A0294D" w:rsidP="5C88E6D1">
      <w:pPr>
        <w:pStyle w:val="ListParagraph"/>
        <w:rPr>
          <w:rFonts w:eastAsia="Arial" w:cs="Arial"/>
        </w:rPr>
      </w:pPr>
      <w:r w:rsidRPr="00662906">
        <w:rPr>
          <w:rFonts w:eastAsia="Arial" w:cs="Arial"/>
        </w:rPr>
        <w:t>Creating capacity for supporting the overall energy transition on the continent, not only specific to implementing action plans of subsectors.</w:t>
      </w:r>
    </w:p>
    <w:p w14:paraId="04BEA39D" w14:textId="6FEE0B2E" w:rsidR="5C88E6D1" w:rsidRPr="00662906" w:rsidRDefault="15A0294D" w:rsidP="5C88E6D1">
      <w:pPr>
        <w:rPr>
          <w:rFonts w:eastAsia="Arial" w:cs="Arial"/>
        </w:rPr>
      </w:pPr>
      <w:r w:rsidRPr="00662906">
        <w:rPr>
          <w:rFonts w:eastAsia="Arial" w:cs="Arial"/>
        </w:rPr>
        <w:t>The Action Plans that have been developed for these horizontal strategic interventions are presented below</w:t>
      </w:r>
      <w:r w:rsidR="2730FEC4" w:rsidRPr="00662906">
        <w:rPr>
          <w:rFonts w:eastAsia="Arial" w:cs="Arial"/>
        </w:rPr>
        <w:t xml:space="preserve"> (Table </w:t>
      </w:r>
      <w:r w:rsidR="00A5461B" w:rsidRPr="00662906">
        <w:rPr>
          <w:rFonts w:eastAsia="Arial" w:cs="Arial"/>
        </w:rPr>
        <w:t>37</w:t>
      </w:r>
      <w:r w:rsidR="2730FEC4" w:rsidRPr="00662906">
        <w:rPr>
          <w:rFonts w:eastAsia="Arial" w:cs="Arial"/>
        </w:rPr>
        <w:t>)</w:t>
      </w:r>
      <w:r w:rsidRPr="00662906">
        <w:rPr>
          <w:rFonts w:eastAsia="Arial" w:cs="Arial"/>
        </w:rPr>
        <w:t>.</w:t>
      </w:r>
    </w:p>
    <w:p w14:paraId="25411760" w14:textId="69C8450C" w:rsidR="2E25513D" w:rsidRPr="00662906" w:rsidRDefault="00EB6981" w:rsidP="00EB6981">
      <w:pPr>
        <w:pStyle w:val="Caption"/>
        <w:rPr>
          <w:rFonts w:eastAsia="Arial" w:cs="Arial"/>
        </w:rPr>
      </w:pPr>
      <w:bookmarkStart w:id="721" w:name="_Toc197433925"/>
      <w:r w:rsidRPr="00662906">
        <w:t xml:space="preserve">Table </w:t>
      </w:r>
      <w:fldSimple w:instr=" SEQ Table \* ARABIC ">
        <w:r w:rsidR="00610F61">
          <w:rPr>
            <w:noProof/>
          </w:rPr>
          <w:t>37</w:t>
        </w:r>
      </w:fldSimple>
      <w:r w:rsidRPr="00662906">
        <w:t xml:space="preserve">: </w:t>
      </w:r>
      <w:r w:rsidR="2E25513D" w:rsidRPr="00662906">
        <w:rPr>
          <w:rFonts w:asciiTheme="minorHAnsi" w:eastAsiaTheme="minorEastAsia" w:hAnsiTheme="minorHAnsi" w:cstheme="minorBidi"/>
        </w:rPr>
        <w:t>Action Plan for the Horizontal Strategic Interventions</w:t>
      </w:r>
      <w:bookmarkEnd w:id="721"/>
    </w:p>
    <w:tbl>
      <w:tblPr>
        <w:tblStyle w:val="TableGrid"/>
        <w:tblW w:w="9351" w:type="dxa"/>
        <w:tblBorders>
          <w:top w:val="single" w:sz="4" w:space="0" w:color="9F2241" w:themeColor="background1"/>
          <w:left w:val="single" w:sz="4" w:space="0" w:color="9F2241" w:themeColor="background1"/>
          <w:bottom w:val="single" w:sz="4" w:space="0" w:color="9F2241" w:themeColor="background1"/>
          <w:right w:val="single" w:sz="4" w:space="0" w:color="9F2241" w:themeColor="background1"/>
          <w:insideH w:val="single" w:sz="4" w:space="0" w:color="9F2241" w:themeColor="background1"/>
          <w:insideV w:val="single" w:sz="4" w:space="0" w:color="9F2241" w:themeColor="background1"/>
        </w:tblBorders>
        <w:tblLayout w:type="fixed"/>
        <w:tblLook w:val="06A0" w:firstRow="1" w:lastRow="0" w:firstColumn="1" w:lastColumn="0" w:noHBand="1" w:noVBand="1"/>
      </w:tblPr>
      <w:tblGrid>
        <w:gridCol w:w="1413"/>
        <w:gridCol w:w="1417"/>
        <w:gridCol w:w="1418"/>
        <w:gridCol w:w="992"/>
        <w:gridCol w:w="1701"/>
        <w:gridCol w:w="1276"/>
        <w:gridCol w:w="1134"/>
      </w:tblGrid>
      <w:tr w:rsidR="00996658" w:rsidRPr="00662906" w14:paraId="7B2205E4" w14:textId="77777777" w:rsidTr="7606E323">
        <w:trPr>
          <w:trHeight w:val="300"/>
        </w:trPr>
        <w:tc>
          <w:tcPr>
            <w:tcW w:w="1413" w:type="dxa"/>
            <w:shd w:val="clear" w:color="auto" w:fill="B4A269" w:themeFill="text2"/>
            <w:vAlign w:val="center"/>
          </w:tcPr>
          <w:p w14:paraId="18224C8C" w14:textId="4E0561D5" w:rsidR="5C88E6D1" w:rsidRPr="00662906" w:rsidRDefault="5C88E6D1" w:rsidP="00813F48">
            <w:pPr>
              <w:spacing w:line="259" w:lineRule="auto"/>
              <w:jc w:val="center"/>
              <w:rPr>
                <w:rFonts w:eastAsia="Arial" w:cs="Arial"/>
                <w:color w:val="FFFFFF" w:themeColor="background2"/>
                <w:sz w:val="18"/>
                <w:szCs w:val="18"/>
              </w:rPr>
            </w:pPr>
            <w:r w:rsidRPr="00662906">
              <w:rPr>
                <w:rFonts w:eastAsia="Arial" w:cs="Arial"/>
                <w:b/>
                <w:bCs/>
                <w:color w:val="FFFFFF" w:themeColor="background2"/>
                <w:sz w:val="18"/>
                <w:szCs w:val="18"/>
              </w:rPr>
              <w:t>Strategic Intervention</w:t>
            </w:r>
          </w:p>
        </w:tc>
        <w:tc>
          <w:tcPr>
            <w:tcW w:w="1417" w:type="dxa"/>
            <w:shd w:val="clear" w:color="auto" w:fill="B4A269" w:themeFill="text2"/>
            <w:vAlign w:val="center"/>
          </w:tcPr>
          <w:p w14:paraId="20FAA960" w14:textId="40B5E10D" w:rsidR="064BCA97" w:rsidRPr="00662906" w:rsidRDefault="064BCA97"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Actions</w:t>
            </w:r>
          </w:p>
        </w:tc>
        <w:tc>
          <w:tcPr>
            <w:tcW w:w="1418" w:type="dxa"/>
            <w:shd w:val="clear" w:color="auto" w:fill="B4A269" w:themeFill="text2"/>
            <w:vAlign w:val="center"/>
          </w:tcPr>
          <w:p w14:paraId="2F985C3B" w14:textId="3F15D60C" w:rsidR="5C88E6D1" w:rsidRPr="00662906" w:rsidRDefault="5C88E6D1"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Activities</w:t>
            </w:r>
          </w:p>
        </w:tc>
        <w:tc>
          <w:tcPr>
            <w:tcW w:w="992" w:type="dxa"/>
            <w:shd w:val="clear" w:color="auto" w:fill="B4A269" w:themeFill="text2"/>
            <w:vAlign w:val="center"/>
          </w:tcPr>
          <w:p w14:paraId="17EF23B8" w14:textId="165EC62C" w:rsidR="5C88E6D1" w:rsidRPr="00662906" w:rsidRDefault="5C88E6D1"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Lead Agency</w:t>
            </w:r>
          </w:p>
        </w:tc>
        <w:tc>
          <w:tcPr>
            <w:tcW w:w="1701" w:type="dxa"/>
            <w:shd w:val="clear" w:color="auto" w:fill="B4A269" w:themeFill="text2"/>
            <w:vAlign w:val="center"/>
          </w:tcPr>
          <w:p w14:paraId="46F8C889" w14:textId="49BEAFBD" w:rsidR="5C88E6D1" w:rsidRPr="00662906" w:rsidRDefault="5C88E6D1"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Collaborating Stakeholders</w:t>
            </w:r>
          </w:p>
        </w:tc>
        <w:tc>
          <w:tcPr>
            <w:tcW w:w="1276" w:type="dxa"/>
            <w:shd w:val="clear" w:color="auto" w:fill="B4A269" w:themeFill="text2"/>
            <w:vAlign w:val="center"/>
          </w:tcPr>
          <w:p w14:paraId="67753BEF" w14:textId="39A16106" w:rsidR="5C88E6D1" w:rsidRPr="00662906" w:rsidRDefault="5C88E6D1"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Time frame</w:t>
            </w:r>
          </w:p>
        </w:tc>
        <w:tc>
          <w:tcPr>
            <w:tcW w:w="1134" w:type="dxa"/>
            <w:shd w:val="clear" w:color="auto" w:fill="B4A269" w:themeFill="text2"/>
            <w:vAlign w:val="center"/>
          </w:tcPr>
          <w:p w14:paraId="5DB705BE" w14:textId="57AEAFAD" w:rsidR="5C88E6D1" w:rsidRPr="00662906" w:rsidRDefault="5C88E6D1" w:rsidP="00EB6981">
            <w:pPr>
              <w:jc w:val="center"/>
              <w:rPr>
                <w:rFonts w:eastAsia="Arial" w:cs="Arial"/>
                <w:b/>
                <w:bCs/>
                <w:color w:val="FFFFFF" w:themeColor="background2"/>
                <w:sz w:val="18"/>
                <w:szCs w:val="18"/>
              </w:rPr>
            </w:pPr>
            <w:r w:rsidRPr="00662906">
              <w:rPr>
                <w:rFonts w:eastAsia="Arial" w:cs="Arial"/>
                <w:b/>
                <w:bCs/>
                <w:color w:val="FFFFFF" w:themeColor="background2"/>
                <w:sz w:val="18"/>
                <w:szCs w:val="18"/>
              </w:rPr>
              <w:t>Outcome</w:t>
            </w:r>
          </w:p>
        </w:tc>
      </w:tr>
      <w:tr w:rsidR="00996658" w:rsidRPr="00662906" w14:paraId="4E15D7E0" w14:textId="77777777" w:rsidTr="7606E323">
        <w:trPr>
          <w:trHeight w:val="300"/>
        </w:trPr>
        <w:tc>
          <w:tcPr>
            <w:tcW w:w="1413" w:type="dxa"/>
            <w:vMerge w:val="restart"/>
            <w:vAlign w:val="center"/>
          </w:tcPr>
          <w:p w14:paraId="315CFAA5" w14:textId="08D693EB"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Supporting AU-MS to develop their national DDPs</w:t>
            </w:r>
          </w:p>
        </w:tc>
        <w:tc>
          <w:tcPr>
            <w:tcW w:w="1417" w:type="dxa"/>
            <w:vAlign w:val="center"/>
          </w:tcPr>
          <w:p w14:paraId="44AACCEF" w14:textId="6EB253FA"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Train MS on </w:t>
            </w:r>
            <w:r w:rsidR="42C8FF2D" w:rsidRPr="00662906">
              <w:rPr>
                <w:rFonts w:eastAsia="Arial" w:cs="Arial"/>
                <w:color w:val="394A58"/>
                <w:sz w:val="18"/>
                <w:szCs w:val="18"/>
              </w:rPr>
              <w:t xml:space="preserve">designing development of DDP and related </w:t>
            </w:r>
            <w:r w:rsidRPr="00662906">
              <w:rPr>
                <w:rFonts w:eastAsia="Arial" w:cs="Arial"/>
                <w:color w:val="394A58"/>
                <w:sz w:val="18"/>
                <w:szCs w:val="18"/>
              </w:rPr>
              <w:t>data collection</w:t>
            </w:r>
          </w:p>
        </w:tc>
        <w:tc>
          <w:tcPr>
            <w:tcW w:w="1418" w:type="dxa"/>
            <w:vAlign w:val="center"/>
          </w:tcPr>
          <w:p w14:paraId="2D9C01F4" w14:textId="4CAAEBB1"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Create a tool with data </w:t>
            </w:r>
            <w:r w:rsidR="7F052F47" w:rsidRPr="00662906">
              <w:rPr>
                <w:rFonts w:eastAsia="Arial" w:cs="Arial"/>
                <w:color w:val="394A58"/>
                <w:sz w:val="18"/>
                <w:szCs w:val="18"/>
              </w:rPr>
              <w:t>checklist; Stakeholder</w:t>
            </w:r>
            <w:r w:rsidRPr="00662906">
              <w:rPr>
                <w:rFonts w:eastAsia="Arial" w:cs="Arial"/>
                <w:color w:val="394A58"/>
                <w:sz w:val="18"/>
                <w:szCs w:val="18"/>
              </w:rPr>
              <w:t xml:space="preserve"> </w:t>
            </w:r>
            <w:r w:rsidR="7F052F47" w:rsidRPr="00662906">
              <w:rPr>
                <w:rFonts w:eastAsia="Arial" w:cs="Arial"/>
                <w:color w:val="394A58"/>
                <w:sz w:val="18"/>
                <w:szCs w:val="18"/>
              </w:rPr>
              <w:t>engagement; Survey</w:t>
            </w:r>
            <w:r w:rsidRPr="00662906">
              <w:rPr>
                <w:rFonts w:eastAsia="Arial" w:cs="Arial"/>
                <w:color w:val="394A58"/>
                <w:sz w:val="18"/>
                <w:szCs w:val="18"/>
              </w:rPr>
              <w:t xml:space="preserve"> for data collection</w:t>
            </w:r>
          </w:p>
        </w:tc>
        <w:tc>
          <w:tcPr>
            <w:tcW w:w="992" w:type="dxa"/>
            <w:vAlign w:val="center"/>
          </w:tcPr>
          <w:p w14:paraId="06214679" w14:textId="36560943"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120E77E5" w14:textId="56B2D22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Ministries of Energy (including oil and gas), transport, public works industry, agriculture</w:t>
            </w:r>
          </w:p>
          <w:p w14:paraId="74120E33" w14:textId="7AC98AA2"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Consultants for data collection, stakeholder facilitation</w:t>
            </w:r>
          </w:p>
        </w:tc>
        <w:tc>
          <w:tcPr>
            <w:tcW w:w="1276" w:type="dxa"/>
            <w:vAlign w:val="center"/>
          </w:tcPr>
          <w:p w14:paraId="3DAD01D7" w14:textId="3479E1D3"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w:t>
            </w:r>
          </w:p>
        </w:tc>
        <w:tc>
          <w:tcPr>
            <w:tcW w:w="1134" w:type="dxa"/>
            <w:vAlign w:val="center"/>
          </w:tcPr>
          <w:p w14:paraId="7922899D" w14:textId="0B2E5B1B"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Emission reduction targets for regions and continent</w:t>
            </w:r>
          </w:p>
        </w:tc>
      </w:tr>
      <w:tr w:rsidR="00996658" w:rsidRPr="00662906" w14:paraId="345DB63F" w14:textId="77777777" w:rsidTr="7606E323">
        <w:trPr>
          <w:trHeight w:val="300"/>
        </w:trPr>
        <w:tc>
          <w:tcPr>
            <w:tcW w:w="1413" w:type="dxa"/>
            <w:vMerge/>
            <w:vAlign w:val="center"/>
          </w:tcPr>
          <w:p w14:paraId="7F601FDB" w14:textId="77777777" w:rsidR="00160B8D" w:rsidRPr="00662906" w:rsidRDefault="00160B8D" w:rsidP="00EB6981">
            <w:pPr>
              <w:jc w:val="center"/>
              <w:rPr>
                <w:rFonts w:cs="Arial"/>
                <w:sz w:val="18"/>
                <w:szCs w:val="18"/>
              </w:rPr>
            </w:pPr>
          </w:p>
        </w:tc>
        <w:tc>
          <w:tcPr>
            <w:tcW w:w="1417" w:type="dxa"/>
            <w:vAlign w:val="center"/>
          </w:tcPr>
          <w:p w14:paraId="3D8C95A8" w14:textId="6D3720B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Train MS on</w:t>
            </w:r>
            <w:r w:rsidR="44648652" w:rsidRPr="00662906">
              <w:rPr>
                <w:rFonts w:eastAsia="Arial" w:cs="Arial"/>
                <w:color w:val="394A58"/>
                <w:sz w:val="18"/>
                <w:szCs w:val="18"/>
              </w:rPr>
              <w:t xml:space="preserve"> </w:t>
            </w:r>
            <w:r w:rsidR="00F346CC" w:rsidRPr="00662906">
              <w:rPr>
                <w:rFonts w:eastAsia="Arial" w:cs="Arial"/>
                <w:color w:val="394A58"/>
                <w:sz w:val="18"/>
                <w:szCs w:val="18"/>
              </w:rPr>
              <w:t>Scenario modelling</w:t>
            </w:r>
          </w:p>
        </w:tc>
        <w:tc>
          <w:tcPr>
            <w:tcW w:w="1418" w:type="dxa"/>
            <w:vAlign w:val="center"/>
          </w:tcPr>
          <w:p w14:paraId="1C1693A8" w14:textId="0D8A0C25"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Identify suitable type of model</w:t>
            </w:r>
          </w:p>
          <w:p w14:paraId="209DD94C" w14:textId="526961CE"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Organize Group training workshop on selected model.</w:t>
            </w:r>
          </w:p>
        </w:tc>
        <w:tc>
          <w:tcPr>
            <w:tcW w:w="992" w:type="dxa"/>
            <w:vAlign w:val="center"/>
          </w:tcPr>
          <w:p w14:paraId="7B2C967D" w14:textId="25892D55"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4077264F" w14:textId="70321AFE"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Consultants for energy sector modelling</w:t>
            </w:r>
          </w:p>
        </w:tc>
        <w:tc>
          <w:tcPr>
            <w:tcW w:w="1276" w:type="dxa"/>
            <w:vAlign w:val="center"/>
          </w:tcPr>
          <w:p w14:paraId="11CAE804" w14:textId="2C0639A8"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w:t>
            </w:r>
          </w:p>
        </w:tc>
        <w:tc>
          <w:tcPr>
            <w:tcW w:w="1134" w:type="dxa"/>
            <w:vAlign w:val="center"/>
          </w:tcPr>
          <w:p w14:paraId="0589A17B" w14:textId="28083951"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Publicly available </w:t>
            </w:r>
            <w:r w:rsidR="00E366C7" w:rsidRPr="00662906">
              <w:rPr>
                <w:rFonts w:eastAsia="Arial" w:cs="Arial"/>
                <w:color w:val="394A58"/>
                <w:sz w:val="18"/>
                <w:szCs w:val="18"/>
              </w:rPr>
              <w:t>modelling</w:t>
            </w:r>
            <w:r w:rsidRPr="00662906">
              <w:rPr>
                <w:rFonts w:eastAsia="Arial" w:cs="Arial"/>
                <w:color w:val="394A58"/>
                <w:sz w:val="18"/>
                <w:szCs w:val="18"/>
              </w:rPr>
              <w:t xml:space="preserve"> tool for MS</w:t>
            </w:r>
          </w:p>
        </w:tc>
      </w:tr>
      <w:tr w:rsidR="00996658" w:rsidRPr="00662906" w14:paraId="1EBCA602" w14:textId="77777777" w:rsidTr="7606E323">
        <w:trPr>
          <w:trHeight w:val="300"/>
        </w:trPr>
        <w:tc>
          <w:tcPr>
            <w:tcW w:w="1413" w:type="dxa"/>
            <w:vMerge w:val="restart"/>
            <w:vAlign w:val="center"/>
          </w:tcPr>
          <w:p w14:paraId="76CF38D6" w14:textId="5EBE259E" w:rsidR="588615B2" w:rsidRPr="00662906" w:rsidRDefault="283408E1" w:rsidP="7606E323">
            <w:pPr>
              <w:spacing w:before="40" w:after="40"/>
              <w:jc w:val="left"/>
              <w:rPr>
                <w:rFonts w:eastAsia="Arial" w:cs="Arial"/>
                <w:color w:val="394A58"/>
                <w:sz w:val="18"/>
                <w:szCs w:val="18"/>
              </w:rPr>
            </w:pPr>
            <w:r w:rsidRPr="00662906">
              <w:rPr>
                <w:rFonts w:eastAsia="Arial" w:cs="Arial"/>
                <w:color w:val="394A58"/>
                <w:sz w:val="18"/>
                <w:szCs w:val="18"/>
              </w:rPr>
              <w:t>Energy Transition Information system</w:t>
            </w:r>
          </w:p>
          <w:p w14:paraId="5C43CE08" w14:textId="2AD02533" w:rsidR="588615B2" w:rsidRPr="00662906" w:rsidRDefault="283408E1" w:rsidP="7606E323">
            <w:pPr>
              <w:spacing w:before="40" w:after="40"/>
              <w:jc w:val="left"/>
              <w:rPr>
                <w:rFonts w:eastAsia="Arial" w:cs="Arial"/>
                <w:color w:val="394A58"/>
                <w:sz w:val="18"/>
                <w:szCs w:val="18"/>
              </w:rPr>
            </w:pPr>
            <w:r w:rsidRPr="00662906">
              <w:rPr>
                <w:rFonts w:eastAsia="Arial" w:cs="Arial"/>
                <w:color w:val="394A58"/>
                <w:sz w:val="18"/>
                <w:szCs w:val="18"/>
              </w:rPr>
              <w:t>Capacity Building</w:t>
            </w:r>
          </w:p>
          <w:p w14:paraId="0D7D03BA" w14:textId="0F50F826" w:rsidR="5C88E6D1" w:rsidRPr="00662906" w:rsidRDefault="5C88E6D1" w:rsidP="7606E323">
            <w:pPr>
              <w:spacing w:before="40" w:after="40"/>
              <w:jc w:val="left"/>
              <w:rPr>
                <w:rFonts w:eastAsia="Arial" w:cs="Arial"/>
                <w:color w:val="394A58"/>
                <w:sz w:val="18"/>
                <w:szCs w:val="18"/>
              </w:rPr>
            </w:pPr>
          </w:p>
        </w:tc>
        <w:tc>
          <w:tcPr>
            <w:tcW w:w="1417" w:type="dxa"/>
            <w:vAlign w:val="center"/>
          </w:tcPr>
          <w:p w14:paraId="34D177BF" w14:textId="5BA6BFB0"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Develop a check list of data sets used for ET</w:t>
            </w:r>
          </w:p>
        </w:tc>
        <w:tc>
          <w:tcPr>
            <w:tcW w:w="1418" w:type="dxa"/>
            <w:vAlign w:val="center"/>
          </w:tcPr>
          <w:p w14:paraId="3D2D75C0" w14:textId="5ECFCDF1"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Consultant to review ET data sets from other organizations that are used in best practice</w:t>
            </w:r>
          </w:p>
        </w:tc>
        <w:tc>
          <w:tcPr>
            <w:tcW w:w="992" w:type="dxa"/>
            <w:vAlign w:val="center"/>
          </w:tcPr>
          <w:p w14:paraId="76A885AB" w14:textId="4BD3181A"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47FFBB27" w14:textId="79B75FF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Focal national points in ME, regional</w:t>
            </w:r>
          </w:p>
          <w:p w14:paraId="65D7E55C" w14:textId="6F16F818"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Power pools &amp; national utilities, regulatory standards agencies</w:t>
            </w:r>
          </w:p>
        </w:tc>
        <w:tc>
          <w:tcPr>
            <w:tcW w:w="1276" w:type="dxa"/>
            <w:vAlign w:val="center"/>
          </w:tcPr>
          <w:p w14:paraId="1BE20573" w14:textId="724C451F"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w:t>
            </w:r>
          </w:p>
        </w:tc>
        <w:tc>
          <w:tcPr>
            <w:tcW w:w="1134" w:type="dxa"/>
            <w:vAlign w:val="center"/>
          </w:tcPr>
          <w:p w14:paraId="48BE70DD" w14:textId="5951742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Standardized ET data sets</w:t>
            </w:r>
          </w:p>
        </w:tc>
      </w:tr>
      <w:tr w:rsidR="00996658" w:rsidRPr="00662906" w14:paraId="0D555E0A" w14:textId="77777777" w:rsidTr="7606E323">
        <w:trPr>
          <w:trHeight w:val="300"/>
        </w:trPr>
        <w:tc>
          <w:tcPr>
            <w:tcW w:w="1413" w:type="dxa"/>
            <w:vMerge/>
            <w:vAlign w:val="center"/>
          </w:tcPr>
          <w:p w14:paraId="62D5FA4D" w14:textId="77777777" w:rsidR="00160B8D" w:rsidRPr="00662906" w:rsidRDefault="00160B8D" w:rsidP="00EB6981">
            <w:pPr>
              <w:jc w:val="center"/>
              <w:rPr>
                <w:rFonts w:cs="Arial"/>
                <w:sz w:val="18"/>
                <w:szCs w:val="18"/>
              </w:rPr>
            </w:pPr>
          </w:p>
        </w:tc>
        <w:tc>
          <w:tcPr>
            <w:tcW w:w="1417" w:type="dxa"/>
            <w:vAlign w:val="center"/>
          </w:tcPr>
          <w:p w14:paraId="5A556B0D" w14:textId="05B6F84E"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Create a database for ET information</w:t>
            </w:r>
          </w:p>
        </w:tc>
        <w:tc>
          <w:tcPr>
            <w:tcW w:w="1418" w:type="dxa"/>
            <w:vAlign w:val="center"/>
          </w:tcPr>
          <w:p w14:paraId="7F467A64" w14:textId="76668D79"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Include as part of AFREC </w:t>
            </w:r>
            <w:r w:rsidR="004A0E7E" w:rsidRPr="00662906">
              <w:rPr>
                <w:rFonts w:eastAsia="Arial" w:cs="Arial"/>
                <w:color w:val="394A58"/>
                <w:sz w:val="18"/>
                <w:szCs w:val="18"/>
              </w:rPr>
              <w:t>Information</w:t>
            </w:r>
            <w:r w:rsidRPr="00662906">
              <w:rPr>
                <w:rFonts w:eastAsia="Arial" w:cs="Arial"/>
                <w:color w:val="394A58"/>
                <w:sz w:val="18"/>
                <w:szCs w:val="18"/>
              </w:rPr>
              <w:t xml:space="preserve"> System a sub database for ET information</w:t>
            </w:r>
          </w:p>
        </w:tc>
        <w:tc>
          <w:tcPr>
            <w:tcW w:w="992" w:type="dxa"/>
            <w:vAlign w:val="center"/>
          </w:tcPr>
          <w:p w14:paraId="55FC2778" w14:textId="77A0737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5C10E4FB" w14:textId="033D4AA7"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Data </w:t>
            </w:r>
            <w:r w:rsidR="1B66578C" w:rsidRPr="00662906">
              <w:rPr>
                <w:rFonts w:eastAsia="Arial" w:cs="Arial"/>
                <w:color w:val="394A58"/>
                <w:sz w:val="18"/>
                <w:szCs w:val="18"/>
              </w:rPr>
              <w:t>base. Website</w:t>
            </w:r>
            <w:r w:rsidRPr="00662906">
              <w:rPr>
                <w:rFonts w:eastAsia="Arial" w:cs="Arial"/>
                <w:color w:val="394A58"/>
                <w:sz w:val="18"/>
                <w:szCs w:val="18"/>
              </w:rPr>
              <w:t xml:space="preserve"> consultants</w:t>
            </w:r>
          </w:p>
        </w:tc>
        <w:tc>
          <w:tcPr>
            <w:tcW w:w="1276" w:type="dxa"/>
            <w:vAlign w:val="center"/>
          </w:tcPr>
          <w:p w14:paraId="0019E2E1" w14:textId="11BECCA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w:t>
            </w:r>
          </w:p>
        </w:tc>
        <w:tc>
          <w:tcPr>
            <w:tcW w:w="1134" w:type="dxa"/>
            <w:vAlign w:val="center"/>
          </w:tcPr>
          <w:p w14:paraId="06CF9E6B" w14:textId="68755773"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Dedicated database for ET analysis</w:t>
            </w:r>
          </w:p>
        </w:tc>
      </w:tr>
      <w:tr w:rsidR="00996658" w:rsidRPr="00662906" w14:paraId="34EEC3FC" w14:textId="77777777" w:rsidTr="7606E323">
        <w:trPr>
          <w:trHeight w:val="840"/>
        </w:trPr>
        <w:tc>
          <w:tcPr>
            <w:tcW w:w="1413" w:type="dxa"/>
            <w:vMerge/>
            <w:vAlign w:val="center"/>
          </w:tcPr>
          <w:p w14:paraId="28E2D287" w14:textId="77777777" w:rsidR="00160B8D" w:rsidRPr="00662906" w:rsidRDefault="00160B8D" w:rsidP="00EB6981">
            <w:pPr>
              <w:jc w:val="center"/>
              <w:rPr>
                <w:rFonts w:cs="Arial"/>
                <w:sz w:val="18"/>
                <w:szCs w:val="18"/>
              </w:rPr>
            </w:pPr>
          </w:p>
        </w:tc>
        <w:tc>
          <w:tcPr>
            <w:tcW w:w="1417" w:type="dxa"/>
            <w:vAlign w:val="center"/>
          </w:tcPr>
          <w:p w14:paraId="53FFD724" w14:textId="3F0126EE" w:rsidR="71E0E1C8" w:rsidRPr="00662906" w:rsidRDefault="60E4412F" w:rsidP="7606E323">
            <w:pPr>
              <w:spacing w:before="40" w:after="40"/>
              <w:jc w:val="left"/>
              <w:rPr>
                <w:rFonts w:eastAsia="Arial" w:cs="Arial"/>
                <w:color w:val="394A58"/>
                <w:sz w:val="18"/>
                <w:szCs w:val="18"/>
              </w:rPr>
            </w:pPr>
            <w:r w:rsidRPr="00662906">
              <w:rPr>
                <w:rFonts w:eastAsia="Arial" w:cs="Arial"/>
                <w:color w:val="394A58"/>
                <w:sz w:val="18"/>
                <w:szCs w:val="18"/>
              </w:rPr>
              <w:t>Establish a Data collection and processing system</w:t>
            </w:r>
          </w:p>
          <w:p w14:paraId="527D88E8" w14:textId="13830977" w:rsidR="5C88E6D1" w:rsidRPr="00662906" w:rsidRDefault="5C88E6D1" w:rsidP="7606E323">
            <w:pPr>
              <w:spacing w:before="40" w:after="40"/>
              <w:jc w:val="left"/>
              <w:rPr>
                <w:rFonts w:eastAsia="Arial" w:cs="Arial"/>
                <w:color w:val="394A58"/>
                <w:sz w:val="18"/>
                <w:szCs w:val="18"/>
              </w:rPr>
            </w:pPr>
          </w:p>
        </w:tc>
        <w:tc>
          <w:tcPr>
            <w:tcW w:w="1418" w:type="dxa"/>
            <w:vAlign w:val="center"/>
          </w:tcPr>
          <w:p w14:paraId="0A7C59C7" w14:textId="116E8F1F"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Develop data collection tools and needed processing needed from the different sources.</w:t>
            </w:r>
          </w:p>
        </w:tc>
        <w:tc>
          <w:tcPr>
            <w:tcW w:w="992" w:type="dxa"/>
            <w:vAlign w:val="center"/>
          </w:tcPr>
          <w:p w14:paraId="0C43F847" w14:textId="018DA9F8"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28DB71A7" w14:textId="72404DAF"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 Statistics Unit</w:t>
            </w:r>
          </w:p>
          <w:p w14:paraId="51CFA87D" w14:textId="0585CA1E"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UNECA/</w:t>
            </w:r>
            <w:r w:rsidR="00F44162" w:rsidRPr="00662906">
              <w:rPr>
                <w:rFonts w:cs="Arial"/>
                <w:color w:val="111111"/>
                <w:sz w:val="18"/>
                <w:szCs w:val="18"/>
                <w:shd w:val="clear" w:color="auto" w:fill="FFFFFF"/>
              </w:rPr>
              <w:t xml:space="preserve"> </w:t>
            </w:r>
            <w:r w:rsidR="00F44162" w:rsidRPr="00662906">
              <w:rPr>
                <w:rFonts w:eastAsia="Arial" w:cs="Arial"/>
                <w:color w:val="394A58"/>
                <w:sz w:val="18"/>
                <w:szCs w:val="18"/>
              </w:rPr>
              <w:t>International Renewable Energy Agency (</w:t>
            </w:r>
            <w:r w:rsidRPr="00662906">
              <w:rPr>
                <w:rFonts w:eastAsia="Arial" w:cs="Arial"/>
                <w:color w:val="394A58"/>
                <w:sz w:val="18"/>
                <w:szCs w:val="18"/>
              </w:rPr>
              <w:t>IRENA</w:t>
            </w:r>
            <w:r w:rsidR="00F44162" w:rsidRPr="00662906">
              <w:rPr>
                <w:rFonts w:eastAsia="Arial" w:cs="Arial"/>
                <w:color w:val="394A58"/>
                <w:sz w:val="18"/>
                <w:szCs w:val="18"/>
              </w:rPr>
              <w:t>)</w:t>
            </w:r>
            <w:r w:rsidRPr="00662906">
              <w:rPr>
                <w:rFonts w:eastAsia="Arial" w:cs="Arial"/>
                <w:color w:val="394A58"/>
                <w:sz w:val="18"/>
                <w:szCs w:val="18"/>
              </w:rPr>
              <w:t xml:space="preserve"> etc</w:t>
            </w:r>
          </w:p>
        </w:tc>
        <w:tc>
          <w:tcPr>
            <w:tcW w:w="1276" w:type="dxa"/>
            <w:vAlign w:val="center"/>
          </w:tcPr>
          <w:p w14:paraId="137C8FAD" w14:textId="50466414"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w:t>
            </w:r>
          </w:p>
        </w:tc>
        <w:tc>
          <w:tcPr>
            <w:tcW w:w="1134" w:type="dxa"/>
            <w:vAlign w:val="center"/>
          </w:tcPr>
          <w:p w14:paraId="609A7D83" w14:textId="23956EA7"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Established data sets applicable to ET analysis</w:t>
            </w:r>
          </w:p>
        </w:tc>
      </w:tr>
      <w:tr w:rsidR="00996658" w:rsidRPr="00662906" w14:paraId="20F9F7FE" w14:textId="77777777" w:rsidTr="7606E323">
        <w:trPr>
          <w:trHeight w:val="300"/>
        </w:trPr>
        <w:tc>
          <w:tcPr>
            <w:tcW w:w="1413" w:type="dxa"/>
            <w:vMerge w:val="restart"/>
            <w:vAlign w:val="center"/>
          </w:tcPr>
          <w:p w14:paraId="2DD15E62" w14:textId="435F7F4C" w:rsidR="2B769A5D" w:rsidRPr="00662906" w:rsidRDefault="1C693A0D" w:rsidP="7606E323">
            <w:pPr>
              <w:spacing w:before="40" w:after="40"/>
              <w:jc w:val="left"/>
              <w:rPr>
                <w:rFonts w:eastAsia="Arial" w:cs="Arial"/>
                <w:color w:val="394A58"/>
                <w:sz w:val="18"/>
                <w:szCs w:val="18"/>
              </w:rPr>
            </w:pPr>
            <w:r w:rsidRPr="00662906">
              <w:rPr>
                <w:rFonts w:eastAsia="Arial" w:cs="Arial"/>
                <w:color w:val="394A58"/>
                <w:sz w:val="18"/>
                <w:szCs w:val="18"/>
              </w:rPr>
              <w:lastRenderedPageBreak/>
              <w:t>Capacity Building</w:t>
            </w:r>
          </w:p>
          <w:p w14:paraId="06F601FD" w14:textId="1508BFB3" w:rsidR="5C88E6D1" w:rsidRPr="00662906" w:rsidRDefault="5C88E6D1" w:rsidP="7606E323">
            <w:pPr>
              <w:spacing w:before="40" w:after="40"/>
              <w:jc w:val="left"/>
              <w:rPr>
                <w:rFonts w:eastAsia="Arial" w:cs="Arial"/>
                <w:color w:val="394A58"/>
                <w:sz w:val="18"/>
                <w:szCs w:val="18"/>
              </w:rPr>
            </w:pPr>
          </w:p>
        </w:tc>
        <w:tc>
          <w:tcPr>
            <w:tcW w:w="1417" w:type="dxa"/>
            <w:vAlign w:val="center"/>
          </w:tcPr>
          <w:p w14:paraId="2940D4FF" w14:textId="4AD685BF" w:rsidR="527E5A98" w:rsidRPr="00662906" w:rsidRDefault="6DB24250" w:rsidP="7606E323">
            <w:pPr>
              <w:spacing w:before="40" w:after="40"/>
              <w:jc w:val="left"/>
              <w:rPr>
                <w:rFonts w:eastAsia="Arial" w:cs="Arial"/>
                <w:color w:val="394A58"/>
                <w:sz w:val="18"/>
                <w:szCs w:val="18"/>
              </w:rPr>
            </w:pPr>
            <w:r w:rsidRPr="00662906">
              <w:rPr>
                <w:rFonts w:eastAsia="Arial" w:cs="Arial"/>
                <w:color w:val="394A58"/>
                <w:sz w:val="18"/>
                <w:szCs w:val="18"/>
              </w:rPr>
              <w:t>Capacity Building of continental agencies</w:t>
            </w:r>
          </w:p>
        </w:tc>
        <w:tc>
          <w:tcPr>
            <w:tcW w:w="1418" w:type="dxa"/>
            <w:vAlign w:val="center"/>
          </w:tcPr>
          <w:p w14:paraId="6964806A" w14:textId="6C3126BB" w:rsidR="49399AF1" w:rsidRPr="00662906" w:rsidRDefault="2576DE10" w:rsidP="7606E323">
            <w:pPr>
              <w:spacing w:before="40" w:after="40"/>
              <w:jc w:val="left"/>
              <w:rPr>
                <w:rFonts w:eastAsia="Arial" w:cs="Arial"/>
                <w:color w:val="394A58"/>
                <w:sz w:val="18"/>
                <w:szCs w:val="18"/>
              </w:rPr>
            </w:pPr>
            <w:r w:rsidRPr="00662906">
              <w:rPr>
                <w:rFonts w:eastAsia="Arial" w:cs="Arial"/>
                <w:color w:val="394A58"/>
                <w:sz w:val="18"/>
                <w:szCs w:val="18"/>
              </w:rPr>
              <w:t xml:space="preserve">Capacitate AU agencies on project designs, developing </w:t>
            </w:r>
            <w:r w:rsidR="00F44162" w:rsidRPr="00662906">
              <w:rPr>
                <w:rFonts w:eastAsia="Arial" w:cs="Arial"/>
                <w:color w:val="394A58"/>
                <w:sz w:val="18"/>
                <w:szCs w:val="18"/>
              </w:rPr>
              <w:t>Terms of Reference (</w:t>
            </w:r>
            <w:r w:rsidRPr="00662906">
              <w:rPr>
                <w:rFonts w:eastAsia="Arial" w:cs="Arial"/>
                <w:color w:val="394A58"/>
                <w:sz w:val="18"/>
                <w:szCs w:val="18"/>
              </w:rPr>
              <w:t>T</w:t>
            </w:r>
            <w:r w:rsidR="00F44162" w:rsidRPr="00662906">
              <w:rPr>
                <w:rFonts w:eastAsia="Arial" w:cs="Arial"/>
                <w:color w:val="394A58"/>
                <w:sz w:val="18"/>
                <w:szCs w:val="18"/>
              </w:rPr>
              <w:t>o</w:t>
            </w:r>
            <w:r w:rsidRPr="00662906">
              <w:rPr>
                <w:rFonts w:eastAsia="Arial" w:cs="Arial"/>
                <w:color w:val="394A58"/>
                <w:sz w:val="18"/>
                <w:szCs w:val="18"/>
              </w:rPr>
              <w:t>Rs</w:t>
            </w:r>
            <w:r w:rsidR="00F44162" w:rsidRPr="00662906">
              <w:rPr>
                <w:rFonts w:eastAsia="Arial" w:cs="Arial"/>
                <w:color w:val="394A58"/>
                <w:sz w:val="18"/>
                <w:szCs w:val="18"/>
              </w:rPr>
              <w:t>)</w:t>
            </w:r>
            <w:r w:rsidRPr="00662906">
              <w:rPr>
                <w:rFonts w:eastAsia="Arial" w:cs="Arial"/>
                <w:color w:val="394A58"/>
                <w:sz w:val="18"/>
                <w:szCs w:val="18"/>
              </w:rPr>
              <w:t xml:space="preserve">, Resource mobilization, Project Management; Monitoring and </w:t>
            </w:r>
            <w:r w:rsidR="1B66578C" w:rsidRPr="00662906">
              <w:rPr>
                <w:rFonts w:eastAsia="Arial" w:cs="Arial"/>
                <w:color w:val="394A58"/>
                <w:sz w:val="18"/>
                <w:szCs w:val="18"/>
              </w:rPr>
              <w:t>Evaluation</w:t>
            </w:r>
            <w:r w:rsidRPr="00662906">
              <w:rPr>
                <w:rFonts w:eastAsia="Arial" w:cs="Arial"/>
                <w:color w:val="394A58"/>
                <w:sz w:val="18"/>
                <w:szCs w:val="18"/>
              </w:rPr>
              <w:t xml:space="preserve"> of projects/programmes</w:t>
            </w:r>
          </w:p>
          <w:p w14:paraId="25762D60" w14:textId="7A82A512" w:rsidR="5C88E6D1" w:rsidRPr="00662906" w:rsidRDefault="5C88E6D1" w:rsidP="7606E323">
            <w:pPr>
              <w:spacing w:before="40" w:after="40"/>
              <w:jc w:val="left"/>
              <w:rPr>
                <w:rFonts w:eastAsia="Arial" w:cs="Arial"/>
                <w:color w:val="394A58"/>
                <w:sz w:val="18"/>
                <w:szCs w:val="18"/>
              </w:rPr>
            </w:pPr>
          </w:p>
        </w:tc>
        <w:tc>
          <w:tcPr>
            <w:tcW w:w="992" w:type="dxa"/>
            <w:vAlign w:val="center"/>
          </w:tcPr>
          <w:p w14:paraId="574ADF69" w14:textId="3E9074DC"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100614E2" w14:textId="0473AF69" w:rsidR="5C88E6D1" w:rsidRPr="00662906" w:rsidRDefault="009E25F9" w:rsidP="7606E323">
            <w:pPr>
              <w:spacing w:before="40" w:after="40"/>
              <w:jc w:val="left"/>
              <w:rPr>
                <w:rFonts w:eastAsia="Arial" w:cs="Arial"/>
                <w:color w:val="394A58"/>
                <w:sz w:val="18"/>
                <w:szCs w:val="18"/>
              </w:rPr>
            </w:pPr>
            <w:r w:rsidRPr="00662906">
              <w:rPr>
                <w:rFonts w:eastAsia="Arial" w:cs="Arial"/>
                <w:color w:val="394A58"/>
                <w:sz w:val="18"/>
                <w:szCs w:val="18"/>
              </w:rPr>
              <w:t>AU</w:t>
            </w:r>
            <w:r w:rsidR="5CE3AF7F" w:rsidRPr="00662906">
              <w:rPr>
                <w:rFonts w:eastAsia="Arial" w:cs="Arial"/>
                <w:color w:val="394A58"/>
                <w:sz w:val="18"/>
                <w:szCs w:val="18"/>
              </w:rPr>
              <w:t>DA-NEPAD, AUC-</w:t>
            </w:r>
            <w:r w:rsidR="002F5073" w:rsidRPr="00662906">
              <w:rPr>
                <w:rFonts w:cs="Arial"/>
                <w:sz w:val="18"/>
                <w:szCs w:val="18"/>
              </w:rPr>
              <w:t xml:space="preserve"> </w:t>
            </w:r>
            <w:r w:rsidR="5CE3AF7F" w:rsidRPr="00662906">
              <w:rPr>
                <w:rFonts w:eastAsia="Arial" w:cs="Arial"/>
                <w:color w:val="394A58"/>
                <w:sz w:val="18"/>
                <w:szCs w:val="18"/>
              </w:rPr>
              <w:t>DIE, AFUR</w:t>
            </w:r>
            <w:r w:rsidR="002F5073" w:rsidRPr="00662906">
              <w:rPr>
                <w:rFonts w:eastAsia="Arial" w:cs="Arial"/>
                <w:color w:val="394A58"/>
                <w:sz w:val="18"/>
                <w:szCs w:val="18"/>
              </w:rPr>
              <w:t xml:space="preserve">, </w:t>
            </w:r>
            <w:r w:rsidR="5CE3AF7F" w:rsidRPr="00662906">
              <w:rPr>
                <w:rFonts w:eastAsia="Arial" w:cs="Arial"/>
                <w:color w:val="394A58"/>
                <w:sz w:val="18"/>
                <w:szCs w:val="18"/>
              </w:rPr>
              <w:t>AFSEC</w:t>
            </w:r>
          </w:p>
        </w:tc>
        <w:tc>
          <w:tcPr>
            <w:tcW w:w="1276" w:type="dxa"/>
            <w:vAlign w:val="center"/>
          </w:tcPr>
          <w:p w14:paraId="61CA70BF" w14:textId="691E3FDC"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Term-on going</w:t>
            </w:r>
          </w:p>
        </w:tc>
        <w:tc>
          <w:tcPr>
            <w:tcW w:w="1134" w:type="dxa"/>
            <w:vAlign w:val="center"/>
          </w:tcPr>
          <w:p w14:paraId="3C122C80" w14:textId="69EBDF87"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Streamlined project procurement and implementation at continental level</w:t>
            </w:r>
          </w:p>
        </w:tc>
      </w:tr>
      <w:tr w:rsidR="00996658" w:rsidRPr="00662906" w14:paraId="0E2A7ADA" w14:textId="77777777" w:rsidTr="7606E323">
        <w:trPr>
          <w:trHeight w:val="300"/>
        </w:trPr>
        <w:tc>
          <w:tcPr>
            <w:tcW w:w="1413" w:type="dxa"/>
            <w:vMerge/>
            <w:vAlign w:val="center"/>
          </w:tcPr>
          <w:p w14:paraId="7FE9E3F0" w14:textId="77777777" w:rsidR="00160B8D" w:rsidRPr="00662906" w:rsidRDefault="00160B8D" w:rsidP="00EB6981">
            <w:pPr>
              <w:jc w:val="center"/>
              <w:rPr>
                <w:rFonts w:cs="Arial"/>
                <w:sz w:val="18"/>
                <w:szCs w:val="18"/>
              </w:rPr>
            </w:pPr>
          </w:p>
        </w:tc>
        <w:tc>
          <w:tcPr>
            <w:tcW w:w="1417" w:type="dxa"/>
            <w:vAlign w:val="center"/>
          </w:tcPr>
          <w:p w14:paraId="19705506" w14:textId="208C4065" w:rsidR="131E9205" w:rsidRPr="00662906" w:rsidRDefault="359B5EF2" w:rsidP="7606E323">
            <w:pPr>
              <w:spacing w:before="40" w:after="40"/>
              <w:jc w:val="left"/>
              <w:rPr>
                <w:rFonts w:eastAsia="Arial" w:cs="Arial"/>
                <w:color w:val="394A58"/>
                <w:sz w:val="18"/>
                <w:szCs w:val="18"/>
              </w:rPr>
            </w:pPr>
            <w:r w:rsidRPr="00662906">
              <w:rPr>
                <w:rFonts w:eastAsia="Arial" w:cs="Arial"/>
                <w:color w:val="394A58"/>
                <w:sz w:val="18"/>
                <w:szCs w:val="18"/>
              </w:rPr>
              <w:t xml:space="preserve">Capacity building of </w:t>
            </w:r>
            <w:r w:rsidR="1B66578C" w:rsidRPr="00662906">
              <w:rPr>
                <w:rFonts w:eastAsia="Arial" w:cs="Arial"/>
                <w:color w:val="394A58"/>
                <w:sz w:val="18"/>
                <w:szCs w:val="18"/>
              </w:rPr>
              <w:t>regional</w:t>
            </w:r>
            <w:r w:rsidRPr="00662906">
              <w:rPr>
                <w:rFonts w:eastAsia="Arial" w:cs="Arial"/>
                <w:color w:val="394A58"/>
                <w:sz w:val="18"/>
                <w:szCs w:val="18"/>
              </w:rPr>
              <w:t xml:space="preserve"> bodies</w:t>
            </w:r>
          </w:p>
          <w:p w14:paraId="58510C15" w14:textId="4EDC2256" w:rsidR="5C88E6D1" w:rsidRPr="00662906" w:rsidRDefault="5C88E6D1" w:rsidP="7606E323">
            <w:pPr>
              <w:spacing w:before="40" w:after="40"/>
              <w:jc w:val="left"/>
              <w:rPr>
                <w:rFonts w:eastAsia="Arial" w:cs="Arial"/>
                <w:color w:val="394A58"/>
                <w:sz w:val="18"/>
                <w:szCs w:val="18"/>
              </w:rPr>
            </w:pPr>
          </w:p>
        </w:tc>
        <w:tc>
          <w:tcPr>
            <w:tcW w:w="1418" w:type="dxa"/>
            <w:vAlign w:val="center"/>
          </w:tcPr>
          <w:p w14:paraId="450CCC39" w14:textId="2A6F5694"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Coordination skills for regional initiatives</w:t>
            </w:r>
          </w:p>
          <w:p w14:paraId="49B8D098" w14:textId="7B62D1A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Resource mobilization for regional initiatives</w:t>
            </w:r>
          </w:p>
          <w:p w14:paraId="6CF69625" w14:textId="01B2021D" w:rsidR="5C88E6D1" w:rsidRPr="00662906" w:rsidRDefault="5C88E6D1" w:rsidP="7606E323">
            <w:pPr>
              <w:spacing w:before="40" w:after="40"/>
              <w:jc w:val="left"/>
              <w:rPr>
                <w:rFonts w:eastAsia="Arial" w:cs="Arial"/>
                <w:color w:val="394A58"/>
                <w:sz w:val="18"/>
                <w:szCs w:val="18"/>
              </w:rPr>
            </w:pPr>
          </w:p>
        </w:tc>
        <w:tc>
          <w:tcPr>
            <w:tcW w:w="992" w:type="dxa"/>
            <w:vAlign w:val="center"/>
          </w:tcPr>
          <w:p w14:paraId="470AB779" w14:textId="529C3357"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798531A6" w14:textId="65DB37D4"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 xml:space="preserve">RECs Directorates, </w:t>
            </w:r>
            <w:r w:rsidR="002F5073" w:rsidRPr="00662906">
              <w:rPr>
                <w:rFonts w:eastAsia="Arial" w:cs="Arial"/>
                <w:color w:val="394A58"/>
                <w:sz w:val="18"/>
                <w:szCs w:val="18"/>
              </w:rPr>
              <w:t>R</w:t>
            </w:r>
            <w:r w:rsidR="00AB16A4" w:rsidRPr="00662906">
              <w:rPr>
                <w:rFonts w:eastAsia="Arial" w:cs="Arial"/>
                <w:color w:val="394A58"/>
                <w:sz w:val="18"/>
                <w:szCs w:val="18"/>
              </w:rPr>
              <w:t>CREEEs</w:t>
            </w:r>
            <w:r w:rsidRPr="00662906">
              <w:rPr>
                <w:rFonts w:eastAsia="Arial" w:cs="Arial"/>
                <w:color w:val="394A58"/>
                <w:sz w:val="18"/>
                <w:szCs w:val="18"/>
              </w:rPr>
              <w:t>, Regional power pools, regulators, Standard bodies</w:t>
            </w:r>
          </w:p>
        </w:tc>
        <w:tc>
          <w:tcPr>
            <w:tcW w:w="1276" w:type="dxa"/>
            <w:vAlign w:val="center"/>
          </w:tcPr>
          <w:p w14:paraId="6D93AF99" w14:textId="0007354B"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term-ongoing</w:t>
            </w:r>
          </w:p>
        </w:tc>
        <w:tc>
          <w:tcPr>
            <w:tcW w:w="1134" w:type="dxa"/>
            <w:vAlign w:val="center"/>
          </w:tcPr>
          <w:p w14:paraId="3C05A0AF" w14:textId="21418B09"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Effective design and implementation of regional actions</w:t>
            </w:r>
          </w:p>
        </w:tc>
      </w:tr>
      <w:tr w:rsidR="00996658" w:rsidRPr="00662906" w14:paraId="79CC3935" w14:textId="77777777" w:rsidTr="7606E323">
        <w:trPr>
          <w:trHeight w:val="300"/>
        </w:trPr>
        <w:tc>
          <w:tcPr>
            <w:tcW w:w="1413" w:type="dxa"/>
            <w:vMerge/>
            <w:vAlign w:val="center"/>
          </w:tcPr>
          <w:p w14:paraId="01E86BAD" w14:textId="77777777" w:rsidR="00160B8D" w:rsidRPr="00662906" w:rsidRDefault="00160B8D" w:rsidP="00EB6981">
            <w:pPr>
              <w:jc w:val="center"/>
              <w:rPr>
                <w:rFonts w:cs="Arial"/>
                <w:sz w:val="18"/>
                <w:szCs w:val="18"/>
              </w:rPr>
            </w:pPr>
          </w:p>
        </w:tc>
        <w:tc>
          <w:tcPr>
            <w:tcW w:w="1417" w:type="dxa"/>
            <w:vAlign w:val="center"/>
          </w:tcPr>
          <w:p w14:paraId="41CC39BD" w14:textId="623A6889" w:rsidR="6EE02B74" w:rsidRPr="00662906" w:rsidRDefault="7E9A0CAE" w:rsidP="7606E323">
            <w:pPr>
              <w:spacing w:before="40" w:after="40"/>
              <w:jc w:val="left"/>
              <w:rPr>
                <w:rFonts w:eastAsia="Arial" w:cs="Arial"/>
                <w:color w:val="394A58"/>
                <w:sz w:val="18"/>
                <w:szCs w:val="18"/>
              </w:rPr>
            </w:pPr>
            <w:r w:rsidRPr="00662906">
              <w:rPr>
                <w:rFonts w:eastAsia="Arial" w:cs="Arial"/>
                <w:color w:val="394A58"/>
                <w:sz w:val="18"/>
                <w:szCs w:val="18"/>
              </w:rPr>
              <w:t>National Capacity building</w:t>
            </w:r>
          </w:p>
        </w:tc>
        <w:tc>
          <w:tcPr>
            <w:tcW w:w="1418" w:type="dxa"/>
            <w:vAlign w:val="center"/>
          </w:tcPr>
          <w:p w14:paraId="5CCC8E5E" w14:textId="7F9CB518"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M&amp;E systems and data collection systems</w:t>
            </w:r>
          </w:p>
          <w:p w14:paraId="7F60080F" w14:textId="2D00D8F6"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Strengthen development and implementation/enforcement of national policies/regulatory frameworks and standards</w:t>
            </w:r>
          </w:p>
        </w:tc>
        <w:tc>
          <w:tcPr>
            <w:tcW w:w="992" w:type="dxa"/>
            <w:vAlign w:val="center"/>
          </w:tcPr>
          <w:p w14:paraId="73138BE5" w14:textId="4DD67D6C"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AFREC</w:t>
            </w:r>
          </w:p>
        </w:tc>
        <w:tc>
          <w:tcPr>
            <w:tcW w:w="1701" w:type="dxa"/>
            <w:vAlign w:val="center"/>
          </w:tcPr>
          <w:p w14:paraId="7B513C3E" w14:textId="29F09361"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Ministries of Energy and other subsector ministries/regulators</w:t>
            </w:r>
          </w:p>
        </w:tc>
        <w:tc>
          <w:tcPr>
            <w:tcW w:w="1276" w:type="dxa"/>
            <w:vAlign w:val="center"/>
          </w:tcPr>
          <w:p w14:paraId="18EEE61B" w14:textId="0AD18973"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Short term on going</w:t>
            </w:r>
          </w:p>
        </w:tc>
        <w:tc>
          <w:tcPr>
            <w:tcW w:w="1134" w:type="dxa"/>
            <w:vAlign w:val="center"/>
          </w:tcPr>
          <w:p w14:paraId="7A1C4BDB" w14:textId="5F6BCEBD" w:rsidR="5C88E6D1" w:rsidRPr="00662906" w:rsidRDefault="5CE3AF7F" w:rsidP="7606E323">
            <w:pPr>
              <w:spacing w:before="40" w:after="40"/>
              <w:jc w:val="left"/>
              <w:rPr>
                <w:rFonts w:eastAsia="Arial" w:cs="Arial"/>
                <w:color w:val="394A58"/>
                <w:sz w:val="18"/>
                <w:szCs w:val="18"/>
              </w:rPr>
            </w:pPr>
            <w:r w:rsidRPr="00662906">
              <w:rPr>
                <w:rFonts w:eastAsia="Arial" w:cs="Arial"/>
                <w:color w:val="394A58"/>
                <w:sz w:val="18"/>
                <w:szCs w:val="18"/>
              </w:rPr>
              <w:t>Effective policy/regulatory frameworks</w:t>
            </w:r>
          </w:p>
        </w:tc>
      </w:tr>
    </w:tbl>
    <w:p w14:paraId="38DBE74E" w14:textId="77777777" w:rsidR="00EA52FB" w:rsidRPr="00662906" w:rsidRDefault="004833A3" w:rsidP="004833A3">
      <w:pPr>
        <w:rPr>
          <w:rFonts w:eastAsia="Arial" w:cs="Arial"/>
          <w:i/>
          <w:iCs/>
          <w:color w:val="B4A169"/>
          <w:sz w:val="16"/>
          <w:szCs w:val="16"/>
        </w:rPr>
      </w:pPr>
      <w:bookmarkStart w:id="722" w:name="_Toc171955550"/>
      <w:bookmarkStart w:id="723" w:name="_Toc176190962"/>
      <w:bookmarkStart w:id="724" w:name="_Toc176191128"/>
      <w:bookmarkStart w:id="725" w:name="_Toc176341847"/>
      <w:bookmarkStart w:id="726" w:name="_Toc176430241"/>
      <w:bookmarkStart w:id="727" w:name="_Toc176430298"/>
      <w:bookmarkStart w:id="728" w:name="_Toc176441431"/>
      <w:bookmarkStart w:id="729" w:name="_Toc176442086"/>
      <w:bookmarkStart w:id="730" w:name="_Toc178937500"/>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Authors' own creation</w:t>
      </w:r>
    </w:p>
    <w:p w14:paraId="1A0C51F7" w14:textId="3FA6C28A" w:rsidR="34AFE5CB" w:rsidRPr="00662906" w:rsidRDefault="004833A3" w:rsidP="007A658B">
      <w:pPr>
        <w:pStyle w:val="Heading3"/>
      </w:pPr>
      <w:r w:rsidRPr="00662906">
        <w:rPr>
          <w:rFonts w:eastAsia="Arial"/>
          <w:i/>
          <w:iCs/>
          <w:color w:val="B4A169"/>
          <w:sz w:val="16"/>
          <w:szCs w:val="16"/>
        </w:rPr>
        <w:t xml:space="preserve"> </w:t>
      </w:r>
      <w:bookmarkStart w:id="731" w:name="_Toc197433865"/>
      <w:r w:rsidR="32A30861" w:rsidRPr="00662906">
        <w:t>Cross Cutting issues</w:t>
      </w:r>
      <w:bookmarkEnd w:id="722"/>
      <w:bookmarkEnd w:id="723"/>
      <w:bookmarkEnd w:id="724"/>
      <w:bookmarkEnd w:id="725"/>
      <w:bookmarkEnd w:id="726"/>
      <w:bookmarkEnd w:id="727"/>
      <w:bookmarkEnd w:id="728"/>
      <w:bookmarkEnd w:id="729"/>
      <w:bookmarkEnd w:id="730"/>
      <w:bookmarkEnd w:id="731"/>
    </w:p>
    <w:p w14:paraId="11C2A646" w14:textId="545A411F" w:rsidR="001C34B9" w:rsidRPr="00662906" w:rsidRDefault="20009330" w:rsidP="00B10DA2">
      <w:pPr>
        <w:rPr>
          <w:rFonts w:eastAsia="Arial" w:cs="Arial"/>
        </w:rPr>
      </w:pPr>
      <w:r w:rsidRPr="00662906">
        <w:rPr>
          <w:rFonts w:eastAsia="Arial" w:cs="Arial"/>
        </w:rPr>
        <w:t>The successful implementation of ETSAP hinges on effectively mainstreaming cross-cutting issues across all aspects of energy policy and project execution. The cross-cutting issues</w:t>
      </w:r>
      <w:r w:rsidR="27E5FB07" w:rsidRPr="00662906">
        <w:rPr>
          <w:rFonts w:eastAsia="Arial" w:cs="Arial"/>
        </w:rPr>
        <w:t xml:space="preserve"> that are considered relevant in the context of this ETSAP are</w:t>
      </w:r>
      <w:r w:rsidRPr="00662906">
        <w:rPr>
          <w:rFonts w:eastAsia="Arial" w:cs="Arial"/>
        </w:rPr>
        <w:t xml:space="preserve"> standardization</w:t>
      </w:r>
      <w:r w:rsidR="7C8E68E1" w:rsidRPr="00662906">
        <w:rPr>
          <w:rFonts w:eastAsia="Arial" w:cs="Arial"/>
        </w:rPr>
        <w:t xml:space="preserve"> and</w:t>
      </w:r>
      <w:r w:rsidRPr="00662906">
        <w:rPr>
          <w:rFonts w:eastAsia="Arial" w:cs="Arial"/>
        </w:rPr>
        <w:t xml:space="preserve"> inclusivity</w:t>
      </w:r>
      <w:r w:rsidR="27E5FB07" w:rsidRPr="00662906">
        <w:rPr>
          <w:rFonts w:eastAsia="Arial" w:cs="Arial"/>
        </w:rPr>
        <w:t xml:space="preserve">. </w:t>
      </w:r>
      <w:r w:rsidR="7C8E68E1" w:rsidRPr="00662906">
        <w:rPr>
          <w:rFonts w:eastAsia="Arial" w:cs="Arial"/>
        </w:rPr>
        <w:t xml:space="preserve">Inclusivity entails </w:t>
      </w:r>
      <w:r w:rsidR="27E5FB07" w:rsidRPr="00662906">
        <w:rPr>
          <w:rFonts w:eastAsia="Arial" w:cs="Arial"/>
        </w:rPr>
        <w:t>Gender mainstreaming</w:t>
      </w:r>
      <w:r w:rsidR="7C8E68E1" w:rsidRPr="00662906">
        <w:rPr>
          <w:rFonts w:eastAsia="Arial" w:cs="Arial"/>
        </w:rPr>
        <w:t>,</w:t>
      </w:r>
      <w:r w:rsidR="27E5FB07" w:rsidRPr="00662906">
        <w:rPr>
          <w:rFonts w:eastAsia="Arial" w:cs="Arial"/>
        </w:rPr>
        <w:t xml:space="preserve"> youth engagement</w:t>
      </w:r>
      <w:r w:rsidR="7C8E68E1" w:rsidRPr="00662906">
        <w:rPr>
          <w:rFonts w:eastAsia="Arial" w:cs="Arial"/>
        </w:rPr>
        <w:t xml:space="preserve"> considering the various energy policies in implementation of the ETSAP</w:t>
      </w:r>
      <w:r w:rsidR="27E5FB07" w:rsidRPr="00662906">
        <w:rPr>
          <w:rFonts w:eastAsia="Arial" w:cs="Arial"/>
        </w:rPr>
        <w:t xml:space="preserve">. Their objectives and required strategic </w:t>
      </w:r>
      <w:r w:rsidR="5791E8AE" w:rsidRPr="00662906">
        <w:rPr>
          <w:rFonts w:eastAsia="Arial" w:cs="Arial"/>
        </w:rPr>
        <w:t>actions for</w:t>
      </w:r>
      <w:r w:rsidR="7C8E68E1" w:rsidRPr="00662906">
        <w:rPr>
          <w:rFonts w:eastAsia="Arial" w:cs="Arial"/>
        </w:rPr>
        <w:t xml:space="preserve"> these </w:t>
      </w:r>
      <w:r w:rsidR="3EBC582D" w:rsidRPr="00662906">
        <w:rPr>
          <w:rFonts w:eastAsia="Arial" w:cs="Arial"/>
        </w:rPr>
        <w:t>cross-cutting</w:t>
      </w:r>
      <w:r w:rsidR="7C8E68E1" w:rsidRPr="00662906">
        <w:rPr>
          <w:rFonts w:eastAsia="Arial" w:cs="Arial"/>
        </w:rPr>
        <w:t xml:space="preserve"> issues </w:t>
      </w:r>
      <w:r w:rsidR="27E5FB07" w:rsidRPr="00662906">
        <w:rPr>
          <w:rFonts w:eastAsia="Arial" w:cs="Arial"/>
        </w:rPr>
        <w:t xml:space="preserve">are provided in </w:t>
      </w:r>
      <w:r w:rsidR="29108957" w:rsidRPr="00662906">
        <w:rPr>
          <w:rFonts w:eastAsia="Arial" w:cs="Arial"/>
        </w:rPr>
        <w:t>T</w:t>
      </w:r>
      <w:r w:rsidR="27E5FB07" w:rsidRPr="00662906">
        <w:rPr>
          <w:rFonts w:eastAsia="Arial" w:cs="Arial"/>
        </w:rPr>
        <w:t xml:space="preserve">able </w:t>
      </w:r>
      <w:r w:rsidR="00A5461B" w:rsidRPr="00662906">
        <w:rPr>
          <w:rFonts w:eastAsia="Arial" w:cs="Arial"/>
        </w:rPr>
        <w:t>38</w:t>
      </w:r>
      <w:r w:rsidR="27E5FB07" w:rsidRPr="00662906">
        <w:rPr>
          <w:rFonts w:eastAsia="Arial" w:cs="Arial"/>
        </w:rPr>
        <w:t xml:space="preserve"> below.</w:t>
      </w:r>
      <w:r w:rsidR="03D3E661" w:rsidRPr="00662906">
        <w:rPr>
          <w:rFonts w:eastAsia="Arial" w:cs="Arial"/>
        </w:rPr>
        <w:t xml:space="preserve"> </w:t>
      </w:r>
    </w:p>
    <w:p w14:paraId="4BA0A079" w14:textId="77777777" w:rsidR="001C34B9" w:rsidRPr="00662906" w:rsidRDefault="001C34B9">
      <w:pPr>
        <w:jc w:val="left"/>
        <w:rPr>
          <w:rFonts w:eastAsia="Arial" w:cs="Arial"/>
        </w:rPr>
        <w:sectPr w:rsidR="001C34B9" w:rsidRPr="00662906" w:rsidSect="00FB5D0C">
          <w:pgSz w:w="11906" w:h="16838"/>
          <w:pgMar w:top="1440" w:right="1440" w:bottom="1440" w:left="1440" w:header="720" w:footer="720" w:gutter="0"/>
          <w:cols w:space="720"/>
          <w:titlePg/>
          <w:docGrid w:linePitch="360"/>
        </w:sectPr>
      </w:pPr>
    </w:p>
    <w:p w14:paraId="1AE20BBF" w14:textId="2A6A54D2" w:rsidR="00285B38" w:rsidRPr="00662906" w:rsidRDefault="07A1CB6B" w:rsidP="001C34B9">
      <w:pPr>
        <w:pStyle w:val="Caption"/>
      </w:pPr>
      <w:bookmarkStart w:id="732" w:name="_Toc176430338"/>
      <w:bookmarkStart w:id="733" w:name="_Toc197433926"/>
      <w:r w:rsidRPr="00662906">
        <w:lastRenderedPageBreak/>
        <w:t xml:space="preserve">Table </w:t>
      </w:r>
      <w:fldSimple w:instr=" SEQ Table \* ARABIC ">
        <w:r w:rsidR="00610F61">
          <w:rPr>
            <w:noProof/>
          </w:rPr>
          <w:t>38</w:t>
        </w:r>
      </w:fldSimple>
      <w:r w:rsidRPr="00662906">
        <w:t>:</w:t>
      </w:r>
      <w:r w:rsidR="00996658" w:rsidRPr="00662906">
        <w:t xml:space="preserve"> </w:t>
      </w:r>
      <w:r w:rsidR="4CEE0E17" w:rsidRPr="00662906">
        <w:t>Key Cross cutting issues to be observed for the ETSAP Implementation</w:t>
      </w:r>
      <w:bookmarkEnd w:id="732"/>
      <w:bookmarkEnd w:id="733"/>
    </w:p>
    <w:tbl>
      <w:tblPr>
        <w:tblStyle w:val="TableGrid"/>
        <w:tblW w:w="13038"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1557"/>
        <w:gridCol w:w="1860"/>
        <w:gridCol w:w="3600"/>
        <w:gridCol w:w="6021"/>
      </w:tblGrid>
      <w:tr w:rsidR="008E673C" w:rsidRPr="00662906" w14:paraId="316ECE36" w14:textId="77777777" w:rsidTr="005A46CB">
        <w:trPr>
          <w:trHeight w:val="300"/>
        </w:trPr>
        <w:tc>
          <w:tcPr>
            <w:tcW w:w="1557" w:type="dxa"/>
            <w:shd w:val="clear" w:color="auto" w:fill="B4A269" w:themeFill="text2"/>
            <w:tcMar>
              <w:left w:w="57" w:type="dxa"/>
              <w:right w:w="57" w:type="dxa"/>
            </w:tcMar>
            <w:vAlign w:val="center"/>
          </w:tcPr>
          <w:p w14:paraId="5F5CE2FA" w14:textId="77777777" w:rsidR="008E673C" w:rsidRPr="00662906" w:rsidRDefault="008E673C" w:rsidP="00FF7C07">
            <w:pPr>
              <w:jc w:val="center"/>
              <w:rPr>
                <w:rFonts w:eastAsia="Arial" w:cs="Arial"/>
                <w:b/>
                <w:color w:val="FFFFFF" w:themeColor="background2"/>
                <w:sz w:val="18"/>
                <w:szCs w:val="18"/>
              </w:rPr>
            </w:pPr>
            <w:r w:rsidRPr="00662906">
              <w:rPr>
                <w:rFonts w:eastAsia="Arial" w:cs="Arial"/>
                <w:b/>
                <w:color w:val="FFFFFF" w:themeColor="background2"/>
                <w:sz w:val="18"/>
                <w:szCs w:val="18"/>
              </w:rPr>
              <w:t>Issue</w:t>
            </w:r>
          </w:p>
        </w:tc>
        <w:tc>
          <w:tcPr>
            <w:tcW w:w="1860" w:type="dxa"/>
            <w:shd w:val="clear" w:color="auto" w:fill="B4A269" w:themeFill="text2"/>
            <w:vAlign w:val="center"/>
          </w:tcPr>
          <w:p w14:paraId="5D8BFEBD" w14:textId="43C81D20" w:rsidR="008E673C" w:rsidRPr="00662906" w:rsidRDefault="008E673C" w:rsidP="005A46CB">
            <w:pPr>
              <w:spacing w:before="60" w:after="60"/>
              <w:jc w:val="center"/>
              <w:rPr>
                <w:rFonts w:eastAsia="Arial" w:cs="Arial"/>
                <w:b/>
                <w:color w:val="FFFFFF" w:themeColor="background2"/>
                <w:sz w:val="18"/>
                <w:szCs w:val="18"/>
              </w:rPr>
            </w:pPr>
            <w:r w:rsidRPr="00662906">
              <w:rPr>
                <w:rFonts w:eastAsia="Arial" w:cs="Arial"/>
                <w:b/>
                <w:color w:val="FFFFFF" w:themeColor="background2"/>
                <w:sz w:val="18"/>
                <w:szCs w:val="18"/>
              </w:rPr>
              <w:t>Sub Issue</w:t>
            </w:r>
          </w:p>
        </w:tc>
        <w:tc>
          <w:tcPr>
            <w:tcW w:w="3600" w:type="dxa"/>
            <w:shd w:val="clear" w:color="auto" w:fill="B4A269" w:themeFill="text2"/>
            <w:tcMar>
              <w:left w:w="57" w:type="dxa"/>
              <w:right w:w="57" w:type="dxa"/>
            </w:tcMar>
            <w:vAlign w:val="center"/>
          </w:tcPr>
          <w:p w14:paraId="097C7321" w14:textId="3DBB828C" w:rsidR="008E673C" w:rsidRPr="00662906" w:rsidRDefault="008E673C" w:rsidP="00FF7C07">
            <w:pPr>
              <w:spacing w:before="60" w:after="60"/>
              <w:jc w:val="center"/>
              <w:rPr>
                <w:rFonts w:eastAsia="Arial" w:cs="Arial"/>
                <w:b/>
                <w:color w:val="FFFFFF" w:themeColor="background2"/>
                <w:sz w:val="18"/>
                <w:szCs w:val="18"/>
              </w:rPr>
            </w:pPr>
            <w:r w:rsidRPr="00662906">
              <w:rPr>
                <w:rFonts w:eastAsia="Arial" w:cs="Arial"/>
                <w:b/>
                <w:color w:val="FFFFFF" w:themeColor="background2"/>
                <w:sz w:val="18"/>
                <w:szCs w:val="18"/>
              </w:rPr>
              <w:t>Objective</w:t>
            </w:r>
          </w:p>
        </w:tc>
        <w:tc>
          <w:tcPr>
            <w:tcW w:w="6021" w:type="dxa"/>
            <w:shd w:val="clear" w:color="auto" w:fill="B4A269" w:themeFill="text2"/>
            <w:tcMar>
              <w:left w:w="57" w:type="dxa"/>
              <w:right w:w="57" w:type="dxa"/>
            </w:tcMar>
            <w:vAlign w:val="center"/>
          </w:tcPr>
          <w:p w14:paraId="06597875" w14:textId="77777777" w:rsidR="008E673C" w:rsidRPr="00662906" w:rsidRDefault="008E673C" w:rsidP="00FF7C07">
            <w:pPr>
              <w:spacing w:before="60" w:after="60"/>
              <w:jc w:val="center"/>
              <w:rPr>
                <w:rFonts w:eastAsia="Arial" w:cs="Arial"/>
                <w:b/>
                <w:color w:val="FFFFFF" w:themeColor="background2"/>
                <w:sz w:val="18"/>
                <w:szCs w:val="18"/>
              </w:rPr>
            </w:pPr>
            <w:r w:rsidRPr="00662906">
              <w:rPr>
                <w:rFonts w:eastAsia="Arial" w:cs="Arial"/>
                <w:b/>
                <w:color w:val="FFFFFF" w:themeColor="background2"/>
                <w:sz w:val="18"/>
                <w:szCs w:val="18"/>
              </w:rPr>
              <w:t>Strategic Action</w:t>
            </w:r>
          </w:p>
        </w:tc>
      </w:tr>
      <w:tr w:rsidR="008E673C" w:rsidRPr="00662906" w14:paraId="1998AB35" w14:textId="77777777" w:rsidTr="005A46CB">
        <w:trPr>
          <w:trHeight w:val="300"/>
        </w:trPr>
        <w:tc>
          <w:tcPr>
            <w:tcW w:w="1557" w:type="dxa"/>
            <w:shd w:val="clear" w:color="auto" w:fill="FFFFFF" w:themeFill="background2"/>
            <w:tcMar>
              <w:left w:w="57" w:type="dxa"/>
              <w:right w:w="57" w:type="dxa"/>
            </w:tcMar>
            <w:vAlign w:val="center"/>
          </w:tcPr>
          <w:p w14:paraId="02E9BFD1" w14:textId="77777777" w:rsidR="008E673C" w:rsidRPr="00662906" w:rsidRDefault="008E673C" w:rsidP="001C34B9">
            <w:pPr>
              <w:spacing w:before="40" w:after="40"/>
              <w:jc w:val="center"/>
              <w:rPr>
                <w:rFonts w:eastAsia="Arial" w:cs="Arial"/>
                <w:b/>
                <w:bCs/>
                <w:color w:val="394A58"/>
                <w:sz w:val="18"/>
                <w:szCs w:val="18"/>
              </w:rPr>
            </w:pPr>
            <w:r w:rsidRPr="00662906">
              <w:rPr>
                <w:rFonts w:eastAsia="Arial" w:cs="Arial"/>
                <w:b/>
                <w:bCs/>
                <w:color w:val="394A58"/>
                <w:sz w:val="18"/>
                <w:szCs w:val="18"/>
              </w:rPr>
              <w:t>Standardization</w:t>
            </w:r>
          </w:p>
        </w:tc>
        <w:tc>
          <w:tcPr>
            <w:tcW w:w="1860" w:type="dxa"/>
            <w:shd w:val="clear" w:color="auto" w:fill="FFFFFF" w:themeFill="background2"/>
            <w:vAlign w:val="center"/>
          </w:tcPr>
          <w:p w14:paraId="659D23B4" w14:textId="77777777" w:rsidR="008E673C" w:rsidRPr="00662906" w:rsidRDefault="008E673C" w:rsidP="005A46CB">
            <w:pPr>
              <w:spacing w:before="40" w:after="40"/>
              <w:jc w:val="center"/>
              <w:rPr>
                <w:rFonts w:eastAsia="Arial" w:cs="Arial"/>
                <w:color w:val="394A58"/>
                <w:sz w:val="18"/>
                <w:szCs w:val="18"/>
              </w:rPr>
            </w:pPr>
          </w:p>
        </w:tc>
        <w:tc>
          <w:tcPr>
            <w:tcW w:w="3600" w:type="dxa"/>
            <w:shd w:val="clear" w:color="auto" w:fill="FFFFFF" w:themeFill="background2"/>
            <w:tcMar>
              <w:left w:w="57" w:type="dxa"/>
              <w:right w:w="57" w:type="dxa"/>
            </w:tcMar>
          </w:tcPr>
          <w:p w14:paraId="5C70725E" w14:textId="5FC6D7DF"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To harmonize technical standards, safety regulations, and quality benchmarks across MS to facilitate a seamless and robust energy market conducive to innovation, trade, and investment.</w:t>
            </w:r>
          </w:p>
        </w:tc>
        <w:tc>
          <w:tcPr>
            <w:tcW w:w="6021" w:type="dxa"/>
            <w:shd w:val="clear" w:color="auto" w:fill="FFFFFF" w:themeFill="background2"/>
            <w:tcMar>
              <w:left w:w="57" w:type="dxa"/>
              <w:right w:w="57" w:type="dxa"/>
            </w:tcMar>
          </w:tcPr>
          <w:p w14:paraId="60E057E4" w14:textId="7CD7B2F0"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Develop a comprehensive continental framework for standardization in collaboration with the PAQI, the AFSEC, the ARSO, and other relevant bodies. This framework should ensure interoperability and regulatory alignment across Africa, making it easier to integrate diverse energy resources and technologies.</w:t>
            </w:r>
          </w:p>
        </w:tc>
      </w:tr>
      <w:tr w:rsidR="008E673C" w:rsidRPr="00662906" w14:paraId="3DCE0521" w14:textId="77777777" w:rsidTr="005A46CB">
        <w:trPr>
          <w:trHeight w:val="300"/>
        </w:trPr>
        <w:tc>
          <w:tcPr>
            <w:tcW w:w="1557" w:type="dxa"/>
            <w:vMerge w:val="restart"/>
            <w:shd w:val="clear" w:color="auto" w:fill="FFFFFF" w:themeFill="background2"/>
            <w:tcMar>
              <w:left w:w="57" w:type="dxa"/>
              <w:right w:w="57" w:type="dxa"/>
            </w:tcMar>
            <w:vAlign w:val="center"/>
          </w:tcPr>
          <w:p w14:paraId="10ECE0E1" w14:textId="4D925307" w:rsidR="008E673C" w:rsidRPr="00662906" w:rsidRDefault="008E673C" w:rsidP="001C34B9">
            <w:pPr>
              <w:spacing w:before="40" w:after="40"/>
              <w:jc w:val="center"/>
              <w:rPr>
                <w:rFonts w:eastAsia="Arial" w:cs="Arial"/>
                <w:b/>
                <w:bCs/>
                <w:color w:val="394A58"/>
                <w:sz w:val="18"/>
                <w:szCs w:val="18"/>
              </w:rPr>
            </w:pPr>
            <w:r w:rsidRPr="00662906">
              <w:rPr>
                <w:rFonts w:eastAsia="Arial" w:cs="Arial"/>
                <w:b/>
                <w:bCs/>
                <w:color w:val="394A58"/>
                <w:sz w:val="18"/>
                <w:szCs w:val="18"/>
              </w:rPr>
              <w:t>Inclusivity</w:t>
            </w:r>
          </w:p>
        </w:tc>
        <w:tc>
          <w:tcPr>
            <w:tcW w:w="1860" w:type="dxa"/>
            <w:shd w:val="clear" w:color="auto" w:fill="FFFFFF" w:themeFill="background2"/>
            <w:vAlign w:val="center"/>
          </w:tcPr>
          <w:p w14:paraId="4DA3223D" w14:textId="77777777" w:rsidR="008E673C" w:rsidRPr="00662906" w:rsidRDefault="008E673C" w:rsidP="005A46CB">
            <w:pPr>
              <w:spacing w:before="40" w:after="40"/>
              <w:jc w:val="center"/>
              <w:rPr>
                <w:rFonts w:eastAsia="Arial" w:cs="Arial"/>
                <w:color w:val="394A58"/>
                <w:sz w:val="18"/>
                <w:szCs w:val="18"/>
              </w:rPr>
            </w:pPr>
          </w:p>
        </w:tc>
        <w:tc>
          <w:tcPr>
            <w:tcW w:w="3600" w:type="dxa"/>
            <w:shd w:val="clear" w:color="auto" w:fill="FFFFFF" w:themeFill="background2"/>
            <w:tcMar>
              <w:left w:w="57" w:type="dxa"/>
              <w:right w:w="57" w:type="dxa"/>
            </w:tcMar>
          </w:tcPr>
          <w:p w14:paraId="6A7BDC4C" w14:textId="586FA1E8"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Ensure that the benefits of energy advancements reach all segments of society, with special focus on gender, youth, and vulnerable groups to promote justice, equity, and leverage diverse perspectives and talents.</w:t>
            </w:r>
          </w:p>
        </w:tc>
        <w:tc>
          <w:tcPr>
            <w:tcW w:w="6021" w:type="dxa"/>
            <w:shd w:val="clear" w:color="auto" w:fill="FFFFFF" w:themeFill="background2"/>
            <w:tcMar>
              <w:left w:w="57" w:type="dxa"/>
              <w:right w:w="57" w:type="dxa"/>
            </w:tcMar>
          </w:tcPr>
          <w:p w14:paraId="2CBF312B" w14:textId="77777777"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Implement comprehensive policies that embed gender mainstreaming, youth engagement, and social inclusivity in all energy projects and policies across the continent. These policies should ensure that energy systems are accessible, beneficial to all, and take into account the specific needs and potential contributions of these groups.</w:t>
            </w:r>
          </w:p>
        </w:tc>
      </w:tr>
      <w:tr w:rsidR="008E673C" w:rsidRPr="00662906" w14:paraId="2D14B3D6" w14:textId="77777777" w:rsidTr="005A46CB">
        <w:trPr>
          <w:trHeight w:val="300"/>
        </w:trPr>
        <w:tc>
          <w:tcPr>
            <w:tcW w:w="1557" w:type="dxa"/>
            <w:vMerge/>
            <w:shd w:val="clear" w:color="auto" w:fill="FFFFFF" w:themeFill="background2"/>
            <w:tcMar>
              <w:left w:w="57" w:type="dxa"/>
              <w:right w:w="57" w:type="dxa"/>
            </w:tcMar>
          </w:tcPr>
          <w:p w14:paraId="23A799E8" w14:textId="1000F603" w:rsidR="008E673C" w:rsidRPr="00662906" w:rsidRDefault="008E673C" w:rsidP="008E673C">
            <w:pPr>
              <w:spacing w:before="40" w:after="40"/>
              <w:jc w:val="left"/>
              <w:rPr>
                <w:rFonts w:eastAsia="Arial" w:cs="Arial"/>
                <w:b/>
                <w:bCs/>
                <w:color w:val="394A58"/>
                <w:sz w:val="18"/>
                <w:szCs w:val="18"/>
              </w:rPr>
            </w:pPr>
          </w:p>
        </w:tc>
        <w:tc>
          <w:tcPr>
            <w:tcW w:w="1860" w:type="dxa"/>
            <w:shd w:val="clear" w:color="auto" w:fill="FFFFFF" w:themeFill="background2"/>
            <w:vAlign w:val="center"/>
          </w:tcPr>
          <w:p w14:paraId="792D06D3" w14:textId="7058F17A" w:rsidR="008E673C" w:rsidRPr="00662906" w:rsidRDefault="008E673C" w:rsidP="005A46CB">
            <w:pPr>
              <w:spacing w:before="40" w:after="40"/>
              <w:jc w:val="center"/>
              <w:rPr>
                <w:rFonts w:eastAsia="Arial" w:cs="Arial"/>
                <w:color w:val="394A58"/>
                <w:sz w:val="18"/>
                <w:szCs w:val="18"/>
              </w:rPr>
            </w:pPr>
            <w:r w:rsidRPr="00662906">
              <w:rPr>
                <w:rFonts w:eastAsia="Arial" w:cs="Arial"/>
                <w:b/>
                <w:bCs/>
                <w:color w:val="394A58"/>
                <w:sz w:val="18"/>
                <w:szCs w:val="18"/>
              </w:rPr>
              <w:t>Gender Mainstreaming</w:t>
            </w:r>
          </w:p>
        </w:tc>
        <w:tc>
          <w:tcPr>
            <w:tcW w:w="3600" w:type="dxa"/>
            <w:shd w:val="clear" w:color="auto" w:fill="FFFFFF" w:themeFill="background2"/>
            <w:tcMar>
              <w:left w:w="57" w:type="dxa"/>
              <w:right w:w="57" w:type="dxa"/>
            </w:tcMar>
          </w:tcPr>
          <w:p w14:paraId="6FC827BB" w14:textId="066559A7"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Promote gender equality within the energy sector by enhancing women's participation and ensuring that energy policies are sensitive to gender issues. This involves eliminating gender disparities and enhancing the sustainability and efficiency of energy policies across Africa.</w:t>
            </w:r>
          </w:p>
        </w:tc>
        <w:tc>
          <w:tcPr>
            <w:tcW w:w="6021" w:type="dxa"/>
            <w:shd w:val="clear" w:color="auto" w:fill="FFFFFF" w:themeFill="background2"/>
            <w:tcMar>
              <w:left w:w="57" w:type="dxa"/>
              <w:right w:w="57" w:type="dxa"/>
            </w:tcMar>
          </w:tcPr>
          <w:p w14:paraId="6CA91197" w14:textId="77777777"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Develop and enforce gender-responsive energy policies that ensure women's involvement at all stages of energy policy formulation and implementation. These policies should also focus on providing women with equal opportunities for employment and leadership within the energy sector, thereby empowering them economically and ensuring their active participation in shaping the energy landscape.</w:t>
            </w:r>
          </w:p>
        </w:tc>
      </w:tr>
      <w:tr w:rsidR="008E673C" w:rsidRPr="00662906" w14:paraId="71FE6EFF" w14:textId="77777777" w:rsidTr="005A46CB">
        <w:trPr>
          <w:trHeight w:val="300"/>
        </w:trPr>
        <w:tc>
          <w:tcPr>
            <w:tcW w:w="1557" w:type="dxa"/>
            <w:vMerge/>
            <w:shd w:val="clear" w:color="auto" w:fill="FFFFFF" w:themeFill="background2"/>
            <w:tcMar>
              <w:left w:w="57" w:type="dxa"/>
              <w:right w:w="57" w:type="dxa"/>
            </w:tcMar>
          </w:tcPr>
          <w:p w14:paraId="0E43D477" w14:textId="6AD19DBE" w:rsidR="008E673C" w:rsidRPr="00662906" w:rsidRDefault="008E673C" w:rsidP="008E673C">
            <w:pPr>
              <w:spacing w:before="40" w:after="40"/>
              <w:jc w:val="left"/>
              <w:rPr>
                <w:rFonts w:eastAsia="Arial" w:cs="Arial"/>
                <w:b/>
                <w:bCs/>
                <w:color w:val="394A58"/>
                <w:sz w:val="18"/>
                <w:szCs w:val="18"/>
              </w:rPr>
            </w:pPr>
          </w:p>
        </w:tc>
        <w:tc>
          <w:tcPr>
            <w:tcW w:w="1860" w:type="dxa"/>
            <w:shd w:val="clear" w:color="auto" w:fill="FFFFFF" w:themeFill="background2"/>
            <w:vAlign w:val="center"/>
          </w:tcPr>
          <w:p w14:paraId="7376D822" w14:textId="1F34CAE3" w:rsidR="008E673C" w:rsidRPr="00662906" w:rsidRDefault="008E673C" w:rsidP="005A46CB">
            <w:pPr>
              <w:spacing w:before="40" w:after="40"/>
              <w:jc w:val="center"/>
              <w:rPr>
                <w:rFonts w:eastAsia="Arial" w:cs="Arial"/>
                <w:color w:val="394A58"/>
                <w:sz w:val="18"/>
                <w:szCs w:val="18"/>
              </w:rPr>
            </w:pPr>
            <w:r w:rsidRPr="00662906">
              <w:rPr>
                <w:rFonts w:eastAsia="Arial" w:cs="Arial"/>
                <w:b/>
                <w:bCs/>
                <w:color w:val="394A58"/>
                <w:sz w:val="18"/>
                <w:szCs w:val="18"/>
              </w:rPr>
              <w:t>Youth Engagement</w:t>
            </w:r>
          </w:p>
        </w:tc>
        <w:tc>
          <w:tcPr>
            <w:tcW w:w="3600" w:type="dxa"/>
            <w:shd w:val="clear" w:color="auto" w:fill="FFFFFF" w:themeFill="background2"/>
            <w:tcMar>
              <w:left w:w="57" w:type="dxa"/>
              <w:right w:w="57" w:type="dxa"/>
            </w:tcMar>
          </w:tcPr>
          <w:p w14:paraId="5B3A83CA" w14:textId="4F6BBE78"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Empower the youth to participate actively and lead in the energy transition by fostering an environment that harnesses their innovative potential and prepares them for future challenges.</w:t>
            </w:r>
          </w:p>
        </w:tc>
        <w:tc>
          <w:tcPr>
            <w:tcW w:w="6021" w:type="dxa"/>
            <w:shd w:val="clear" w:color="auto" w:fill="FFFFFF" w:themeFill="background2"/>
            <w:tcMar>
              <w:left w:w="57" w:type="dxa"/>
              <w:right w:w="57" w:type="dxa"/>
            </w:tcMar>
          </w:tcPr>
          <w:p w14:paraId="6EDEBCD0" w14:textId="77777777"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Create robust platforms and programs for youth innovation and leadership in energy, including targeted training, capacity-building programs, and engagement initiatives that are specifically designed to enhance the skills of young people and integrate their ideas and energies into the mainstream of energy development.</w:t>
            </w:r>
          </w:p>
        </w:tc>
      </w:tr>
      <w:tr w:rsidR="008E673C" w:rsidRPr="00662906" w14:paraId="3487ED6F" w14:textId="77777777" w:rsidTr="005A46CB">
        <w:trPr>
          <w:trHeight w:val="300"/>
        </w:trPr>
        <w:tc>
          <w:tcPr>
            <w:tcW w:w="1557" w:type="dxa"/>
            <w:vMerge/>
            <w:shd w:val="clear" w:color="auto" w:fill="FFFFFF" w:themeFill="background2"/>
            <w:tcMar>
              <w:left w:w="57" w:type="dxa"/>
              <w:right w:w="57" w:type="dxa"/>
            </w:tcMar>
          </w:tcPr>
          <w:p w14:paraId="48F51B02" w14:textId="2E60BF90" w:rsidR="008E673C" w:rsidRPr="00662906" w:rsidRDefault="008E673C" w:rsidP="008E673C">
            <w:pPr>
              <w:spacing w:before="40" w:after="40"/>
              <w:jc w:val="left"/>
              <w:rPr>
                <w:rFonts w:eastAsia="Arial" w:cs="Arial"/>
                <w:b/>
                <w:bCs/>
                <w:color w:val="394A58"/>
                <w:sz w:val="18"/>
                <w:szCs w:val="18"/>
              </w:rPr>
            </w:pPr>
          </w:p>
        </w:tc>
        <w:tc>
          <w:tcPr>
            <w:tcW w:w="1860" w:type="dxa"/>
            <w:shd w:val="clear" w:color="auto" w:fill="FFFFFF" w:themeFill="background2"/>
            <w:vAlign w:val="center"/>
          </w:tcPr>
          <w:p w14:paraId="2CDE96D7" w14:textId="475819CA" w:rsidR="008E673C" w:rsidRPr="00662906" w:rsidRDefault="008E673C" w:rsidP="005A46CB">
            <w:pPr>
              <w:spacing w:before="40" w:after="40"/>
              <w:jc w:val="center"/>
              <w:rPr>
                <w:rFonts w:eastAsia="Arial" w:cs="Arial"/>
                <w:color w:val="394A58"/>
                <w:sz w:val="18"/>
                <w:szCs w:val="18"/>
              </w:rPr>
            </w:pPr>
            <w:r w:rsidRPr="00662906">
              <w:rPr>
                <w:rFonts w:eastAsia="Arial" w:cs="Arial"/>
                <w:b/>
                <w:bCs/>
                <w:color w:val="394A58"/>
                <w:sz w:val="18"/>
                <w:szCs w:val="18"/>
              </w:rPr>
              <w:t>Comprehensive Inclusivity</w:t>
            </w:r>
          </w:p>
        </w:tc>
        <w:tc>
          <w:tcPr>
            <w:tcW w:w="3600" w:type="dxa"/>
            <w:shd w:val="clear" w:color="auto" w:fill="FFFFFF" w:themeFill="background2"/>
            <w:tcMar>
              <w:left w:w="57" w:type="dxa"/>
              <w:right w:w="57" w:type="dxa"/>
            </w:tcMar>
          </w:tcPr>
          <w:p w14:paraId="7E19E4A1" w14:textId="314E88B0"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Develop energy policies that cater to the diverse needs of Africa’s population, addressing socio-economic, cultural, disability-related, geographic, and age-specific barriers to ensure equitable access to energy resources and technologies.</w:t>
            </w:r>
          </w:p>
        </w:tc>
        <w:tc>
          <w:tcPr>
            <w:tcW w:w="6021" w:type="dxa"/>
            <w:shd w:val="clear" w:color="auto" w:fill="FFFFFF" w:themeFill="background2"/>
            <w:tcMar>
              <w:left w:w="57" w:type="dxa"/>
              <w:right w:w="57" w:type="dxa"/>
            </w:tcMar>
          </w:tcPr>
          <w:p w14:paraId="4264EA93" w14:textId="77777777" w:rsidR="008E673C" w:rsidRPr="00662906" w:rsidRDefault="008E673C" w:rsidP="001C34B9">
            <w:pPr>
              <w:spacing w:before="40" w:after="40"/>
              <w:rPr>
                <w:rFonts w:eastAsia="Arial" w:cs="Arial"/>
                <w:color w:val="394A58"/>
                <w:sz w:val="18"/>
                <w:szCs w:val="18"/>
              </w:rPr>
            </w:pPr>
            <w:r w:rsidRPr="00662906">
              <w:rPr>
                <w:rFonts w:eastAsia="Arial" w:cs="Arial"/>
                <w:color w:val="394A58"/>
                <w:sz w:val="18"/>
                <w:szCs w:val="18"/>
              </w:rPr>
              <w:t>Formulate and implement inclusive energy policies that are adaptable to the diverse cultural, economic, and geographic realities of the African continent. These policies should facilitate access to modern energy services for all, particularly focusing on marginalized and underserved communities, ensuring that everyone benefits from energy advancements.</w:t>
            </w:r>
          </w:p>
        </w:tc>
      </w:tr>
    </w:tbl>
    <w:p w14:paraId="7B63415B" w14:textId="77777777" w:rsidR="004833A3" w:rsidRPr="00662906" w:rsidRDefault="004833A3" w:rsidP="004833A3">
      <w:pPr>
        <w:rPr>
          <w:rFonts w:eastAsia="Arial" w:cs="Arial"/>
          <w:i/>
          <w:iCs/>
          <w:color w:val="B4A169"/>
          <w:sz w:val="16"/>
          <w:szCs w:val="16"/>
        </w:rPr>
      </w:pPr>
      <w:bookmarkStart w:id="734" w:name="_Toc171955551"/>
      <w:bookmarkStart w:id="735" w:name="_Toc176190963"/>
      <w:bookmarkStart w:id="736" w:name="_Toc176191129"/>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2398F957" w14:textId="77777777" w:rsidR="00E12831" w:rsidRPr="00662906" w:rsidRDefault="00E12831" w:rsidP="00E12831">
      <w:pPr>
        <w:sectPr w:rsidR="00E12831" w:rsidRPr="00662906" w:rsidSect="001C34B9">
          <w:pgSz w:w="16838" w:h="11906" w:orient="landscape"/>
          <w:pgMar w:top="1440" w:right="1440" w:bottom="1440" w:left="1440" w:header="720" w:footer="720" w:gutter="0"/>
          <w:cols w:space="720"/>
          <w:titlePg/>
          <w:docGrid w:linePitch="360"/>
        </w:sectPr>
      </w:pPr>
    </w:p>
    <w:p w14:paraId="0D6F82DE" w14:textId="5EB9C214" w:rsidR="5DC312A4" w:rsidRPr="00662906" w:rsidRDefault="31A98D0F" w:rsidP="00996658">
      <w:pPr>
        <w:pStyle w:val="Heading2"/>
      </w:pPr>
      <w:bookmarkStart w:id="737" w:name="_Toc176341848"/>
      <w:bookmarkStart w:id="738" w:name="_Toc176430242"/>
      <w:bookmarkStart w:id="739" w:name="_Toc176430299"/>
      <w:bookmarkStart w:id="740" w:name="_Toc176441432"/>
      <w:bookmarkStart w:id="741" w:name="_Toc176442087"/>
      <w:bookmarkStart w:id="742" w:name="_Toc178937501"/>
      <w:bookmarkStart w:id="743" w:name="_Toc197433866"/>
      <w:r w:rsidRPr="00662906">
        <w:lastRenderedPageBreak/>
        <w:t>Cross Sectoral Issues</w:t>
      </w:r>
      <w:bookmarkEnd w:id="734"/>
      <w:bookmarkEnd w:id="735"/>
      <w:bookmarkEnd w:id="736"/>
      <w:bookmarkEnd w:id="737"/>
      <w:bookmarkEnd w:id="738"/>
      <w:bookmarkEnd w:id="739"/>
      <w:bookmarkEnd w:id="740"/>
      <w:bookmarkEnd w:id="741"/>
      <w:bookmarkEnd w:id="742"/>
      <w:bookmarkEnd w:id="743"/>
    </w:p>
    <w:p w14:paraId="247476F8" w14:textId="25812EFC" w:rsidR="13F6F6F9" w:rsidRPr="00662906" w:rsidRDefault="4BD8F48C" w:rsidP="13F6F6F9">
      <w:r w:rsidRPr="00662906">
        <w:t xml:space="preserve">There are intersecting strategic interventions and actions that have been </w:t>
      </w:r>
      <w:r w:rsidR="1A6D5D8C" w:rsidRPr="00662906">
        <w:t>proposed in</w:t>
      </w:r>
      <w:r w:rsidRPr="00662906">
        <w:t xml:space="preserve"> the Strategy that will need to be rationalized and implemented collectively for the benefit of the other subsectors as indicated</w:t>
      </w:r>
      <w:r w:rsidR="7C94764B" w:rsidRPr="00662906">
        <w:t xml:space="preserve"> (Table </w:t>
      </w:r>
      <w:r w:rsidR="00A5461B" w:rsidRPr="00662906">
        <w:t>39</w:t>
      </w:r>
      <w:r w:rsidR="7C94764B" w:rsidRPr="00662906">
        <w:t>).</w:t>
      </w:r>
      <w:r w:rsidR="002F5073" w:rsidRPr="00662906">
        <w:t xml:space="preserve"> </w:t>
      </w:r>
      <w:r w:rsidR="1362195B" w:rsidRPr="00662906">
        <w:t>There are also other sectors such as water for hydropower and ICT for digitalization that will need to be considered together, hence integrated planning of such strategic interventions, mobilizing stakeholders and other resources will be required.</w:t>
      </w:r>
    </w:p>
    <w:p w14:paraId="2916265B" w14:textId="36330DB5" w:rsidR="00EE419A" w:rsidRPr="00662906" w:rsidRDefault="674B83D6" w:rsidP="00EE419A">
      <w:bookmarkStart w:id="744" w:name="_Toc171955609"/>
      <w:r w:rsidRPr="00662906">
        <w:t>Strategic interventions and Actions that have cross sectoral implications can be developed through stakeholder engagement and collective workshops to draw up the needed instruments e.g. policies/strategies, plans, regulatory frameworks, training/capacity building</w:t>
      </w:r>
      <w:r w:rsidR="290158C5" w:rsidRPr="00662906">
        <w:t xml:space="preserve"> and mobilize required resources for implementation.</w:t>
      </w:r>
      <w:r w:rsidR="78F8CE78" w:rsidRPr="00662906">
        <w:t xml:space="preserve"> </w:t>
      </w:r>
    </w:p>
    <w:p w14:paraId="397008D4" w14:textId="77777777" w:rsidR="00EE419A" w:rsidRPr="00662906" w:rsidRDefault="00EE419A" w:rsidP="007A7FD1">
      <w:pPr>
        <w:sectPr w:rsidR="00EE419A" w:rsidRPr="00662906" w:rsidSect="0095265D">
          <w:pgSz w:w="11906" w:h="16838"/>
          <w:pgMar w:top="1440" w:right="1440" w:bottom="1440" w:left="1440" w:header="720" w:footer="720" w:gutter="0"/>
          <w:cols w:space="720"/>
          <w:titlePg/>
          <w:docGrid w:linePitch="360"/>
        </w:sectPr>
      </w:pPr>
    </w:p>
    <w:p w14:paraId="16CF9413" w14:textId="0C68CAF6" w:rsidR="3AA1B05C" w:rsidRPr="00662906" w:rsidRDefault="07A1CB6B" w:rsidP="001C34B9">
      <w:pPr>
        <w:pStyle w:val="Caption"/>
      </w:pPr>
      <w:bookmarkStart w:id="745" w:name="_Toc176430339"/>
      <w:bookmarkStart w:id="746" w:name="_Toc197433927"/>
      <w:r w:rsidRPr="00662906">
        <w:lastRenderedPageBreak/>
        <w:t xml:space="preserve">Table </w:t>
      </w:r>
      <w:fldSimple w:instr=" SEQ Table \* ARABIC ">
        <w:r w:rsidR="00610F61">
          <w:rPr>
            <w:noProof/>
          </w:rPr>
          <w:t>39</w:t>
        </w:r>
      </w:fldSimple>
      <w:r w:rsidR="001B4FF0" w:rsidRPr="00662906">
        <w:t>:</w:t>
      </w:r>
      <w:r w:rsidRPr="00662906">
        <w:t xml:space="preserve"> </w:t>
      </w:r>
      <w:r w:rsidR="5588A3CD" w:rsidRPr="00662906">
        <w:t>Sub sectoral Intersections on the proposed measures and actions.</w:t>
      </w:r>
      <w:r w:rsidR="3DF25555" w:rsidRPr="00662906">
        <w:t xml:space="preserve"> </w:t>
      </w:r>
      <w:r w:rsidR="532D3838" w:rsidRPr="00662906">
        <w:t xml:space="preserve">Cause/Effect whereby how the Column sectors effect on Row sectors in terms of what we have already presented in the </w:t>
      </w:r>
      <w:r w:rsidR="3D72A761" w:rsidRPr="00662906">
        <w:t>Strategy and Action Plans- Not all we know about their intersections.</w:t>
      </w:r>
      <w:bookmarkEnd w:id="744"/>
      <w:bookmarkEnd w:id="745"/>
      <w:bookmarkEnd w:id="746"/>
    </w:p>
    <w:tbl>
      <w:tblPr>
        <w:tblStyle w:val="TableGrid"/>
        <w:tblW w:w="14591"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ook w:val="06A0" w:firstRow="1" w:lastRow="0" w:firstColumn="1" w:lastColumn="0" w:noHBand="1" w:noVBand="1"/>
      </w:tblPr>
      <w:tblGrid>
        <w:gridCol w:w="1070"/>
        <w:gridCol w:w="2584"/>
        <w:gridCol w:w="1812"/>
        <w:gridCol w:w="1789"/>
        <w:gridCol w:w="2013"/>
        <w:gridCol w:w="1790"/>
        <w:gridCol w:w="1788"/>
        <w:gridCol w:w="1745"/>
      </w:tblGrid>
      <w:tr w:rsidR="009D1447" w:rsidRPr="00662906" w14:paraId="6F614FE8" w14:textId="77777777" w:rsidTr="004833A3">
        <w:trPr>
          <w:trHeight w:val="300"/>
        </w:trPr>
        <w:tc>
          <w:tcPr>
            <w:tcW w:w="1070" w:type="dxa"/>
            <w:tcMar>
              <w:left w:w="108" w:type="dxa"/>
              <w:right w:w="108" w:type="dxa"/>
            </w:tcMar>
            <w:vAlign w:val="center"/>
          </w:tcPr>
          <w:p w14:paraId="79933CF5" w14:textId="771CE88D" w:rsidR="1760A01F" w:rsidRPr="00662906" w:rsidRDefault="1760A01F" w:rsidP="0048725C">
            <w:pPr>
              <w:jc w:val="center"/>
              <w:rPr>
                <w:rFonts w:eastAsia="Arial" w:cs="Arial"/>
                <w:color w:val="FFFFFF" w:themeColor="background2"/>
                <w:sz w:val="16"/>
                <w:szCs w:val="16"/>
              </w:rPr>
            </w:pPr>
            <w:r w:rsidRPr="00662906">
              <w:rPr>
                <w:rFonts w:eastAsia="Arial" w:cs="Arial"/>
                <w:color w:val="FFFFFF" w:themeColor="background2"/>
                <w:sz w:val="16"/>
                <w:szCs w:val="16"/>
              </w:rPr>
              <w:t>Subsectors</w:t>
            </w:r>
          </w:p>
        </w:tc>
        <w:tc>
          <w:tcPr>
            <w:tcW w:w="2584" w:type="dxa"/>
            <w:shd w:val="clear" w:color="auto" w:fill="B4A269" w:themeFill="text2"/>
            <w:tcMar>
              <w:left w:w="108" w:type="dxa"/>
              <w:right w:w="108" w:type="dxa"/>
            </w:tcMar>
            <w:vAlign w:val="center"/>
          </w:tcPr>
          <w:p w14:paraId="0FE19FB9" w14:textId="40444761" w:rsidR="1760A01F" w:rsidRPr="00662906" w:rsidRDefault="1760A01F" w:rsidP="009D1447">
            <w:pPr>
              <w:ind w:left="720" w:hanging="360"/>
              <w:jc w:val="center"/>
              <w:rPr>
                <w:rFonts w:eastAsia="Arial" w:cs="Arial"/>
                <w:b/>
                <w:bCs/>
                <w:color w:val="FFFFFF" w:themeColor="background2"/>
                <w:sz w:val="16"/>
                <w:szCs w:val="16"/>
              </w:rPr>
            </w:pPr>
            <w:r w:rsidRPr="00662906">
              <w:rPr>
                <w:rFonts w:eastAsia="Arial" w:cs="Arial"/>
                <w:b/>
                <w:bCs/>
                <w:color w:val="FFFFFF" w:themeColor="background2"/>
                <w:sz w:val="16"/>
                <w:szCs w:val="16"/>
              </w:rPr>
              <w:t>Electricity</w:t>
            </w:r>
          </w:p>
        </w:tc>
        <w:tc>
          <w:tcPr>
            <w:tcW w:w="1812" w:type="dxa"/>
            <w:shd w:val="clear" w:color="auto" w:fill="B4A269" w:themeFill="text2"/>
            <w:tcMar>
              <w:left w:w="108" w:type="dxa"/>
              <w:right w:w="108" w:type="dxa"/>
            </w:tcMar>
            <w:vAlign w:val="center"/>
          </w:tcPr>
          <w:p w14:paraId="39547E6A" w14:textId="3325D54B"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Transport</w:t>
            </w:r>
          </w:p>
        </w:tc>
        <w:tc>
          <w:tcPr>
            <w:tcW w:w="1789" w:type="dxa"/>
            <w:shd w:val="clear" w:color="auto" w:fill="B4A269" w:themeFill="text2"/>
            <w:tcMar>
              <w:left w:w="108" w:type="dxa"/>
              <w:right w:w="108" w:type="dxa"/>
            </w:tcMar>
            <w:vAlign w:val="center"/>
          </w:tcPr>
          <w:p w14:paraId="539E9238" w14:textId="44AADD18"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Buildings</w:t>
            </w:r>
          </w:p>
        </w:tc>
        <w:tc>
          <w:tcPr>
            <w:tcW w:w="2013" w:type="dxa"/>
            <w:shd w:val="clear" w:color="auto" w:fill="B4A269" w:themeFill="text2"/>
            <w:tcMar>
              <w:left w:w="108" w:type="dxa"/>
              <w:right w:w="108" w:type="dxa"/>
            </w:tcMar>
            <w:vAlign w:val="center"/>
          </w:tcPr>
          <w:p w14:paraId="7F3E2AF6" w14:textId="6CC2B4BD"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Industry</w:t>
            </w:r>
          </w:p>
        </w:tc>
        <w:tc>
          <w:tcPr>
            <w:tcW w:w="1790" w:type="dxa"/>
            <w:shd w:val="clear" w:color="auto" w:fill="B4A269" w:themeFill="text2"/>
            <w:tcMar>
              <w:left w:w="108" w:type="dxa"/>
              <w:right w:w="108" w:type="dxa"/>
            </w:tcMar>
            <w:vAlign w:val="center"/>
          </w:tcPr>
          <w:p w14:paraId="4E8CE6FB" w14:textId="16D12C56"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Oil and Gas</w:t>
            </w:r>
          </w:p>
        </w:tc>
        <w:tc>
          <w:tcPr>
            <w:tcW w:w="1788" w:type="dxa"/>
            <w:shd w:val="clear" w:color="auto" w:fill="B4A269" w:themeFill="text2"/>
            <w:tcMar>
              <w:left w:w="108" w:type="dxa"/>
              <w:right w:w="108" w:type="dxa"/>
            </w:tcMar>
            <w:vAlign w:val="center"/>
          </w:tcPr>
          <w:p w14:paraId="6C73F329" w14:textId="166233CE"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Agriculture</w:t>
            </w:r>
          </w:p>
        </w:tc>
        <w:tc>
          <w:tcPr>
            <w:tcW w:w="1745" w:type="dxa"/>
            <w:shd w:val="clear" w:color="auto" w:fill="B4A269" w:themeFill="text2"/>
            <w:tcMar>
              <w:left w:w="108" w:type="dxa"/>
              <w:right w:w="108" w:type="dxa"/>
            </w:tcMar>
            <w:vAlign w:val="center"/>
          </w:tcPr>
          <w:p w14:paraId="4ED3FF96" w14:textId="19A6722F" w:rsidR="1760A01F" w:rsidRPr="00662906" w:rsidRDefault="1760A01F" w:rsidP="0048725C">
            <w:pPr>
              <w:jc w:val="center"/>
              <w:rPr>
                <w:rFonts w:eastAsia="Arial" w:cs="Arial"/>
                <w:b/>
                <w:bCs/>
                <w:color w:val="FFFFFF" w:themeColor="background2"/>
                <w:sz w:val="16"/>
                <w:szCs w:val="16"/>
              </w:rPr>
            </w:pPr>
            <w:r w:rsidRPr="00662906">
              <w:rPr>
                <w:rFonts w:eastAsia="Arial" w:cs="Arial"/>
                <w:b/>
                <w:bCs/>
                <w:color w:val="FFFFFF" w:themeColor="background2"/>
                <w:sz w:val="16"/>
                <w:szCs w:val="16"/>
              </w:rPr>
              <w:t>Clean Cooking</w:t>
            </w:r>
          </w:p>
        </w:tc>
      </w:tr>
      <w:tr w:rsidR="009D1447" w:rsidRPr="00662906" w14:paraId="52BB8108" w14:textId="77777777" w:rsidTr="004833A3">
        <w:trPr>
          <w:trHeight w:val="300"/>
        </w:trPr>
        <w:tc>
          <w:tcPr>
            <w:tcW w:w="1070" w:type="dxa"/>
            <w:tcMar>
              <w:left w:w="108" w:type="dxa"/>
              <w:right w:w="108" w:type="dxa"/>
            </w:tcMar>
          </w:tcPr>
          <w:p w14:paraId="51D0CDA6" w14:textId="429E7D65" w:rsidR="1760A01F" w:rsidRPr="00662906" w:rsidRDefault="1760A01F" w:rsidP="1760A01F">
            <w:pPr>
              <w:rPr>
                <w:rFonts w:eastAsia="Arial" w:cs="Arial"/>
                <w:b/>
                <w:sz w:val="16"/>
                <w:szCs w:val="16"/>
              </w:rPr>
            </w:pPr>
            <w:r w:rsidRPr="00662906">
              <w:rPr>
                <w:rFonts w:eastAsia="Arial" w:cs="Arial"/>
                <w:b/>
                <w:sz w:val="16"/>
                <w:szCs w:val="16"/>
              </w:rPr>
              <w:t>Electricity</w:t>
            </w:r>
          </w:p>
        </w:tc>
        <w:tc>
          <w:tcPr>
            <w:tcW w:w="2584" w:type="dxa"/>
            <w:shd w:val="clear" w:color="auto" w:fill="BFBFBF" w:themeFill="background2" w:themeFillShade="BF"/>
            <w:tcMar>
              <w:left w:w="108" w:type="dxa"/>
              <w:right w:w="108" w:type="dxa"/>
            </w:tcMar>
          </w:tcPr>
          <w:p w14:paraId="7B4E42E0" w14:textId="60D861FE" w:rsidR="1760A01F" w:rsidRPr="00662906" w:rsidRDefault="1760A01F" w:rsidP="009D1447">
            <w:pPr>
              <w:spacing w:before="0" w:after="0"/>
              <w:ind w:left="720" w:hanging="360"/>
              <w:rPr>
                <w:rFonts w:eastAsia="Arial" w:cs="Arial"/>
                <w:sz w:val="16"/>
                <w:szCs w:val="16"/>
              </w:rPr>
            </w:pPr>
          </w:p>
        </w:tc>
        <w:tc>
          <w:tcPr>
            <w:tcW w:w="1812" w:type="dxa"/>
            <w:shd w:val="clear" w:color="auto" w:fill="BFBFBF" w:themeFill="background2" w:themeFillShade="BF"/>
            <w:tcMar>
              <w:left w:w="108" w:type="dxa"/>
              <w:right w:w="108" w:type="dxa"/>
            </w:tcMar>
          </w:tcPr>
          <w:p w14:paraId="08136F4D" w14:textId="16E7D7A6" w:rsidR="1760A01F" w:rsidRPr="00662906" w:rsidRDefault="1760A01F" w:rsidP="1760A01F">
            <w:pPr>
              <w:rPr>
                <w:rFonts w:eastAsia="Arial" w:cs="Arial"/>
                <w:sz w:val="16"/>
                <w:szCs w:val="16"/>
              </w:rPr>
            </w:pPr>
          </w:p>
        </w:tc>
        <w:tc>
          <w:tcPr>
            <w:tcW w:w="1789" w:type="dxa"/>
            <w:shd w:val="clear" w:color="auto" w:fill="BFBFBF" w:themeFill="background2" w:themeFillShade="BF"/>
            <w:tcMar>
              <w:left w:w="108" w:type="dxa"/>
              <w:right w:w="108" w:type="dxa"/>
            </w:tcMar>
          </w:tcPr>
          <w:p w14:paraId="5355078E" w14:textId="73C85A0C" w:rsidR="1760A01F" w:rsidRPr="00662906" w:rsidRDefault="1760A01F" w:rsidP="1760A01F">
            <w:pPr>
              <w:rPr>
                <w:rFonts w:eastAsia="Arial" w:cs="Arial"/>
                <w:sz w:val="16"/>
                <w:szCs w:val="16"/>
              </w:rPr>
            </w:pPr>
          </w:p>
        </w:tc>
        <w:tc>
          <w:tcPr>
            <w:tcW w:w="2013" w:type="dxa"/>
            <w:shd w:val="clear" w:color="auto" w:fill="BFBFBF" w:themeFill="background2" w:themeFillShade="BF"/>
            <w:tcMar>
              <w:left w:w="108" w:type="dxa"/>
              <w:right w:w="108" w:type="dxa"/>
            </w:tcMar>
          </w:tcPr>
          <w:p w14:paraId="27F6A50A" w14:textId="09D6B9DA" w:rsidR="1760A01F" w:rsidRPr="00662906" w:rsidRDefault="1760A01F" w:rsidP="1760A01F">
            <w:pPr>
              <w:rPr>
                <w:rFonts w:eastAsia="Arial" w:cs="Arial"/>
                <w:sz w:val="16"/>
                <w:szCs w:val="16"/>
              </w:rPr>
            </w:pPr>
          </w:p>
        </w:tc>
        <w:tc>
          <w:tcPr>
            <w:tcW w:w="1790" w:type="dxa"/>
            <w:shd w:val="clear" w:color="auto" w:fill="BFBFBF" w:themeFill="background2" w:themeFillShade="BF"/>
            <w:tcMar>
              <w:left w:w="108" w:type="dxa"/>
              <w:right w:w="108" w:type="dxa"/>
            </w:tcMar>
          </w:tcPr>
          <w:p w14:paraId="69656B6D" w14:textId="7C5BA216" w:rsidR="1760A01F" w:rsidRPr="00662906" w:rsidRDefault="1760A01F" w:rsidP="1760A01F">
            <w:pPr>
              <w:rPr>
                <w:rFonts w:eastAsia="Arial" w:cs="Arial"/>
                <w:sz w:val="16"/>
                <w:szCs w:val="16"/>
              </w:rPr>
            </w:pPr>
          </w:p>
        </w:tc>
        <w:tc>
          <w:tcPr>
            <w:tcW w:w="1788" w:type="dxa"/>
            <w:shd w:val="clear" w:color="auto" w:fill="BFBFBF" w:themeFill="background2" w:themeFillShade="BF"/>
            <w:tcMar>
              <w:left w:w="108" w:type="dxa"/>
              <w:right w:w="108" w:type="dxa"/>
            </w:tcMar>
          </w:tcPr>
          <w:p w14:paraId="582F7C74" w14:textId="76B0AB9A"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56D41BFE" w14:textId="7EB2D874" w:rsidR="1760A01F" w:rsidRPr="00662906" w:rsidRDefault="1760A01F" w:rsidP="1760A01F">
            <w:pPr>
              <w:rPr>
                <w:rFonts w:eastAsia="Arial" w:cs="Arial"/>
                <w:sz w:val="16"/>
                <w:szCs w:val="16"/>
              </w:rPr>
            </w:pPr>
          </w:p>
        </w:tc>
      </w:tr>
      <w:tr w:rsidR="00BB3152" w:rsidRPr="00662906" w14:paraId="70B48C0F" w14:textId="77777777" w:rsidTr="004833A3">
        <w:trPr>
          <w:trHeight w:val="300"/>
        </w:trPr>
        <w:tc>
          <w:tcPr>
            <w:tcW w:w="1070" w:type="dxa"/>
            <w:tcMar>
              <w:left w:w="108" w:type="dxa"/>
              <w:right w:w="108" w:type="dxa"/>
            </w:tcMar>
          </w:tcPr>
          <w:p w14:paraId="2198AC26" w14:textId="6AAF829E" w:rsidR="1760A01F" w:rsidRPr="00662906" w:rsidRDefault="1760A01F" w:rsidP="1760A01F">
            <w:pPr>
              <w:rPr>
                <w:rFonts w:eastAsia="Arial" w:cs="Arial"/>
                <w:b/>
                <w:sz w:val="16"/>
                <w:szCs w:val="16"/>
              </w:rPr>
            </w:pPr>
            <w:r w:rsidRPr="00662906">
              <w:rPr>
                <w:rFonts w:eastAsia="Arial" w:cs="Arial"/>
                <w:b/>
                <w:sz w:val="16"/>
                <w:szCs w:val="16"/>
              </w:rPr>
              <w:t>Transport</w:t>
            </w:r>
          </w:p>
        </w:tc>
        <w:tc>
          <w:tcPr>
            <w:tcW w:w="2584" w:type="dxa"/>
            <w:tcMar>
              <w:left w:w="108" w:type="dxa"/>
              <w:right w:w="108" w:type="dxa"/>
            </w:tcMar>
          </w:tcPr>
          <w:p w14:paraId="4BEDBF7A" w14:textId="0D615BFA" w:rsidR="1760A01F" w:rsidRPr="00662906" w:rsidRDefault="0F88EC61" w:rsidP="00051FC2">
            <w:pPr>
              <w:pStyle w:val="ListParagraph"/>
              <w:spacing w:before="0" w:after="0"/>
              <w:ind w:left="180" w:hanging="270"/>
              <w:rPr>
                <w:rFonts w:cs="Arial"/>
                <w:sz w:val="16"/>
                <w:szCs w:val="16"/>
              </w:rPr>
            </w:pPr>
            <w:r w:rsidRPr="00662906">
              <w:rPr>
                <w:rFonts w:eastAsia="Arial" w:cs="Arial"/>
                <w:sz w:val="16"/>
                <w:szCs w:val="16"/>
              </w:rPr>
              <w:t>Charging infrastructure development</w:t>
            </w:r>
            <w:r w:rsidR="009A33F3" w:rsidRPr="00662906">
              <w:rPr>
                <w:rFonts w:eastAsia="Arial" w:cs="Arial"/>
                <w:sz w:val="16"/>
                <w:szCs w:val="16"/>
              </w:rPr>
              <w:t xml:space="preserve"> </w:t>
            </w:r>
            <w:r w:rsidRPr="00662906">
              <w:rPr>
                <w:rFonts w:eastAsia="Arial" w:cs="Arial"/>
                <w:sz w:val="16"/>
                <w:szCs w:val="16"/>
              </w:rPr>
              <w:t>Integrati</w:t>
            </w:r>
            <w:r w:rsidR="00366D29" w:rsidRPr="00662906">
              <w:rPr>
                <w:rFonts w:eastAsia="Arial" w:cs="Arial"/>
                <w:sz w:val="16"/>
                <w:szCs w:val="16"/>
              </w:rPr>
              <w:t>ng</w:t>
            </w:r>
            <w:r w:rsidRPr="00662906">
              <w:rPr>
                <w:rFonts w:eastAsia="Arial" w:cs="Arial"/>
                <w:sz w:val="16"/>
                <w:szCs w:val="16"/>
              </w:rPr>
              <w:t xml:space="preserve"> of </w:t>
            </w:r>
            <w:r w:rsidR="3E9C86DB" w:rsidRPr="00662906">
              <w:rPr>
                <w:rFonts w:eastAsia="Arial" w:cs="Arial"/>
                <w:sz w:val="16"/>
                <w:szCs w:val="16"/>
              </w:rPr>
              <w:t>N</w:t>
            </w:r>
            <w:r w:rsidR="0CE17FBF" w:rsidRPr="00662906">
              <w:rPr>
                <w:rFonts w:eastAsia="Arial" w:cs="Arial"/>
                <w:sz w:val="16"/>
                <w:szCs w:val="16"/>
              </w:rPr>
              <w:t>EVs</w:t>
            </w:r>
            <w:r w:rsidRPr="00662906">
              <w:rPr>
                <w:rFonts w:eastAsia="Arial" w:cs="Arial"/>
                <w:sz w:val="16"/>
                <w:szCs w:val="16"/>
              </w:rPr>
              <w:t xml:space="preserve"> with smart grid technologies</w:t>
            </w:r>
            <w:r w:rsidR="00F375CB" w:rsidRPr="00662906">
              <w:rPr>
                <w:rFonts w:eastAsia="Arial" w:cs="Arial"/>
                <w:sz w:val="16"/>
                <w:szCs w:val="16"/>
              </w:rPr>
              <w:t xml:space="preserve"> </w:t>
            </w:r>
          </w:p>
        </w:tc>
        <w:tc>
          <w:tcPr>
            <w:tcW w:w="1812" w:type="dxa"/>
            <w:shd w:val="clear" w:color="auto" w:fill="BFBFBF" w:themeFill="background2" w:themeFillShade="BF"/>
            <w:tcMar>
              <w:left w:w="108" w:type="dxa"/>
              <w:right w:w="108" w:type="dxa"/>
            </w:tcMar>
          </w:tcPr>
          <w:p w14:paraId="26052D61" w14:textId="4300008D" w:rsidR="1760A01F" w:rsidRPr="00662906" w:rsidRDefault="1760A01F" w:rsidP="1760A01F">
            <w:pPr>
              <w:rPr>
                <w:rFonts w:eastAsia="Arial" w:cs="Arial"/>
                <w:sz w:val="16"/>
                <w:szCs w:val="16"/>
              </w:rPr>
            </w:pPr>
          </w:p>
        </w:tc>
        <w:tc>
          <w:tcPr>
            <w:tcW w:w="1789" w:type="dxa"/>
            <w:shd w:val="clear" w:color="auto" w:fill="BFBFBF" w:themeFill="background2" w:themeFillShade="BF"/>
            <w:tcMar>
              <w:left w:w="108" w:type="dxa"/>
              <w:right w:w="108" w:type="dxa"/>
            </w:tcMar>
          </w:tcPr>
          <w:p w14:paraId="3655C462" w14:textId="3F0AA60E" w:rsidR="1760A01F" w:rsidRPr="00662906" w:rsidRDefault="1760A01F" w:rsidP="1760A01F">
            <w:pPr>
              <w:rPr>
                <w:rFonts w:eastAsia="Arial" w:cs="Arial"/>
                <w:sz w:val="16"/>
                <w:szCs w:val="16"/>
              </w:rPr>
            </w:pPr>
          </w:p>
        </w:tc>
        <w:tc>
          <w:tcPr>
            <w:tcW w:w="2013" w:type="dxa"/>
            <w:shd w:val="clear" w:color="auto" w:fill="BFBFBF" w:themeFill="background2" w:themeFillShade="BF"/>
            <w:tcMar>
              <w:left w:w="108" w:type="dxa"/>
              <w:right w:w="108" w:type="dxa"/>
            </w:tcMar>
          </w:tcPr>
          <w:p w14:paraId="304AC964" w14:textId="311D8E9A" w:rsidR="1760A01F" w:rsidRPr="00662906" w:rsidRDefault="1760A01F" w:rsidP="1760A01F">
            <w:pPr>
              <w:rPr>
                <w:rFonts w:eastAsia="Arial" w:cs="Arial"/>
                <w:sz w:val="16"/>
                <w:szCs w:val="16"/>
              </w:rPr>
            </w:pPr>
          </w:p>
        </w:tc>
        <w:tc>
          <w:tcPr>
            <w:tcW w:w="1790" w:type="dxa"/>
            <w:shd w:val="clear" w:color="auto" w:fill="BFBFBF" w:themeFill="background2" w:themeFillShade="BF"/>
            <w:tcMar>
              <w:left w:w="108" w:type="dxa"/>
              <w:right w:w="108" w:type="dxa"/>
            </w:tcMar>
          </w:tcPr>
          <w:p w14:paraId="4820A18F" w14:textId="2F6507CB" w:rsidR="1760A01F" w:rsidRPr="00662906" w:rsidRDefault="1760A01F" w:rsidP="1760A01F">
            <w:pPr>
              <w:rPr>
                <w:rFonts w:eastAsia="Arial" w:cs="Arial"/>
                <w:sz w:val="16"/>
                <w:szCs w:val="16"/>
              </w:rPr>
            </w:pPr>
          </w:p>
        </w:tc>
        <w:tc>
          <w:tcPr>
            <w:tcW w:w="1788" w:type="dxa"/>
            <w:shd w:val="clear" w:color="auto" w:fill="BFBFBF" w:themeFill="background2" w:themeFillShade="BF"/>
            <w:tcMar>
              <w:left w:w="108" w:type="dxa"/>
              <w:right w:w="108" w:type="dxa"/>
            </w:tcMar>
          </w:tcPr>
          <w:p w14:paraId="44DC8C9B" w14:textId="3735A5CC"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1F6858CA" w14:textId="38DDEEE0" w:rsidR="1760A01F" w:rsidRPr="00662906" w:rsidRDefault="1760A01F" w:rsidP="1760A01F">
            <w:pPr>
              <w:rPr>
                <w:rFonts w:eastAsia="Arial" w:cs="Arial"/>
                <w:sz w:val="16"/>
                <w:szCs w:val="16"/>
              </w:rPr>
            </w:pPr>
          </w:p>
        </w:tc>
      </w:tr>
      <w:tr w:rsidR="00BB3152" w:rsidRPr="00662906" w14:paraId="7F5F2933" w14:textId="77777777" w:rsidTr="004833A3">
        <w:trPr>
          <w:trHeight w:val="300"/>
        </w:trPr>
        <w:tc>
          <w:tcPr>
            <w:tcW w:w="1070" w:type="dxa"/>
            <w:tcMar>
              <w:left w:w="108" w:type="dxa"/>
              <w:right w:w="108" w:type="dxa"/>
            </w:tcMar>
          </w:tcPr>
          <w:p w14:paraId="5C9A083A" w14:textId="7BCE4F7B" w:rsidR="1760A01F" w:rsidRPr="00662906" w:rsidRDefault="1760A01F" w:rsidP="1760A01F">
            <w:pPr>
              <w:rPr>
                <w:rFonts w:eastAsia="Arial" w:cs="Arial"/>
                <w:b/>
                <w:sz w:val="16"/>
                <w:szCs w:val="16"/>
              </w:rPr>
            </w:pPr>
            <w:r w:rsidRPr="00662906">
              <w:rPr>
                <w:rFonts w:eastAsia="Arial" w:cs="Arial"/>
                <w:b/>
                <w:sz w:val="16"/>
                <w:szCs w:val="16"/>
              </w:rPr>
              <w:t>Buildings</w:t>
            </w:r>
          </w:p>
        </w:tc>
        <w:tc>
          <w:tcPr>
            <w:tcW w:w="2584" w:type="dxa"/>
            <w:tcMar>
              <w:left w:w="108" w:type="dxa"/>
              <w:right w:w="108" w:type="dxa"/>
            </w:tcMar>
          </w:tcPr>
          <w:p w14:paraId="5359A2B5" w14:textId="352CEA48" w:rsidR="0719BA66" w:rsidRPr="00662906" w:rsidRDefault="0719BA66" w:rsidP="3AA1B05C">
            <w:pPr>
              <w:pStyle w:val="ListParagraph"/>
              <w:spacing w:before="0" w:after="0"/>
              <w:ind w:left="180" w:hanging="270"/>
              <w:rPr>
                <w:rFonts w:eastAsia="Arial" w:cs="Arial"/>
                <w:sz w:val="16"/>
                <w:szCs w:val="16"/>
              </w:rPr>
            </w:pPr>
            <w:r w:rsidRPr="00662906">
              <w:rPr>
                <w:rFonts w:eastAsia="Arial" w:cs="Arial"/>
                <w:sz w:val="16"/>
                <w:szCs w:val="16"/>
              </w:rPr>
              <w:t>Buildings as e</w:t>
            </w:r>
            <w:r w:rsidR="7FFCD57B" w:rsidRPr="00662906">
              <w:rPr>
                <w:rFonts w:eastAsia="Arial" w:cs="Arial"/>
                <w:sz w:val="16"/>
                <w:szCs w:val="16"/>
              </w:rPr>
              <w:t>lectricity</w:t>
            </w:r>
            <w:r w:rsidRPr="00662906">
              <w:rPr>
                <w:rFonts w:eastAsia="Arial" w:cs="Arial"/>
                <w:sz w:val="16"/>
                <w:szCs w:val="16"/>
              </w:rPr>
              <w:t xml:space="preserve"> consumers and </w:t>
            </w:r>
            <w:r w:rsidR="56E203E7" w:rsidRPr="00662906">
              <w:rPr>
                <w:rFonts w:eastAsia="Arial" w:cs="Arial"/>
                <w:sz w:val="16"/>
                <w:szCs w:val="16"/>
              </w:rPr>
              <w:t>prosumers</w:t>
            </w:r>
            <w:r w:rsidR="00F375CB" w:rsidRPr="00662906">
              <w:rPr>
                <w:rFonts w:eastAsia="Arial" w:cs="Arial"/>
                <w:sz w:val="16"/>
                <w:szCs w:val="16"/>
              </w:rPr>
              <w:t xml:space="preserve">  </w:t>
            </w:r>
          </w:p>
          <w:p w14:paraId="3D50D924" w14:textId="1B8B43DC" w:rsidR="7F28321D" w:rsidRPr="00662906" w:rsidRDefault="7F28321D" w:rsidP="1760A01F">
            <w:pPr>
              <w:pStyle w:val="ListParagraph"/>
              <w:spacing w:before="0" w:after="0"/>
              <w:ind w:left="180" w:hanging="270"/>
              <w:rPr>
                <w:rFonts w:cs="Arial"/>
                <w:sz w:val="16"/>
                <w:szCs w:val="16"/>
              </w:rPr>
            </w:pPr>
            <w:r w:rsidRPr="00662906">
              <w:rPr>
                <w:rFonts w:eastAsia="Arial" w:cs="Arial"/>
                <w:sz w:val="16"/>
                <w:szCs w:val="16"/>
              </w:rPr>
              <w:t>Integration of renewable energy sources in building design</w:t>
            </w:r>
            <w:r w:rsidR="00F375CB" w:rsidRPr="00662906">
              <w:rPr>
                <w:rFonts w:eastAsia="Arial" w:cs="Arial"/>
                <w:sz w:val="16"/>
                <w:szCs w:val="16"/>
              </w:rPr>
              <w:t xml:space="preserve"> </w:t>
            </w:r>
          </w:p>
        </w:tc>
        <w:tc>
          <w:tcPr>
            <w:tcW w:w="1812" w:type="dxa"/>
            <w:shd w:val="clear" w:color="auto" w:fill="BFBFBF" w:themeFill="background2" w:themeFillShade="BF"/>
            <w:tcMar>
              <w:left w:w="108" w:type="dxa"/>
              <w:right w:w="108" w:type="dxa"/>
            </w:tcMar>
          </w:tcPr>
          <w:p w14:paraId="1CC40B4C" w14:textId="62C3049A" w:rsidR="6EFD99D8" w:rsidRPr="00662906" w:rsidRDefault="6EFD99D8" w:rsidP="3AA1B05C">
            <w:pPr>
              <w:rPr>
                <w:rFonts w:eastAsia="Arial" w:cs="Arial"/>
                <w:sz w:val="16"/>
                <w:szCs w:val="16"/>
              </w:rPr>
            </w:pPr>
          </w:p>
        </w:tc>
        <w:tc>
          <w:tcPr>
            <w:tcW w:w="1789" w:type="dxa"/>
            <w:shd w:val="clear" w:color="auto" w:fill="BFBFBF" w:themeFill="background2" w:themeFillShade="BF"/>
            <w:tcMar>
              <w:left w:w="108" w:type="dxa"/>
              <w:right w:w="108" w:type="dxa"/>
            </w:tcMar>
          </w:tcPr>
          <w:p w14:paraId="3A701B94" w14:textId="72429522" w:rsidR="1760A01F" w:rsidRPr="00662906" w:rsidRDefault="1760A01F" w:rsidP="1760A01F">
            <w:pPr>
              <w:rPr>
                <w:rFonts w:eastAsia="Arial" w:cs="Arial"/>
                <w:sz w:val="16"/>
                <w:szCs w:val="16"/>
              </w:rPr>
            </w:pPr>
          </w:p>
        </w:tc>
        <w:tc>
          <w:tcPr>
            <w:tcW w:w="2013" w:type="dxa"/>
            <w:shd w:val="clear" w:color="auto" w:fill="BFBFBF" w:themeFill="background2" w:themeFillShade="BF"/>
            <w:tcMar>
              <w:left w:w="108" w:type="dxa"/>
              <w:right w:w="108" w:type="dxa"/>
            </w:tcMar>
          </w:tcPr>
          <w:p w14:paraId="4D071F66" w14:textId="7403C16D" w:rsidR="1760A01F" w:rsidRPr="00662906" w:rsidRDefault="1760A01F" w:rsidP="1760A01F">
            <w:pPr>
              <w:rPr>
                <w:rFonts w:eastAsia="Arial" w:cs="Arial"/>
                <w:sz w:val="16"/>
                <w:szCs w:val="16"/>
              </w:rPr>
            </w:pPr>
          </w:p>
        </w:tc>
        <w:tc>
          <w:tcPr>
            <w:tcW w:w="1790" w:type="dxa"/>
            <w:shd w:val="clear" w:color="auto" w:fill="BFBFBF" w:themeFill="background2" w:themeFillShade="BF"/>
            <w:tcMar>
              <w:left w:w="108" w:type="dxa"/>
              <w:right w:w="108" w:type="dxa"/>
            </w:tcMar>
          </w:tcPr>
          <w:p w14:paraId="3A298A71" w14:textId="630E2F0F" w:rsidR="1760A01F" w:rsidRPr="00662906" w:rsidRDefault="1760A01F" w:rsidP="1760A01F">
            <w:pPr>
              <w:rPr>
                <w:rFonts w:eastAsia="Arial" w:cs="Arial"/>
                <w:sz w:val="16"/>
                <w:szCs w:val="16"/>
              </w:rPr>
            </w:pPr>
          </w:p>
        </w:tc>
        <w:tc>
          <w:tcPr>
            <w:tcW w:w="1788" w:type="dxa"/>
            <w:shd w:val="clear" w:color="auto" w:fill="BFBFBF" w:themeFill="background2" w:themeFillShade="BF"/>
            <w:tcMar>
              <w:left w:w="108" w:type="dxa"/>
              <w:right w:w="108" w:type="dxa"/>
            </w:tcMar>
          </w:tcPr>
          <w:p w14:paraId="4CFB50FF" w14:textId="0BD22423"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6C503B3A" w14:textId="5A16B77F" w:rsidR="1760A01F" w:rsidRPr="00662906" w:rsidRDefault="1760A01F" w:rsidP="1760A01F">
            <w:pPr>
              <w:rPr>
                <w:rFonts w:eastAsia="Arial" w:cs="Arial"/>
                <w:sz w:val="16"/>
                <w:szCs w:val="16"/>
              </w:rPr>
            </w:pPr>
          </w:p>
        </w:tc>
      </w:tr>
      <w:tr w:rsidR="00BB3152" w:rsidRPr="00662906" w14:paraId="151375B3" w14:textId="77777777" w:rsidTr="004833A3">
        <w:trPr>
          <w:trHeight w:val="300"/>
        </w:trPr>
        <w:tc>
          <w:tcPr>
            <w:tcW w:w="1070" w:type="dxa"/>
            <w:tcMar>
              <w:left w:w="108" w:type="dxa"/>
              <w:right w:w="108" w:type="dxa"/>
            </w:tcMar>
          </w:tcPr>
          <w:p w14:paraId="4DB0F492" w14:textId="5D5BCB22" w:rsidR="1760A01F" w:rsidRPr="00662906" w:rsidRDefault="1760A01F" w:rsidP="1760A01F">
            <w:pPr>
              <w:rPr>
                <w:rFonts w:eastAsia="Arial" w:cs="Arial"/>
                <w:b/>
                <w:sz w:val="16"/>
                <w:szCs w:val="16"/>
              </w:rPr>
            </w:pPr>
            <w:r w:rsidRPr="00662906">
              <w:rPr>
                <w:rFonts w:eastAsia="Arial" w:cs="Arial"/>
                <w:b/>
                <w:sz w:val="16"/>
                <w:szCs w:val="16"/>
              </w:rPr>
              <w:t>Industry</w:t>
            </w:r>
          </w:p>
        </w:tc>
        <w:tc>
          <w:tcPr>
            <w:tcW w:w="2584" w:type="dxa"/>
            <w:tcMar>
              <w:left w:w="108" w:type="dxa"/>
              <w:right w:w="108" w:type="dxa"/>
            </w:tcMar>
          </w:tcPr>
          <w:p w14:paraId="7F778B2D" w14:textId="1724A58C" w:rsidR="1760A01F" w:rsidRPr="00662906" w:rsidRDefault="188D3619" w:rsidP="006F4DE9">
            <w:pPr>
              <w:pStyle w:val="ListParagraph"/>
              <w:spacing w:before="0" w:after="0"/>
              <w:ind w:left="180" w:hanging="270"/>
              <w:rPr>
                <w:rFonts w:eastAsia="Arial" w:cs="Arial"/>
                <w:sz w:val="16"/>
                <w:szCs w:val="16"/>
              </w:rPr>
            </w:pPr>
            <w:r w:rsidRPr="00662906">
              <w:rPr>
                <w:rFonts w:eastAsia="Arial" w:cs="Arial"/>
                <w:sz w:val="16"/>
                <w:szCs w:val="16"/>
              </w:rPr>
              <w:t>Industrial energy efficiency through optimized electricity use</w:t>
            </w:r>
            <w:r w:rsidR="006F4DE9" w:rsidRPr="00662906">
              <w:rPr>
                <w:rFonts w:eastAsia="Arial" w:cs="Arial"/>
                <w:sz w:val="16"/>
                <w:szCs w:val="16"/>
              </w:rPr>
              <w:t>: Targeting reduction of fossil fuel demand in industry through RE supply and EE Practices)</w:t>
            </w:r>
          </w:p>
        </w:tc>
        <w:tc>
          <w:tcPr>
            <w:tcW w:w="1812" w:type="dxa"/>
            <w:tcMar>
              <w:left w:w="108" w:type="dxa"/>
              <w:right w:w="108" w:type="dxa"/>
            </w:tcMar>
          </w:tcPr>
          <w:p w14:paraId="43DE80F8" w14:textId="73EFBA15" w:rsidR="2FF5921F" w:rsidRPr="00662906" w:rsidRDefault="00051FC2" w:rsidP="00D727FE">
            <w:pPr>
              <w:ind w:left="-90"/>
              <w:rPr>
                <w:rFonts w:eastAsia="Arial" w:cs="Arial"/>
                <w:sz w:val="16"/>
                <w:szCs w:val="16"/>
              </w:rPr>
            </w:pPr>
            <w:r w:rsidRPr="00662906">
              <w:rPr>
                <w:rFonts w:eastAsia="Arial" w:cs="Arial"/>
                <w:sz w:val="16"/>
                <w:szCs w:val="16"/>
              </w:rPr>
              <w:t>NEV Batteries and other fuels like Green Hydrogen/ ammonia produced in industry.</w:t>
            </w:r>
            <w:r w:rsidR="006F4DE9" w:rsidRPr="00662906">
              <w:rPr>
                <w:rFonts w:eastAsia="Arial" w:cs="Arial"/>
                <w:sz w:val="16"/>
                <w:szCs w:val="16"/>
              </w:rPr>
              <w:t xml:space="preserve"> </w:t>
            </w:r>
          </w:p>
        </w:tc>
        <w:tc>
          <w:tcPr>
            <w:tcW w:w="1789" w:type="dxa"/>
            <w:shd w:val="clear" w:color="auto" w:fill="BFBFBF" w:themeFill="background2" w:themeFillShade="BF"/>
            <w:tcMar>
              <w:left w:w="108" w:type="dxa"/>
              <w:right w:w="108" w:type="dxa"/>
            </w:tcMar>
          </w:tcPr>
          <w:p w14:paraId="4C87601D" w14:textId="007CBAE8" w:rsidR="1F73B503" w:rsidRPr="00662906" w:rsidRDefault="1F73B503" w:rsidP="3AA1B05C">
            <w:pPr>
              <w:rPr>
                <w:rFonts w:eastAsia="Arial" w:cs="Arial"/>
                <w:sz w:val="16"/>
                <w:szCs w:val="16"/>
              </w:rPr>
            </w:pPr>
          </w:p>
        </w:tc>
        <w:tc>
          <w:tcPr>
            <w:tcW w:w="2013" w:type="dxa"/>
            <w:shd w:val="clear" w:color="auto" w:fill="BFBFBF" w:themeFill="background2" w:themeFillShade="BF"/>
            <w:tcMar>
              <w:left w:w="108" w:type="dxa"/>
              <w:right w:w="108" w:type="dxa"/>
            </w:tcMar>
          </w:tcPr>
          <w:p w14:paraId="42F177AF" w14:textId="4967B55F" w:rsidR="1760A01F" w:rsidRPr="00662906" w:rsidRDefault="1760A01F" w:rsidP="1760A01F">
            <w:pPr>
              <w:rPr>
                <w:rFonts w:eastAsia="Arial" w:cs="Arial"/>
                <w:sz w:val="16"/>
                <w:szCs w:val="16"/>
              </w:rPr>
            </w:pPr>
          </w:p>
        </w:tc>
        <w:tc>
          <w:tcPr>
            <w:tcW w:w="1790" w:type="dxa"/>
            <w:shd w:val="clear" w:color="auto" w:fill="BFBFBF" w:themeFill="background2" w:themeFillShade="BF"/>
            <w:tcMar>
              <w:left w:w="108" w:type="dxa"/>
              <w:right w:w="108" w:type="dxa"/>
            </w:tcMar>
          </w:tcPr>
          <w:p w14:paraId="7A79BF8F" w14:textId="1AD279E1" w:rsidR="1760A01F" w:rsidRPr="00662906" w:rsidRDefault="1760A01F" w:rsidP="1760A01F">
            <w:pPr>
              <w:rPr>
                <w:rFonts w:eastAsia="Arial" w:cs="Arial"/>
                <w:sz w:val="16"/>
                <w:szCs w:val="16"/>
              </w:rPr>
            </w:pPr>
          </w:p>
        </w:tc>
        <w:tc>
          <w:tcPr>
            <w:tcW w:w="1788" w:type="dxa"/>
            <w:shd w:val="clear" w:color="auto" w:fill="BFBFBF" w:themeFill="background2" w:themeFillShade="BF"/>
            <w:tcMar>
              <w:left w:w="108" w:type="dxa"/>
              <w:right w:w="108" w:type="dxa"/>
            </w:tcMar>
          </w:tcPr>
          <w:p w14:paraId="7FB2904A" w14:textId="11DA8E00"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26917879" w14:textId="1571B948" w:rsidR="1760A01F" w:rsidRPr="00662906" w:rsidRDefault="1760A01F" w:rsidP="1760A01F">
            <w:pPr>
              <w:rPr>
                <w:rFonts w:eastAsia="Arial" w:cs="Arial"/>
                <w:sz w:val="16"/>
                <w:szCs w:val="16"/>
              </w:rPr>
            </w:pPr>
          </w:p>
        </w:tc>
      </w:tr>
      <w:tr w:rsidR="00BB3152" w:rsidRPr="00662906" w14:paraId="649B2470" w14:textId="77777777" w:rsidTr="004833A3">
        <w:trPr>
          <w:trHeight w:val="300"/>
        </w:trPr>
        <w:tc>
          <w:tcPr>
            <w:tcW w:w="1070" w:type="dxa"/>
            <w:tcMar>
              <w:left w:w="108" w:type="dxa"/>
              <w:right w:w="108" w:type="dxa"/>
            </w:tcMar>
          </w:tcPr>
          <w:p w14:paraId="76CC75B4" w14:textId="585C3847" w:rsidR="1760A01F" w:rsidRPr="00662906" w:rsidRDefault="1760A01F" w:rsidP="1760A01F">
            <w:pPr>
              <w:rPr>
                <w:rFonts w:eastAsia="Arial" w:cs="Arial"/>
                <w:b/>
                <w:sz w:val="16"/>
                <w:szCs w:val="16"/>
              </w:rPr>
            </w:pPr>
            <w:r w:rsidRPr="00662906">
              <w:rPr>
                <w:rFonts w:eastAsia="Arial" w:cs="Arial"/>
                <w:b/>
                <w:sz w:val="16"/>
                <w:szCs w:val="16"/>
              </w:rPr>
              <w:t>Oil and Gas</w:t>
            </w:r>
          </w:p>
        </w:tc>
        <w:tc>
          <w:tcPr>
            <w:tcW w:w="2584" w:type="dxa"/>
            <w:tcMar>
              <w:left w:w="108" w:type="dxa"/>
              <w:right w:w="108" w:type="dxa"/>
            </w:tcMar>
          </w:tcPr>
          <w:p w14:paraId="74886F9A" w14:textId="1AFD6B81" w:rsidR="7F05AABD" w:rsidRPr="00662906" w:rsidRDefault="7F05AABD" w:rsidP="1760A01F">
            <w:pPr>
              <w:pStyle w:val="ListParagraph"/>
              <w:spacing w:before="0" w:after="0"/>
              <w:ind w:left="180" w:hanging="270"/>
              <w:rPr>
                <w:rFonts w:eastAsia="Arial" w:cs="Arial"/>
                <w:sz w:val="16"/>
                <w:szCs w:val="16"/>
              </w:rPr>
            </w:pPr>
            <w:r w:rsidRPr="00662906">
              <w:rPr>
                <w:rFonts w:eastAsia="Arial" w:cs="Arial"/>
                <w:sz w:val="16"/>
                <w:szCs w:val="16"/>
              </w:rPr>
              <w:t xml:space="preserve">Natural gas as a transition fuel for </w:t>
            </w:r>
            <w:r w:rsidR="38CFF997" w:rsidRPr="00662906">
              <w:rPr>
                <w:rFonts w:eastAsia="Arial" w:cs="Arial"/>
                <w:sz w:val="16"/>
                <w:szCs w:val="16"/>
              </w:rPr>
              <w:t>electricity</w:t>
            </w:r>
            <w:r w:rsidR="490B8BF4" w:rsidRPr="00662906">
              <w:rPr>
                <w:rFonts w:eastAsia="Arial" w:cs="Arial"/>
                <w:sz w:val="16"/>
                <w:szCs w:val="16"/>
              </w:rPr>
              <w:t xml:space="preserve"> </w:t>
            </w:r>
            <w:r w:rsidRPr="00662906">
              <w:rPr>
                <w:rFonts w:eastAsia="Arial" w:cs="Arial"/>
                <w:sz w:val="16"/>
                <w:szCs w:val="16"/>
              </w:rPr>
              <w:t>generation</w:t>
            </w:r>
            <w:r w:rsidR="007D651B" w:rsidRPr="00662906">
              <w:rPr>
                <w:rFonts w:eastAsia="Arial" w:cs="Arial"/>
                <w:sz w:val="16"/>
                <w:szCs w:val="16"/>
              </w:rPr>
              <w:t xml:space="preserve"> </w:t>
            </w:r>
          </w:p>
          <w:p w14:paraId="026A34E1" w14:textId="6822C34A" w:rsidR="782E037C" w:rsidRPr="00662906" w:rsidRDefault="782E037C" w:rsidP="3AA1B05C">
            <w:pPr>
              <w:rPr>
                <w:rFonts w:eastAsia="Arial" w:cs="Arial"/>
                <w:sz w:val="16"/>
                <w:szCs w:val="16"/>
              </w:rPr>
            </w:pPr>
          </w:p>
        </w:tc>
        <w:tc>
          <w:tcPr>
            <w:tcW w:w="1812" w:type="dxa"/>
            <w:tcMar>
              <w:left w:w="108" w:type="dxa"/>
              <w:right w:w="108" w:type="dxa"/>
            </w:tcMar>
          </w:tcPr>
          <w:p w14:paraId="07774A27" w14:textId="1879F0F5" w:rsidR="05A33567" w:rsidRPr="00662906" w:rsidRDefault="00F07994" w:rsidP="1760A01F">
            <w:pPr>
              <w:pStyle w:val="ListParagraph"/>
              <w:spacing w:before="0" w:after="0"/>
              <w:ind w:left="180" w:hanging="270"/>
              <w:rPr>
                <w:rFonts w:eastAsia="Arial" w:cs="Arial"/>
                <w:sz w:val="16"/>
                <w:szCs w:val="16"/>
              </w:rPr>
            </w:pPr>
            <w:r w:rsidRPr="00662906">
              <w:rPr>
                <w:rFonts w:eastAsia="Arial" w:cs="Arial"/>
                <w:sz w:val="16"/>
                <w:szCs w:val="16"/>
              </w:rPr>
              <w:t>natural</w:t>
            </w:r>
            <w:r w:rsidR="6FBA6C54" w:rsidRPr="00662906">
              <w:rPr>
                <w:rFonts w:eastAsia="Arial" w:cs="Arial"/>
                <w:sz w:val="16"/>
                <w:szCs w:val="16"/>
              </w:rPr>
              <w:t xml:space="preserve"> gas </w:t>
            </w:r>
            <w:r w:rsidR="00051FC2" w:rsidRPr="00662906">
              <w:rPr>
                <w:rFonts w:eastAsia="Arial" w:cs="Arial"/>
                <w:sz w:val="16"/>
                <w:szCs w:val="16"/>
              </w:rPr>
              <w:t>and LPG utilization.</w:t>
            </w:r>
          </w:p>
          <w:p w14:paraId="100CCA19" w14:textId="0492927D" w:rsidR="05A33567" w:rsidRPr="00662906" w:rsidRDefault="05A33567" w:rsidP="3AA1B05C">
            <w:pPr>
              <w:rPr>
                <w:rFonts w:eastAsia="Arial" w:cs="Arial"/>
                <w:sz w:val="16"/>
                <w:szCs w:val="16"/>
              </w:rPr>
            </w:pPr>
          </w:p>
        </w:tc>
        <w:tc>
          <w:tcPr>
            <w:tcW w:w="1789" w:type="dxa"/>
            <w:tcMar>
              <w:left w:w="108" w:type="dxa"/>
              <w:right w:w="108" w:type="dxa"/>
            </w:tcMar>
          </w:tcPr>
          <w:p w14:paraId="798EC960" w14:textId="6E2F058E" w:rsidR="75797FE5" w:rsidRPr="00662906" w:rsidRDefault="00366D29" w:rsidP="3AA1B05C">
            <w:pPr>
              <w:rPr>
                <w:rFonts w:eastAsia="Arial" w:cs="Arial"/>
                <w:sz w:val="16"/>
                <w:szCs w:val="16"/>
              </w:rPr>
            </w:pPr>
            <w:r w:rsidRPr="00662906">
              <w:rPr>
                <w:rFonts w:eastAsia="Arial" w:cs="Arial"/>
                <w:sz w:val="16"/>
                <w:szCs w:val="16"/>
              </w:rPr>
              <w:t>Gas heating systems</w:t>
            </w:r>
          </w:p>
        </w:tc>
        <w:tc>
          <w:tcPr>
            <w:tcW w:w="2013" w:type="dxa"/>
            <w:tcMar>
              <w:left w:w="108" w:type="dxa"/>
              <w:right w:w="108" w:type="dxa"/>
            </w:tcMar>
          </w:tcPr>
          <w:p w14:paraId="344E3B40" w14:textId="5EBB2C51" w:rsidR="72A0719A" w:rsidRPr="00662906" w:rsidRDefault="05E5137E" w:rsidP="00051FC2">
            <w:pPr>
              <w:pStyle w:val="ListParagraph"/>
              <w:spacing w:before="0" w:after="0"/>
              <w:ind w:left="180" w:hanging="270"/>
              <w:rPr>
                <w:rFonts w:eastAsia="Arial" w:cs="Arial"/>
                <w:sz w:val="16"/>
                <w:szCs w:val="16"/>
              </w:rPr>
            </w:pPr>
            <w:r w:rsidRPr="00662906">
              <w:rPr>
                <w:rFonts w:eastAsia="Arial" w:cs="Arial"/>
                <w:sz w:val="16"/>
                <w:szCs w:val="16"/>
              </w:rPr>
              <w:t xml:space="preserve">Energy use optimization in </w:t>
            </w:r>
            <w:r w:rsidR="00051FC2" w:rsidRPr="00662906">
              <w:rPr>
                <w:rFonts w:eastAsia="Arial" w:cs="Arial"/>
                <w:sz w:val="16"/>
                <w:szCs w:val="16"/>
              </w:rPr>
              <w:t xml:space="preserve">‘hard to bate” sectors like </w:t>
            </w:r>
            <w:r w:rsidRPr="00662906">
              <w:rPr>
                <w:rFonts w:eastAsia="Arial" w:cs="Arial"/>
                <w:sz w:val="16"/>
                <w:szCs w:val="16"/>
              </w:rPr>
              <w:t>petrochemical processes</w:t>
            </w:r>
            <w:r w:rsidR="00460E77" w:rsidRPr="00662906">
              <w:rPr>
                <w:rFonts w:eastAsia="Arial" w:cs="Arial"/>
                <w:sz w:val="16"/>
                <w:szCs w:val="16"/>
              </w:rPr>
              <w:t xml:space="preserve"> </w:t>
            </w:r>
          </w:p>
        </w:tc>
        <w:tc>
          <w:tcPr>
            <w:tcW w:w="1790" w:type="dxa"/>
            <w:shd w:val="clear" w:color="auto" w:fill="BFBFBF" w:themeFill="background2" w:themeFillShade="BF"/>
            <w:tcMar>
              <w:left w:w="108" w:type="dxa"/>
              <w:right w:w="108" w:type="dxa"/>
            </w:tcMar>
          </w:tcPr>
          <w:p w14:paraId="4224237A" w14:textId="0CAC986E" w:rsidR="1760A01F" w:rsidRPr="00662906" w:rsidRDefault="1760A01F" w:rsidP="1760A01F">
            <w:pPr>
              <w:rPr>
                <w:rFonts w:eastAsia="Arial" w:cs="Arial"/>
                <w:sz w:val="16"/>
                <w:szCs w:val="16"/>
              </w:rPr>
            </w:pPr>
          </w:p>
        </w:tc>
        <w:tc>
          <w:tcPr>
            <w:tcW w:w="1788" w:type="dxa"/>
            <w:shd w:val="clear" w:color="auto" w:fill="BFBFBF" w:themeFill="background2" w:themeFillShade="BF"/>
            <w:tcMar>
              <w:left w:w="108" w:type="dxa"/>
              <w:right w:w="108" w:type="dxa"/>
            </w:tcMar>
          </w:tcPr>
          <w:p w14:paraId="7F7C86A0" w14:textId="1D92ED21"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4CC4685B" w14:textId="56C08FB7" w:rsidR="1760A01F" w:rsidRPr="00662906" w:rsidRDefault="1760A01F" w:rsidP="1760A01F">
            <w:pPr>
              <w:rPr>
                <w:rFonts w:eastAsia="Arial" w:cs="Arial"/>
                <w:sz w:val="16"/>
                <w:szCs w:val="16"/>
              </w:rPr>
            </w:pPr>
          </w:p>
        </w:tc>
      </w:tr>
      <w:tr w:rsidR="00BB3152" w:rsidRPr="00662906" w14:paraId="2BAFB571" w14:textId="77777777" w:rsidTr="004833A3">
        <w:trPr>
          <w:trHeight w:val="300"/>
        </w:trPr>
        <w:tc>
          <w:tcPr>
            <w:tcW w:w="1070" w:type="dxa"/>
            <w:tcMar>
              <w:left w:w="108" w:type="dxa"/>
              <w:right w:w="108" w:type="dxa"/>
            </w:tcMar>
          </w:tcPr>
          <w:p w14:paraId="678301D6" w14:textId="0283B666" w:rsidR="1760A01F" w:rsidRPr="00662906" w:rsidRDefault="1760A01F" w:rsidP="1760A01F">
            <w:pPr>
              <w:rPr>
                <w:rFonts w:eastAsia="Arial" w:cs="Arial"/>
                <w:b/>
                <w:sz w:val="16"/>
                <w:szCs w:val="16"/>
              </w:rPr>
            </w:pPr>
            <w:r w:rsidRPr="00662906">
              <w:rPr>
                <w:rFonts w:eastAsia="Arial" w:cs="Arial"/>
                <w:b/>
                <w:sz w:val="16"/>
                <w:szCs w:val="16"/>
              </w:rPr>
              <w:t>Agriculture</w:t>
            </w:r>
          </w:p>
        </w:tc>
        <w:tc>
          <w:tcPr>
            <w:tcW w:w="2584" w:type="dxa"/>
            <w:tcMar>
              <w:left w:w="108" w:type="dxa"/>
              <w:right w:w="108" w:type="dxa"/>
            </w:tcMar>
          </w:tcPr>
          <w:p w14:paraId="217D311A" w14:textId="51CD59DA" w:rsidR="48D7BBC0" w:rsidRPr="00662906" w:rsidRDefault="25565935" w:rsidP="00051FC2">
            <w:pPr>
              <w:pStyle w:val="ListParagraph"/>
              <w:spacing w:before="0" w:after="0"/>
              <w:ind w:left="180" w:hanging="270"/>
              <w:rPr>
                <w:rFonts w:eastAsia="Arial" w:cs="Arial"/>
                <w:sz w:val="16"/>
                <w:szCs w:val="16"/>
              </w:rPr>
            </w:pPr>
            <w:r w:rsidRPr="00662906">
              <w:rPr>
                <w:rFonts w:eastAsia="Arial" w:cs="Arial"/>
                <w:sz w:val="16"/>
                <w:szCs w:val="16"/>
              </w:rPr>
              <w:t>Decentralized renewable energy solutions for remote areas</w:t>
            </w:r>
            <w:r w:rsidR="00051FC2" w:rsidRPr="00662906">
              <w:rPr>
                <w:rFonts w:eastAsia="Arial" w:cs="Arial"/>
                <w:sz w:val="16"/>
                <w:szCs w:val="16"/>
              </w:rPr>
              <w:t xml:space="preserve"> for irrigation, processing</w:t>
            </w:r>
            <w:r w:rsidR="00366D29" w:rsidRPr="00662906">
              <w:rPr>
                <w:rFonts w:eastAsia="Arial" w:cs="Arial"/>
                <w:sz w:val="16"/>
                <w:szCs w:val="16"/>
              </w:rPr>
              <w:t>, livestock water [umping</w:t>
            </w:r>
          </w:p>
        </w:tc>
        <w:tc>
          <w:tcPr>
            <w:tcW w:w="1812" w:type="dxa"/>
            <w:tcMar>
              <w:left w:w="108" w:type="dxa"/>
              <w:right w:w="108" w:type="dxa"/>
            </w:tcMar>
          </w:tcPr>
          <w:p w14:paraId="5EF72458" w14:textId="463E75C5" w:rsidR="2C051041" w:rsidRPr="00662906" w:rsidRDefault="2C051041" w:rsidP="00051FC2">
            <w:pPr>
              <w:pStyle w:val="ListParagraph"/>
              <w:spacing w:before="0" w:after="0"/>
              <w:ind w:left="180" w:hanging="270"/>
              <w:rPr>
                <w:rFonts w:eastAsia="Arial" w:cs="Arial"/>
                <w:sz w:val="16"/>
                <w:szCs w:val="16"/>
              </w:rPr>
            </w:pPr>
            <w:r w:rsidRPr="00662906">
              <w:rPr>
                <w:rFonts w:eastAsia="Arial" w:cs="Arial"/>
                <w:sz w:val="16"/>
                <w:szCs w:val="16"/>
              </w:rPr>
              <w:t xml:space="preserve">Biofuel production from crop residues </w:t>
            </w:r>
          </w:p>
        </w:tc>
        <w:tc>
          <w:tcPr>
            <w:tcW w:w="1789" w:type="dxa"/>
            <w:tcMar>
              <w:left w:w="108" w:type="dxa"/>
              <w:right w:w="108" w:type="dxa"/>
            </w:tcMar>
          </w:tcPr>
          <w:p w14:paraId="7B47E592" w14:textId="6538EC0E" w:rsidR="1DD231A6" w:rsidRPr="00662906" w:rsidRDefault="1DD231A6" w:rsidP="1760A01F">
            <w:pPr>
              <w:pStyle w:val="ListParagraph"/>
              <w:spacing w:before="0" w:after="0"/>
              <w:ind w:left="180" w:hanging="270"/>
              <w:rPr>
                <w:rFonts w:eastAsia="Arial" w:cs="Arial"/>
                <w:sz w:val="16"/>
                <w:szCs w:val="16"/>
              </w:rPr>
            </w:pPr>
            <w:r w:rsidRPr="00662906">
              <w:rPr>
                <w:rFonts w:eastAsia="Arial" w:cs="Arial"/>
                <w:sz w:val="16"/>
                <w:szCs w:val="16"/>
              </w:rPr>
              <w:t>Integration of energy efficiency systems in agro</w:t>
            </w:r>
            <w:r w:rsidR="00B61978" w:rsidRPr="00662906">
              <w:rPr>
                <w:rFonts w:eastAsia="Arial" w:cs="Arial"/>
                <w:sz w:val="16"/>
                <w:szCs w:val="16"/>
              </w:rPr>
              <w:t xml:space="preserve"> </w:t>
            </w:r>
            <w:r w:rsidRPr="00662906">
              <w:rPr>
                <w:rFonts w:eastAsia="Arial" w:cs="Arial"/>
                <w:sz w:val="16"/>
                <w:szCs w:val="16"/>
              </w:rPr>
              <w:t>industries</w:t>
            </w:r>
          </w:p>
          <w:p w14:paraId="1E761312" w14:textId="0263BE89" w:rsidR="3CC364DD" w:rsidRPr="00662906" w:rsidRDefault="3CC364DD" w:rsidP="1760A01F">
            <w:pPr>
              <w:pStyle w:val="ListParagraph"/>
              <w:spacing w:before="0" w:after="0"/>
              <w:ind w:left="180" w:hanging="270"/>
              <w:rPr>
                <w:rFonts w:eastAsia="Arial" w:cs="Arial"/>
                <w:sz w:val="16"/>
                <w:szCs w:val="16"/>
              </w:rPr>
            </w:pPr>
            <w:r w:rsidRPr="00662906">
              <w:rPr>
                <w:rFonts w:eastAsia="Arial" w:cs="Arial"/>
                <w:sz w:val="16"/>
                <w:szCs w:val="16"/>
              </w:rPr>
              <w:t xml:space="preserve">Agricultural warehouses and cold storages with energy-efficient designs </w:t>
            </w:r>
          </w:p>
        </w:tc>
        <w:tc>
          <w:tcPr>
            <w:tcW w:w="2013" w:type="dxa"/>
            <w:tcMar>
              <w:left w:w="108" w:type="dxa"/>
              <w:right w:w="108" w:type="dxa"/>
            </w:tcMar>
          </w:tcPr>
          <w:p w14:paraId="77EFED0E" w14:textId="47913D6C" w:rsidR="24A7B180" w:rsidRPr="00662906" w:rsidRDefault="00051FC2" w:rsidP="00440ECA">
            <w:pPr>
              <w:pStyle w:val="ListParagraph"/>
              <w:numPr>
                <w:ilvl w:val="0"/>
                <w:numId w:val="0"/>
              </w:numPr>
              <w:spacing w:before="0" w:after="0"/>
              <w:ind w:left="180"/>
              <w:rPr>
                <w:rFonts w:eastAsia="Arial" w:cs="Arial"/>
                <w:sz w:val="16"/>
                <w:szCs w:val="16"/>
              </w:rPr>
            </w:pPr>
            <w:r w:rsidRPr="00662906">
              <w:rPr>
                <w:rFonts w:eastAsia="Arial" w:cs="Arial"/>
                <w:sz w:val="16"/>
                <w:szCs w:val="16"/>
              </w:rPr>
              <w:t xml:space="preserve"> Agro-industries</w:t>
            </w:r>
            <w:r w:rsidR="0063511F" w:rsidRPr="00662906">
              <w:rPr>
                <w:rFonts w:eastAsia="Arial" w:cs="Arial"/>
                <w:sz w:val="16"/>
                <w:szCs w:val="16"/>
              </w:rPr>
              <w:t xml:space="preserve"> </w:t>
            </w:r>
          </w:p>
        </w:tc>
        <w:tc>
          <w:tcPr>
            <w:tcW w:w="1790" w:type="dxa"/>
            <w:tcMar>
              <w:left w:w="108" w:type="dxa"/>
              <w:right w:w="108" w:type="dxa"/>
            </w:tcMar>
          </w:tcPr>
          <w:p w14:paraId="384E60C1" w14:textId="1AF100C0" w:rsidR="25D0E439" w:rsidRPr="00662906" w:rsidRDefault="25D0E439" w:rsidP="1760A01F">
            <w:pPr>
              <w:pStyle w:val="ListParagraph"/>
              <w:spacing w:before="0" w:after="0"/>
              <w:ind w:left="180" w:hanging="270"/>
              <w:rPr>
                <w:rFonts w:eastAsia="Arial" w:cs="Arial"/>
                <w:sz w:val="16"/>
                <w:szCs w:val="16"/>
              </w:rPr>
            </w:pPr>
            <w:r w:rsidRPr="00662906">
              <w:rPr>
                <w:rFonts w:eastAsia="Arial" w:cs="Arial"/>
                <w:sz w:val="16"/>
                <w:szCs w:val="16"/>
              </w:rPr>
              <w:t>Mini</w:t>
            </w:r>
            <w:r w:rsidR="2D410011" w:rsidRPr="00662906">
              <w:rPr>
                <w:rFonts w:eastAsia="Arial" w:cs="Arial"/>
                <w:sz w:val="16"/>
                <w:szCs w:val="16"/>
              </w:rPr>
              <w:t>mi</w:t>
            </w:r>
            <w:r w:rsidRPr="00662906">
              <w:rPr>
                <w:rFonts w:eastAsia="Arial" w:cs="Arial"/>
                <w:sz w:val="16"/>
                <w:szCs w:val="16"/>
              </w:rPr>
              <w:t>ze carbon footprint of fossil-based fertilizer</w:t>
            </w:r>
            <w:r w:rsidR="00B87AC1" w:rsidRPr="00662906">
              <w:rPr>
                <w:rFonts w:eastAsia="Arial" w:cs="Arial"/>
                <w:sz w:val="16"/>
                <w:szCs w:val="16"/>
              </w:rPr>
              <w:t xml:space="preserve">:  Targeting reduction of fossil fuel demand in </w:t>
            </w:r>
            <w:r w:rsidR="00FF4B7F" w:rsidRPr="00662906">
              <w:rPr>
                <w:rFonts w:eastAsia="Arial" w:cs="Arial"/>
                <w:sz w:val="16"/>
                <w:szCs w:val="16"/>
              </w:rPr>
              <w:t xml:space="preserve">farm </w:t>
            </w:r>
          </w:p>
        </w:tc>
        <w:tc>
          <w:tcPr>
            <w:tcW w:w="1788" w:type="dxa"/>
            <w:shd w:val="clear" w:color="auto" w:fill="BFBFBF" w:themeFill="background2" w:themeFillShade="BF"/>
            <w:tcMar>
              <w:left w:w="108" w:type="dxa"/>
              <w:right w:w="108" w:type="dxa"/>
            </w:tcMar>
          </w:tcPr>
          <w:p w14:paraId="0A3AF4C9" w14:textId="22E8CF53" w:rsidR="1760A01F" w:rsidRPr="00662906" w:rsidRDefault="1760A01F" w:rsidP="1760A01F">
            <w:pPr>
              <w:rPr>
                <w:rFonts w:eastAsia="Arial" w:cs="Arial"/>
                <w:sz w:val="16"/>
                <w:szCs w:val="16"/>
              </w:rPr>
            </w:pPr>
          </w:p>
        </w:tc>
        <w:tc>
          <w:tcPr>
            <w:tcW w:w="1745" w:type="dxa"/>
            <w:shd w:val="clear" w:color="auto" w:fill="BFBFBF" w:themeFill="background2" w:themeFillShade="BF"/>
            <w:tcMar>
              <w:left w:w="108" w:type="dxa"/>
              <w:right w:w="108" w:type="dxa"/>
            </w:tcMar>
          </w:tcPr>
          <w:p w14:paraId="16E83103" w14:textId="34AF2313" w:rsidR="1760A01F" w:rsidRPr="00662906" w:rsidRDefault="1760A01F" w:rsidP="1760A01F">
            <w:pPr>
              <w:rPr>
                <w:rFonts w:eastAsia="Arial" w:cs="Arial"/>
                <w:sz w:val="16"/>
                <w:szCs w:val="16"/>
              </w:rPr>
            </w:pPr>
          </w:p>
        </w:tc>
      </w:tr>
      <w:tr w:rsidR="00BB3152" w:rsidRPr="00662906" w14:paraId="0C0054D5" w14:textId="77777777" w:rsidTr="004833A3">
        <w:trPr>
          <w:trHeight w:val="300"/>
        </w:trPr>
        <w:tc>
          <w:tcPr>
            <w:tcW w:w="1070" w:type="dxa"/>
            <w:tcMar>
              <w:left w:w="108" w:type="dxa"/>
              <w:right w:w="108" w:type="dxa"/>
            </w:tcMar>
          </w:tcPr>
          <w:p w14:paraId="79559EE8" w14:textId="50C0E928" w:rsidR="1760A01F" w:rsidRPr="00662906" w:rsidRDefault="1760A01F" w:rsidP="1760A01F">
            <w:pPr>
              <w:rPr>
                <w:rFonts w:eastAsia="Arial" w:cs="Arial"/>
                <w:b/>
                <w:sz w:val="16"/>
                <w:szCs w:val="16"/>
              </w:rPr>
            </w:pPr>
            <w:r w:rsidRPr="00662906">
              <w:rPr>
                <w:rFonts w:eastAsia="Arial" w:cs="Arial"/>
                <w:b/>
                <w:sz w:val="16"/>
                <w:szCs w:val="16"/>
              </w:rPr>
              <w:t>Clean cooking</w:t>
            </w:r>
          </w:p>
        </w:tc>
        <w:tc>
          <w:tcPr>
            <w:tcW w:w="2584" w:type="dxa"/>
            <w:tcMar>
              <w:left w:w="108" w:type="dxa"/>
              <w:right w:w="108" w:type="dxa"/>
            </w:tcMar>
          </w:tcPr>
          <w:p w14:paraId="7C2D5F1A" w14:textId="0EB99CC7" w:rsidR="679183B4" w:rsidRPr="00662906" w:rsidRDefault="00366D29" w:rsidP="00D727FE">
            <w:pPr>
              <w:pStyle w:val="ListParagraph"/>
              <w:numPr>
                <w:ilvl w:val="0"/>
                <w:numId w:val="0"/>
              </w:numPr>
              <w:spacing w:before="0" w:after="0"/>
              <w:ind w:left="180"/>
              <w:rPr>
                <w:rFonts w:cs="Arial"/>
                <w:sz w:val="16"/>
                <w:szCs w:val="16"/>
              </w:rPr>
            </w:pPr>
            <w:r w:rsidRPr="00662906">
              <w:rPr>
                <w:rFonts w:eastAsia="Arial" w:cs="Arial"/>
                <w:sz w:val="16"/>
                <w:szCs w:val="16"/>
              </w:rPr>
              <w:t>E</w:t>
            </w:r>
            <w:r w:rsidR="679183B4" w:rsidRPr="00662906">
              <w:rPr>
                <w:rFonts w:eastAsia="Arial" w:cs="Arial"/>
                <w:sz w:val="16"/>
                <w:szCs w:val="16"/>
              </w:rPr>
              <w:t>lectric cooking solutions</w:t>
            </w:r>
            <w:r w:rsidR="00977B59" w:rsidRPr="00662906">
              <w:rPr>
                <w:rFonts w:eastAsia="Arial" w:cs="Arial"/>
                <w:sz w:val="16"/>
                <w:szCs w:val="16"/>
              </w:rPr>
              <w:t xml:space="preserve"> (Strategic </w:t>
            </w:r>
            <w:r w:rsidR="679183B4" w:rsidRPr="00662906">
              <w:rPr>
                <w:rFonts w:eastAsia="Arial" w:cs="Arial"/>
                <w:sz w:val="16"/>
                <w:szCs w:val="16"/>
              </w:rPr>
              <w:t xml:space="preserve">for </w:t>
            </w:r>
          </w:p>
        </w:tc>
        <w:tc>
          <w:tcPr>
            <w:tcW w:w="1812" w:type="dxa"/>
            <w:tcMar>
              <w:left w:w="108" w:type="dxa"/>
              <w:right w:w="108" w:type="dxa"/>
            </w:tcMar>
          </w:tcPr>
          <w:p w14:paraId="540D5FF8" w14:textId="1196224A" w:rsidR="1760A01F" w:rsidRPr="00662906" w:rsidRDefault="5CCDD38F" w:rsidP="008474C0">
            <w:pPr>
              <w:pStyle w:val="ListParagraph"/>
              <w:spacing w:before="0" w:after="0"/>
              <w:ind w:left="180" w:hanging="270"/>
              <w:rPr>
                <w:rFonts w:eastAsia="Arial" w:cs="Arial"/>
                <w:sz w:val="16"/>
                <w:szCs w:val="16"/>
              </w:rPr>
            </w:pPr>
            <w:r w:rsidRPr="00662906">
              <w:rPr>
                <w:rFonts w:eastAsia="Arial" w:cs="Arial"/>
                <w:sz w:val="16"/>
                <w:szCs w:val="16"/>
              </w:rPr>
              <w:t>Transportation networks for distribution of clean cooking fuels</w:t>
            </w:r>
            <w:r w:rsidR="008474C0" w:rsidRPr="00662906">
              <w:rPr>
                <w:rFonts w:eastAsia="Arial" w:cs="Arial"/>
                <w:sz w:val="16"/>
                <w:szCs w:val="16"/>
              </w:rPr>
              <w:t xml:space="preserve"> </w:t>
            </w:r>
          </w:p>
        </w:tc>
        <w:tc>
          <w:tcPr>
            <w:tcW w:w="1789" w:type="dxa"/>
            <w:tcMar>
              <w:left w:w="108" w:type="dxa"/>
              <w:right w:w="108" w:type="dxa"/>
            </w:tcMar>
          </w:tcPr>
          <w:p w14:paraId="71407513" w14:textId="46BAB34C" w:rsidR="3A5B1595" w:rsidRPr="00662906" w:rsidRDefault="00366D29" w:rsidP="001E2BFA">
            <w:pPr>
              <w:pStyle w:val="ListParagraph"/>
              <w:spacing w:before="0" w:after="0"/>
              <w:ind w:left="180" w:hanging="270"/>
              <w:rPr>
                <w:rFonts w:eastAsia="Arial" w:cs="Arial"/>
                <w:sz w:val="16"/>
                <w:szCs w:val="16"/>
              </w:rPr>
            </w:pPr>
            <w:r w:rsidRPr="00662906">
              <w:rPr>
                <w:rFonts w:eastAsia="Arial" w:cs="Arial"/>
                <w:sz w:val="16"/>
                <w:szCs w:val="16"/>
              </w:rPr>
              <w:t>MEPS for cooking appliances</w:t>
            </w:r>
            <w:r w:rsidR="006C4D5C" w:rsidRPr="00662906">
              <w:rPr>
                <w:rFonts w:eastAsia="Arial" w:cs="Arial"/>
                <w:sz w:val="16"/>
                <w:szCs w:val="16"/>
              </w:rPr>
              <w:t xml:space="preserve"> </w:t>
            </w:r>
          </w:p>
        </w:tc>
        <w:tc>
          <w:tcPr>
            <w:tcW w:w="2013" w:type="dxa"/>
            <w:tcMar>
              <w:left w:w="108" w:type="dxa"/>
              <w:right w:w="108" w:type="dxa"/>
            </w:tcMar>
          </w:tcPr>
          <w:p w14:paraId="2EF89BF8" w14:textId="526263B7" w:rsidR="07BC1BB4" w:rsidRPr="00662906" w:rsidRDefault="001E2BFA" w:rsidP="001E2BFA">
            <w:pPr>
              <w:pStyle w:val="ListParagraph"/>
              <w:spacing w:before="0" w:after="0"/>
              <w:ind w:left="180" w:hanging="270"/>
              <w:rPr>
                <w:rFonts w:eastAsia="Arial" w:cs="Arial"/>
                <w:sz w:val="16"/>
                <w:szCs w:val="16"/>
              </w:rPr>
            </w:pPr>
            <w:r w:rsidRPr="00662906">
              <w:rPr>
                <w:rFonts w:eastAsia="Arial" w:cs="Arial"/>
                <w:sz w:val="16"/>
                <w:szCs w:val="16"/>
              </w:rPr>
              <w:t>I</w:t>
            </w:r>
            <w:r w:rsidR="1BD95A30" w:rsidRPr="00662906">
              <w:rPr>
                <w:rFonts w:eastAsia="Arial" w:cs="Arial"/>
                <w:sz w:val="16"/>
                <w:szCs w:val="16"/>
              </w:rPr>
              <w:t>ndustrial production of clean cookstoves</w:t>
            </w:r>
            <w:r w:rsidR="00027ED0" w:rsidRPr="00662906">
              <w:rPr>
                <w:rFonts w:eastAsia="Arial" w:cs="Arial"/>
                <w:sz w:val="16"/>
                <w:szCs w:val="16"/>
              </w:rPr>
              <w:t xml:space="preserve"> </w:t>
            </w:r>
          </w:p>
        </w:tc>
        <w:tc>
          <w:tcPr>
            <w:tcW w:w="1790" w:type="dxa"/>
            <w:tcMar>
              <w:left w:w="108" w:type="dxa"/>
              <w:right w:w="108" w:type="dxa"/>
            </w:tcMar>
          </w:tcPr>
          <w:p w14:paraId="67F53056" w14:textId="23983980" w:rsidR="0AE04BB5" w:rsidRPr="00662906" w:rsidRDefault="0AE04BB5" w:rsidP="1760A01F">
            <w:pPr>
              <w:pStyle w:val="ListParagraph"/>
              <w:spacing w:before="0" w:after="0"/>
              <w:ind w:left="180" w:hanging="270"/>
              <w:rPr>
                <w:rFonts w:eastAsia="Arial" w:cs="Arial"/>
                <w:sz w:val="16"/>
                <w:szCs w:val="16"/>
              </w:rPr>
            </w:pPr>
            <w:r w:rsidRPr="00662906">
              <w:rPr>
                <w:rFonts w:eastAsia="Arial" w:cs="Arial"/>
                <w:sz w:val="16"/>
                <w:szCs w:val="16"/>
              </w:rPr>
              <w:t>Development of synthetic fuels for clean cooking</w:t>
            </w:r>
            <w:r w:rsidR="00852D8E" w:rsidRPr="00662906">
              <w:rPr>
                <w:rFonts w:eastAsia="Arial" w:cs="Arial"/>
                <w:sz w:val="16"/>
                <w:szCs w:val="16"/>
              </w:rPr>
              <w:t xml:space="preserve"> (</w:t>
            </w:r>
          </w:p>
          <w:p w14:paraId="19E44503" w14:textId="21E2AB0F" w:rsidR="621794B1" w:rsidRPr="00662906" w:rsidRDefault="621794B1" w:rsidP="3AA1B05C">
            <w:pPr>
              <w:pStyle w:val="ListParagraph"/>
              <w:spacing w:before="0" w:after="0"/>
              <w:ind w:left="180" w:hanging="270"/>
              <w:rPr>
                <w:rFonts w:eastAsia="Arial" w:cs="Arial"/>
                <w:sz w:val="16"/>
                <w:szCs w:val="16"/>
              </w:rPr>
            </w:pPr>
            <w:r w:rsidRPr="00662906">
              <w:rPr>
                <w:rFonts w:eastAsia="Arial" w:cs="Arial"/>
                <w:sz w:val="16"/>
                <w:szCs w:val="16"/>
              </w:rPr>
              <w:t>Use of Natural Gas for cooking</w:t>
            </w:r>
            <w:r w:rsidR="00852D8E" w:rsidRPr="00662906">
              <w:rPr>
                <w:rFonts w:eastAsia="Arial" w:cs="Arial"/>
                <w:sz w:val="16"/>
                <w:szCs w:val="16"/>
              </w:rPr>
              <w:t xml:space="preserve">  </w:t>
            </w:r>
          </w:p>
          <w:p w14:paraId="078AD540" w14:textId="327083DD" w:rsidR="0AE04BB5" w:rsidRPr="00662906" w:rsidRDefault="0AE04BB5" w:rsidP="1760A01F">
            <w:pPr>
              <w:pStyle w:val="ListParagraph"/>
              <w:spacing w:before="0" w:after="0"/>
              <w:ind w:left="180" w:hanging="270"/>
              <w:rPr>
                <w:rFonts w:eastAsia="Arial" w:cs="Arial"/>
                <w:sz w:val="16"/>
                <w:szCs w:val="16"/>
              </w:rPr>
            </w:pPr>
            <w:r w:rsidRPr="00662906">
              <w:rPr>
                <w:rFonts w:eastAsia="Arial" w:cs="Arial"/>
                <w:sz w:val="16"/>
                <w:szCs w:val="16"/>
              </w:rPr>
              <w:t>Utilization for LPG distribution</w:t>
            </w:r>
            <w:r w:rsidR="007B33AF" w:rsidRPr="00662906">
              <w:rPr>
                <w:rFonts w:eastAsia="Arial" w:cs="Arial"/>
                <w:sz w:val="16"/>
                <w:szCs w:val="16"/>
              </w:rPr>
              <w:t xml:space="preserve"> </w:t>
            </w:r>
          </w:p>
        </w:tc>
        <w:tc>
          <w:tcPr>
            <w:tcW w:w="1788" w:type="dxa"/>
            <w:tcMar>
              <w:left w:w="108" w:type="dxa"/>
              <w:right w:w="108" w:type="dxa"/>
            </w:tcMar>
          </w:tcPr>
          <w:p w14:paraId="21E63752" w14:textId="173A100F" w:rsidR="0F4DC7FE" w:rsidRPr="00662906" w:rsidRDefault="0F4DC7FE" w:rsidP="001E2BFA">
            <w:pPr>
              <w:pStyle w:val="ListParagraph"/>
              <w:spacing w:before="0" w:after="0"/>
              <w:ind w:left="180" w:hanging="270"/>
              <w:rPr>
                <w:rFonts w:eastAsia="Arial" w:cs="Arial"/>
                <w:sz w:val="16"/>
                <w:szCs w:val="16"/>
              </w:rPr>
            </w:pPr>
            <w:r w:rsidRPr="00662906">
              <w:rPr>
                <w:rFonts w:eastAsia="Arial" w:cs="Arial"/>
                <w:sz w:val="16"/>
                <w:szCs w:val="16"/>
              </w:rPr>
              <w:t>Promoting biogas and biomass solutions for rural cooking needs</w:t>
            </w:r>
            <w:r w:rsidR="00F07994" w:rsidRPr="00662906">
              <w:rPr>
                <w:rFonts w:eastAsia="Arial" w:cs="Arial"/>
                <w:sz w:val="16"/>
                <w:szCs w:val="16"/>
              </w:rPr>
              <w:t xml:space="preserve"> </w:t>
            </w:r>
          </w:p>
          <w:p w14:paraId="74194796" w14:textId="5AC7B483" w:rsidR="0F4DC7FE" w:rsidRPr="00662906" w:rsidRDefault="0F4DC7FE" w:rsidP="001E2BFA">
            <w:pPr>
              <w:pStyle w:val="ListParagraph"/>
              <w:spacing w:before="0" w:after="0"/>
              <w:ind w:left="180" w:hanging="270"/>
              <w:rPr>
                <w:rFonts w:eastAsia="Arial" w:cs="Arial"/>
                <w:sz w:val="16"/>
                <w:szCs w:val="16"/>
              </w:rPr>
            </w:pPr>
            <w:r w:rsidRPr="00662906">
              <w:rPr>
                <w:rFonts w:eastAsia="Arial" w:cs="Arial"/>
                <w:sz w:val="16"/>
                <w:szCs w:val="16"/>
              </w:rPr>
              <w:t>Agricultural waste to energy initiatives for cooking</w:t>
            </w:r>
            <w:r w:rsidR="00F07994" w:rsidRPr="00662906">
              <w:rPr>
                <w:rFonts w:eastAsia="Arial" w:cs="Arial"/>
                <w:sz w:val="16"/>
                <w:szCs w:val="16"/>
              </w:rPr>
              <w:t xml:space="preserve"> </w:t>
            </w:r>
          </w:p>
        </w:tc>
        <w:tc>
          <w:tcPr>
            <w:tcW w:w="1745" w:type="dxa"/>
            <w:shd w:val="clear" w:color="auto" w:fill="BFBFBF" w:themeFill="background2" w:themeFillShade="BF"/>
            <w:tcMar>
              <w:left w:w="108" w:type="dxa"/>
              <w:right w:w="108" w:type="dxa"/>
            </w:tcMar>
          </w:tcPr>
          <w:p w14:paraId="415635F0" w14:textId="767C4FEE" w:rsidR="1760A01F" w:rsidRPr="00662906" w:rsidRDefault="1760A01F" w:rsidP="1760A01F">
            <w:pPr>
              <w:pStyle w:val="ListParagraph"/>
              <w:numPr>
                <w:ilvl w:val="0"/>
                <w:numId w:val="0"/>
              </w:numPr>
              <w:spacing w:before="0" w:after="0"/>
              <w:ind w:left="-90"/>
              <w:rPr>
                <w:rFonts w:eastAsia="Arial" w:cs="Arial"/>
                <w:sz w:val="16"/>
                <w:szCs w:val="16"/>
              </w:rPr>
            </w:pPr>
          </w:p>
        </w:tc>
      </w:tr>
    </w:tbl>
    <w:p w14:paraId="77460479" w14:textId="77777777" w:rsidR="004833A3" w:rsidRPr="00662906" w:rsidRDefault="004833A3" w:rsidP="004833A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FA232FD" w14:textId="77777777" w:rsidR="00E12831" w:rsidRPr="00662906" w:rsidRDefault="00E12831" w:rsidP="13F6F6F9">
      <w:pPr>
        <w:sectPr w:rsidR="00E12831" w:rsidRPr="00662906" w:rsidSect="007A7FD1">
          <w:pgSz w:w="16838" w:h="11906" w:orient="landscape"/>
          <w:pgMar w:top="1440" w:right="1440" w:bottom="1440" w:left="1440" w:header="720" w:footer="720" w:gutter="0"/>
          <w:cols w:space="720"/>
          <w:titlePg/>
          <w:docGrid w:linePitch="360"/>
        </w:sectPr>
      </w:pPr>
    </w:p>
    <w:p w14:paraId="52E3DAAA" w14:textId="40A8438E" w:rsidR="007734A4" w:rsidRPr="00662906" w:rsidRDefault="733DECD2" w:rsidP="001312F6">
      <w:pPr>
        <w:pStyle w:val="Heading1"/>
      </w:pPr>
      <w:bookmarkStart w:id="747" w:name="_Toc171955558"/>
      <w:bookmarkStart w:id="748" w:name="_Toc176190964"/>
      <w:bookmarkStart w:id="749" w:name="_Toc176191130"/>
      <w:bookmarkStart w:id="750" w:name="_Toc176341849"/>
      <w:bookmarkStart w:id="751" w:name="_Toc176430243"/>
      <w:bookmarkStart w:id="752" w:name="_Toc176430300"/>
      <w:bookmarkStart w:id="753" w:name="_Toc176441433"/>
      <w:bookmarkStart w:id="754" w:name="_Toc176442088"/>
      <w:bookmarkStart w:id="755" w:name="_Toc178937502"/>
      <w:bookmarkStart w:id="756" w:name="_Toc197433867"/>
      <w:r w:rsidRPr="00662906">
        <w:lastRenderedPageBreak/>
        <w:t>IMPLEMENTATION PLAN</w:t>
      </w:r>
      <w:bookmarkEnd w:id="747"/>
      <w:bookmarkEnd w:id="748"/>
      <w:bookmarkEnd w:id="749"/>
      <w:bookmarkEnd w:id="750"/>
      <w:bookmarkEnd w:id="751"/>
      <w:bookmarkEnd w:id="752"/>
      <w:bookmarkEnd w:id="753"/>
      <w:bookmarkEnd w:id="754"/>
      <w:bookmarkEnd w:id="755"/>
      <w:bookmarkEnd w:id="756"/>
      <w:r w:rsidRPr="00662906">
        <w:t xml:space="preserve"> </w:t>
      </w:r>
    </w:p>
    <w:p w14:paraId="68900AFC" w14:textId="2E4F4389" w:rsidR="0048725C" w:rsidRPr="00662906" w:rsidRDefault="52A15989" w:rsidP="00996658">
      <w:pPr>
        <w:pStyle w:val="Heading2"/>
      </w:pPr>
      <w:bookmarkStart w:id="757" w:name="_Toc171955559"/>
      <w:bookmarkStart w:id="758" w:name="_Toc176190965"/>
      <w:bookmarkStart w:id="759" w:name="_Toc176191131"/>
      <w:bookmarkStart w:id="760" w:name="_Toc176341850"/>
      <w:bookmarkStart w:id="761" w:name="_Toc176430244"/>
      <w:bookmarkStart w:id="762" w:name="_Toc176430301"/>
      <w:bookmarkStart w:id="763" w:name="_Toc176441434"/>
      <w:bookmarkStart w:id="764" w:name="_Toc176442089"/>
      <w:bookmarkStart w:id="765" w:name="_Toc178937503"/>
      <w:bookmarkStart w:id="766" w:name="_Toc197433868"/>
      <w:r w:rsidRPr="00662906">
        <w:t xml:space="preserve">Guiding </w:t>
      </w:r>
      <w:r w:rsidR="260BBD31" w:rsidRPr="00662906">
        <w:t>Principles</w:t>
      </w:r>
      <w:bookmarkEnd w:id="757"/>
      <w:bookmarkEnd w:id="758"/>
      <w:bookmarkEnd w:id="759"/>
      <w:bookmarkEnd w:id="760"/>
      <w:bookmarkEnd w:id="761"/>
      <w:bookmarkEnd w:id="762"/>
      <w:bookmarkEnd w:id="763"/>
      <w:bookmarkEnd w:id="764"/>
      <w:bookmarkEnd w:id="765"/>
      <w:bookmarkEnd w:id="766"/>
    </w:p>
    <w:p w14:paraId="7C1F27A1" w14:textId="00DF6232" w:rsidR="00D1068D" w:rsidRPr="00662906" w:rsidRDefault="00F735B1" w:rsidP="00CB318C">
      <w:r w:rsidRPr="00662906">
        <w:t>The implementation of the ETSAP is underpinned by a set of guiding principles designed to ensure alignment with strategic goals, national priorities, and sustainable outcomes. These principles focus on simplicity, practicality, and effectiveness, providing a robust framework for decision-making and execution</w:t>
      </w:r>
      <w:r w:rsidR="16791201" w:rsidRPr="00662906">
        <w:rPr>
          <w:rFonts w:eastAsia="Arial" w:cs="Arial"/>
        </w:rPr>
        <w:t xml:space="preserve">. </w:t>
      </w:r>
      <w:r w:rsidR="23DDFA2F" w:rsidRPr="00662906">
        <w:rPr>
          <w:rFonts w:eastAsia="Arial" w:cs="Arial"/>
        </w:rPr>
        <w:t xml:space="preserve">Table </w:t>
      </w:r>
      <w:r w:rsidR="005A46CB" w:rsidRPr="00662906">
        <w:rPr>
          <w:rFonts w:eastAsia="Arial" w:cs="Arial"/>
        </w:rPr>
        <w:t>4</w:t>
      </w:r>
      <w:r w:rsidR="00A5461B" w:rsidRPr="00662906">
        <w:rPr>
          <w:rFonts w:eastAsia="Arial" w:cs="Arial"/>
        </w:rPr>
        <w:t>0</w:t>
      </w:r>
      <w:r w:rsidR="006D6AE3" w:rsidRPr="00662906">
        <w:rPr>
          <w:rFonts w:eastAsia="Arial" w:cs="Arial"/>
        </w:rPr>
        <w:t xml:space="preserve"> </w:t>
      </w:r>
      <w:r w:rsidR="16791201" w:rsidRPr="00662906">
        <w:rPr>
          <w:rFonts w:eastAsia="Arial" w:cs="Arial"/>
        </w:rPr>
        <w:t>outlines each principle and provides a</w:t>
      </w:r>
      <w:r w:rsidR="77184402" w:rsidRPr="00662906">
        <w:rPr>
          <w:rFonts w:eastAsia="Arial" w:cs="Arial"/>
        </w:rPr>
        <w:t>n</w:t>
      </w:r>
      <w:r w:rsidR="16791201" w:rsidRPr="00662906">
        <w:rPr>
          <w:rFonts w:eastAsia="Arial" w:cs="Arial"/>
        </w:rPr>
        <w:t xml:space="preserve"> explanation of its relevance and application within the strategic framework.</w:t>
      </w:r>
    </w:p>
    <w:p w14:paraId="150F22E8" w14:textId="4DE501A9" w:rsidR="005D1E2E" w:rsidRPr="00662906" w:rsidRDefault="07A1CB6B" w:rsidP="001C34B9">
      <w:pPr>
        <w:pStyle w:val="Caption"/>
        <w:keepNext/>
      </w:pPr>
      <w:bookmarkStart w:id="767" w:name="_Toc171955611"/>
      <w:bookmarkStart w:id="768" w:name="_Toc176430340"/>
      <w:bookmarkStart w:id="769" w:name="_Toc197433928"/>
      <w:r w:rsidRPr="00662906">
        <w:t xml:space="preserve">Table </w:t>
      </w:r>
      <w:fldSimple w:instr=" SEQ Table \* ARABIC ">
        <w:r w:rsidR="00610F61">
          <w:rPr>
            <w:noProof/>
          </w:rPr>
          <w:t>40</w:t>
        </w:r>
      </w:fldSimple>
      <w:r w:rsidR="16791201" w:rsidRPr="00662906">
        <w:t xml:space="preserve">: Principles </w:t>
      </w:r>
      <w:r w:rsidR="00A4297D" w:rsidRPr="00662906">
        <w:t>for implementation of the</w:t>
      </w:r>
      <w:r w:rsidR="16791201" w:rsidRPr="00662906">
        <w:t xml:space="preserve"> ETSAP</w:t>
      </w:r>
      <w:bookmarkEnd w:id="767"/>
      <w:bookmarkEnd w:id="768"/>
      <w:bookmarkEnd w:id="769"/>
    </w:p>
    <w:tbl>
      <w:tblPr>
        <w:tblW w:w="0" w:type="auto"/>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4A0" w:firstRow="1" w:lastRow="0" w:firstColumn="1" w:lastColumn="0" w:noHBand="0" w:noVBand="1"/>
      </w:tblPr>
      <w:tblGrid>
        <w:gridCol w:w="3502"/>
        <w:gridCol w:w="5513"/>
      </w:tblGrid>
      <w:tr w:rsidR="2D8B2CEE" w:rsidRPr="00662906" w14:paraId="6EB1AEA2" w14:textId="77777777" w:rsidTr="2D9E25B5">
        <w:trPr>
          <w:trHeight w:val="300"/>
        </w:trPr>
        <w:tc>
          <w:tcPr>
            <w:tcW w:w="3502" w:type="dxa"/>
            <w:shd w:val="clear" w:color="auto" w:fill="B4A269" w:themeFill="text2"/>
            <w:tcMar>
              <w:left w:w="108" w:type="dxa"/>
              <w:right w:w="108" w:type="dxa"/>
            </w:tcMar>
          </w:tcPr>
          <w:p w14:paraId="409C118F" w14:textId="49901640" w:rsidR="2D8B2CEE" w:rsidRPr="00662906" w:rsidRDefault="2D8B2CEE" w:rsidP="00055014">
            <w:pPr>
              <w:spacing w:before="60" w:after="60"/>
              <w:rPr>
                <w:sz w:val="18"/>
                <w:szCs w:val="18"/>
              </w:rPr>
            </w:pPr>
            <w:r w:rsidRPr="00662906">
              <w:rPr>
                <w:rFonts w:eastAsia="Arial" w:cs="Arial"/>
                <w:b/>
                <w:bCs/>
                <w:color w:val="FFFFFF" w:themeColor="background2"/>
                <w:sz w:val="18"/>
                <w:szCs w:val="18"/>
              </w:rPr>
              <w:t>Principle</w:t>
            </w:r>
          </w:p>
        </w:tc>
        <w:tc>
          <w:tcPr>
            <w:tcW w:w="5513" w:type="dxa"/>
            <w:shd w:val="clear" w:color="auto" w:fill="B4A269" w:themeFill="text2"/>
            <w:tcMar>
              <w:left w:w="108" w:type="dxa"/>
              <w:right w:w="108" w:type="dxa"/>
            </w:tcMar>
          </w:tcPr>
          <w:p w14:paraId="7FA4CBFC" w14:textId="5E755ADB" w:rsidR="2D8B2CEE" w:rsidRPr="00662906" w:rsidRDefault="00657D7C" w:rsidP="2D8B2CEE">
            <w:pPr>
              <w:spacing w:before="60" w:after="60"/>
              <w:ind w:left="360"/>
              <w:jc w:val="center"/>
              <w:rPr>
                <w:sz w:val="18"/>
                <w:szCs w:val="18"/>
              </w:rPr>
            </w:pPr>
            <w:r w:rsidRPr="00662906">
              <w:rPr>
                <w:rFonts w:eastAsia="Arial" w:cs="Arial"/>
                <w:b/>
                <w:bCs/>
                <w:color w:val="FFFFFF" w:themeColor="background2"/>
                <w:sz w:val="18"/>
                <w:szCs w:val="18"/>
              </w:rPr>
              <w:t>Rationale for consideration</w:t>
            </w:r>
          </w:p>
        </w:tc>
      </w:tr>
      <w:tr w:rsidR="00BE0FDD" w:rsidRPr="00662906" w14:paraId="111AE421" w14:textId="77777777" w:rsidTr="2D9E25B5">
        <w:trPr>
          <w:trHeight w:val="63"/>
        </w:trPr>
        <w:tc>
          <w:tcPr>
            <w:tcW w:w="3502" w:type="dxa"/>
            <w:tcMar>
              <w:left w:w="108" w:type="dxa"/>
              <w:right w:w="108" w:type="dxa"/>
            </w:tcMar>
          </w:tcPr>
          <w:p w14:paraId="07F0CFFF" w14:textId="0E66D095"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Capacity to Implement</w:t>
            </w:r>
          </w:p>
        </w:tc>
        <w:tc>
          <w:tcPr>
            <w:tcW w:w="5513" w:type="dxa"/>
            <w:tcMar>
              <w:left w:w="108" w:type="dxa"/>
              <w:right w:w="108" w:type="dxa"/>
            </w:tcMar>
          </w:tcPr>
          <w:p w14:paraId="383CC502" w14:textId="195C974F" w:rsidR="00BE0FDD" w:rsidRPr="00662906" w:rsidRDefault="00BE0FDD" w:rsidP="00BE0FDD">
            <w:pPr>
              <w:spacing w:before="40" w:after="40" w:line="240" w:lineRule="auto"/>
              <w:rPr>
                <w:rFonts w:eastAsia="Arial" w:cs="Arial"/>
                <w:color w:val="394A58"/>
                <w:sz w:val="18"/>
                <w:szCs w:val="18"/>
              </w:rPr>
            </w:pPr>
            <w:r w:rsidRPr="00662906">
              <w:rPr>
                <w:sz w:val="18"/>
                <w:szCs w:val="18"/>
              </w:rPr>
              <w:t>Prioritizes readiness and capability at national, regional, and continental levels to execute strategic actions effectively.</w:t>
            </w:r>
          </w:p>
        </w:tc>
      </w:tr>
      <w:tr w:rsidR="00BE0FDD" w:rsidRPr="00662906" w14:paraId="0F0868E4" w14:textId="77777777" w:rsidTr="2D9E25B5">
        <w:trPr>
          <w:trHeight w:val="300"/>
        </w:trPr>
        <w:tc>
          <w:tcPr>
            <w:tcW w:w="3502" w:type="dxa"/>
            <w:tcMar>
              <w:left w:w="108" w:type="dxa"/>
              <w:right w:w="108" w:type="dxa"/>
            </w:tcMar>
          </w:tcPr>
          <w:p w14:paraId="07F7B92D" w14:textId="10256780"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Financial Feasibility</w:t>
            </w:r>
          </w:p>
        </w:tc>
        <w:tc>
          <w:tcPr>
            <w:tcW w:w="5513" w:type="dxa"/>
            <w:tcMar>
              <w:left w:w="108" w:type="dxa"/>
              <w:right w:w="108" w:type="dxa"/>
            </w:tcMar>
          </w:tcPr>
          <w:p w14:paraId="57C1571E" w14:textId="06005D04" w:rsidR="00BE0FDD" w:rsidRPr="00662906" w:rsidRDefault="00BE0FDD" w:rsidP="00BE0FDD">
            <w:pPr>
              <w:spacing w:before="40" w:after="40" w:line="240" w:lineRule="auto"/>
              <w:rPr>
                <w:rFonts w:eastAsia="Arial" w:cs="Arial"/>
                <w:color w:val="394A58"/>
                <w:sz w:val="18"/>
                <w:szCs w:val="18"/>
              </w:rPr>
            </w:pPr>
            <w:r w:rsidRPr="00662906">
              <w:rPr>
                <w:sz w:val="18"/>
                <w:szCs w:val="18"/>
              </w:rPr>
              <w:t>Recognizes resource constraints and promotes cost-effective solutions that maximize impact with limited resources.</w:t>
            </w:r>
          </w:p>
        </w:tc>
      </w:tr>
      <w:tr w:rsidR="2D9E25B5" w:rsidRPr="00662906" w14:paraId="32F7659D" w14:textId="77777777" w:rsidTr="2D9E25B5">
        <w:trPr>
          <w:trHeight w:val="300"/>
        </w:trPr>
        <w:tc>
          <w:tcPr>
            <w:tcW w:w="3502" w:type="dxa"/>
            <w:tcMar>
              <w:left w:w="108" w:type="dxa"/>
              <w:right w:w="108" w:type="dxa"/>
            </w:tcMar>
          </w:tcPr>
          <w:p w14:paraId="58FA38A6" w14:textId="505E69D2" w:rsidR="2D9E25B5" w:rsidRPr="00662906" w:rsidRDefault="2D9E25B5" w:rsidP="00E678F4">
            <w:pPr>
              <w:spacing w:before="40" w:after="40" w:line="240" w:lineRule="auto"/>
              <w:rPr>
                <w:sz w:val="18"/>
                <w:szCs w:val="18"/>
              </w:rPr>
            </w:pPr>
            <w:r w:rsidRPr="00662906">
              <w:rPr>
                <w:sz w:val="18"/>
                <w:szCs w:val="18"/>
              </w:rPr>
              <w:t>Subsidiarity</w:t>
            </w:r>
          </w:p>
        </w:tc>
        <w:tc>
          <w:tcPr>
            <w:tcW w:w="5513" w:type="dxa"/>
            <w:tcMar>
              <w:left w:w="108" w:type="dxa"/>
              <w:right w:w="108" w:type="dxa"/>
            </w:tcMar>
          </w:tcPr>
          <w:p w14:paraId="1C10A42E" w14:textId="68D6F102" w:rsidR="1F737C06" w:rsidRPr="00662906" w:rsidRDefault="1F737C06" w:rsidP="00E678F4">
            <w:pPr>
              <w:spacing w:before="40" w:after="40" w:line="240" w:lineRule="auto"/>
              <w:rPr>
                <w:sz w:val="18"/>
                <w:szCs w:val="18"/>
              </w:rPr>
            </w:pPr>
            <w:r w:rsidRPr="00662906">
              <w:rPr>
                <w:sz w:val="18"/>
                <w:szCs w:val="18"/>
              </w:rPr>
              <w:t>I</w:t>
            </w:r>
            <w:r w:rsidR="2D9E25B5" w:rsidRPr="00662906">
              <w:rPr>
                <w:sz w:val="18"/>
                <w:szCs w:val="18"/>
              </w:rPr>
              <w:t>mplement</w:t>
            </w:r>
            <w:r w:rsidR="124473C2" w:rsidRPr="00662906">
              <w:rPr>
                <w:sz w:val="18"/>
                <w:szCs w:val="18"/>
              </w:rPr>
              <w:t xml:space="preserve">ation </w:t>
            </w:r>
            <w:r w:rsidRPr="00662906">
              <w:rPr>
                <w:sz w:val="18"/>
                <w:szCs w:val="18"/>
              </w:rPr>
              <w:t xml:space="preserve">of </w:t>
            </w:r>
            <w:r w:rsidR="00E22995" w:rsidRPr="00662906">
              <w:rPr>
                <w:sz w:val="18"/>
                <w:szCs w:val="18"/>
              </w:rPr>
              <w:t>ET measures</w:t>
            </w:r>
            <w:r w:rsidRPr="00662906">
              <w:rPr>
                <w:sz w:val="18"/>
                <w:szCs w:val="18"/>
              </w:rPr>
              <w:t xml:space="preserve"> </w:t>
            </w:r>
            <w:r w:rsidR="2D9E25B5" w:rsidRPr="00662906">
              <w:rPr>
                <w:sz w:val="18"/>
                <w:szCs w:val="18"/>
              </w:rPr>
              <w:t xml:space="preserve">at the most appropriate levels by relevant agencies </w:t>
            </w:r>
            <w:r w:rsidR="63AAACE2" w:rsidRPr="00662906">
              <w:rPr>
                <w:sz w:val="18"/>
                <w:szCs w:val="18"/>
              </w:rPr>
              <w:t xml:space="preserve">at continental, </w:t>
            </w:r>
            <w:r w:rsidR="3DCB588C" w:rsidRPr="00662906">
              <w:rPr>
                <w:sz w:val="18"/>
                <w:szCs w:val="18"/>
              </w:rPr>
              <w:t>regional</w:t>
            </w:r>
            <w:r w:rsidR="63AAACE2" w:rsidRPr="00662906">
              <w:rPr>
                <w:sz w:val="18"/>
                <w:szCs w:val="18"/>
              </w:rPr>
              <w:t xml:space="preserve"> and</w:t>
            </w:r>
            <w:r w:rsidR="652A8C1D" w:rsidRPr="00662906">
              <w:rPr>
                <w:sz w:val="18"/>
                <w:szCs w:val="18"/>
              </w:rPr>
              <w:t xml:space="preserve"> </w:t>
            </w:r>
            <w:r w:rsidR="2D9E25B5" w:rsidRPr="00662906">
              <w:rPr>
                <w:sz w:val="18"/>
                <w:szCs w:val="18"/>
              </w:rPr>
              <w:t>in Member States</w:t>
            </w:r>
            <w:r w:rsidR="5154EE7F" w:rsidRPr="00662906">
              <w:rPr>
                <w:sz w:val="18"/>
                <w:szCs w:val="18"/>
              </w:rPr>
              <w:t xml:space="preserve"> levels</w:t>
            </w:r>
          </w:p>
        </w:tc>
      </w:tr>
      <w:tr w:rsidR="00BE0FDD" w:rsidRPr="00662906" w14:paraId="0F754523" w14:textId="77777777" w:rsidTr="2D9E25B5">
        <w:trPr>
          <w:trHeight w:val="300"/>
        </w:trPr>
        <w:tc>
          <w:tcPr>
            <w:tcW w:w="3502" w:type="dxa"/>
            <w:tcMar>
              <w:left w:w="108" w:type="dxa"/>
              <w:right w:w="108" w:type="dxa"/>
            </w:tcMar>
          </w:tcPr>
          <w:p w14:paraId="2C5513EE" w14:textId="56FD08D1"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Alignment with AU Initiatives</w:t>
            </w:r>
          </w:p>
        </w:tc>
        <w:tc>
          <w:tcPr>
            <w:tcW w:w="5513" w:type="dxa"/>
            <w:tcMar>
              <w:left w:w="108" w:type="dxa"/>
              <w:right w:w="108" w:type="dxa"/>
            </w:tcMar>
          </w:tcPr>
          <w:p w14:paraId="4D204CE3" w14:textId="444813C4" w:rsidR="00BE0FDD" w:rsidRPr="00662906" w:rsidRDefault="00BE0FDD" w:rsidP="00BE0FDD">
            <w:pPr>
              <w:spacing w:before="40" w:after="40" w:line="240" w:lineRule="auto"/>
              <w:rPr>
                <w:rFonts w:eastAsia="Arial" w:cs="Arial"/>
                <w:color w:val="394A58"/>
                <w:sz w:val="18"/>
                <w:szCs w:val="18"/>
              </w:rPr>
            </w:pPr>
            <w:r w:rsidRPr="00662906">
              <w:rPr>
                <w:sz w:val="18"/>
                <w:szCs w:val="18"/>
              </w:rPr>
              <w:t>Ensures coherence with existing AU policies and programs, avoiding duplication and leveraging synergies for greater efficiency.</w:t>
            </w:r>
          </w:p>
        </w:tc>
      </w:tr>
      <w:tr w:rsidR="00BE0FDD" w:rsidRPr="00662906" w14:paraId="690EF7D3" w14:textId="77777777" w:rsidTr="2D9E25B5">
        <w:trPr>
          <w:trHeight w:val="300"/>
        </w:trPr>
        <w:tc>
          <w:tcPr>
            <w:tcW w:w="3502" w:type="dxa"/>
            <w:tcMar>
              <w:left w:w="108" w:type="dxa"/>
              <w:right w:w="108" w:type="dxa"/>
            </w:tcMar>
          </w:tcPr>
          <w:p w14:paraId="35B2FE4F" w14:textId="1C2B17E1"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Increasing Modern Energy Access</w:t>
            </w:r>
          </w:p>
        </w:tc>
        <w:tc>
          <w:tcPr>
            <w:tcW w:w="5513" w:type="dxa"/>
            <w:tcMar>
              <w:left w:w="108" w:type="dxa"/>
              <w:right w:w="108" w:type="dxa"/>
            </w:tcMar>
          </w:tcPr>
          <w:p w14:paraId="6C29420B" w14:textId="3C3FC5C4" w:rsidR="00BE0FDD" w:rsidRPr="00662906" w:rsidRDefault="00BE0FDD" w:rsidP="00BE0FDD">
            <w:pPr>
              <w:spacing w:before="40" w:after="40" w:line="240" w:lineRule="auto"/>
              <w:rPr>
                <w:rFonts w:eastAsia="Arial" w:cs="Arial"/>
                <w:color w:val="394A58"/>
                <w:sz w:val="18"/>
                <w:szCs w:val="18"/>
              </w:rPr>
            </w:pPr>
            <w:r w:rsidRPr="00662906">
              <w:rPr>
                <w:sz w:val="18"/>
                <w:szCs w:val="18"/>
              </w:rPr>
              <w:t>Focuses on expanding access to modern energy services to improve quality of life, energy security, and economic opportunities.</w:t>
            </w:r>
          </w:p>
        </w:tc>
      </w:tr>
      <w:tr w:rsidR="00BE0FDD" w:rsidRPr="00662906" w14:paraId="6753D602" w14:textId="77777777" w:rsidTr="2D9E25B5">
        <w:trPr>
          <w:trHeight w:val="90"/>
        </w:trPr>
        <w:tc>
          <w:tcPr>
            <w:tcW w:w="3502" w:type="dxa"/>
            <w:tcMar>
              <w:left w:w="108" w:type="dxa"/>
              <w:right w:w="108" w:type="dxa"/>
            </w:tcMar>
          </w:tcPr>
          <w:p w14:paraId="4A0D9716" w14:textId="7592BE6D"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Integrated Cross-Sectoral Planning</w:t>
            </w:r>
          </w:p>
        </w:tc>
        <w:tc>
          <w:tcPr>
            <w:tcW w:w="5513" w:type="dxa"/>
            <w:tcMar>
              <w:left w:w="108" w:type="dxa"/>
              <w:right w:w="108" w:type="dxa"/>
            </w:tcMar>
          </w:tcPr>
          <w:p w14:paraId="64D2F592" w14:textId="19A04DB7" w:rsidR="00BE0FDD" w:rsidRPr="00662906" w:rsidRDefault="00BE0FDD" w:rsidP="00BE0FDD">
            <w:pPr>
              <w:spacing w:before="40" w:after="40" w:line="240" w:lineRule="auto"/>
              <w:rPr>
                <w:rFonts w:eastAsia="Arial" w:cs="Arial"/>
                <w:color w:val="394A58"/>
                <w:sz w:val="18"/>
                <w:szCs w:val="18"/>
              </w:rPr>
            </w:pPr>
            <w:r w:rsidRPr="00662906">
              <w:rPr>
                <w:sz w:val="18"/>
                <w:szCs w:val="18"/>
              </w:rPr>
              <w:t>Promotes holistic planning across energy, agriculture, transport, and other sectors to address interconnected challenges.</w:t>
            </w:r>
          </w:p>
        </w:tc>
      </w:tr>
      <w:tr w:rsidR="00BE0FDD" w:rsidRPr="00662906" w14:paraId="1E4F8820" w14:textId="77777777" w:rsidTr="2D9E25B5">
        <w:trPr>
          <w:trHeight w:val="300"/>
        </w:trPr>
        <w:tc>
          <w:tcPr>
            <w:tcW w:w="3502" w:type="dxa"/>
            <w:tcMar>
              <w:left w:w="108" w:type="dxa"/>
              <w:right w:w="108" w:type="dxa"/>
            </w:tcMar>
          </w:tcPr>
          <w:p w14:paraId="55F29F32" w14:textId="35D23189"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Inclusivity and Equity</w:t>
            </w:r>
          </w:p>
        </w:tc>
        <w:tc>
          <w:tcPr>
            <w:tcW w:w="5513" w:type="dxa"/>
            <w:tcMar>
              <w:left w:w="108" w:type="dxa"/>
              <w:right w:w="108" w:type="dxa"/>
            </w:tcMar>
          </w:tcPr>
          <w:p w14:paraId="460B258E" w14:textId="5BC31641" w:rsidR="00BE0FDD" w:rsidRPr="00662906" w:rsidRDefault="00BE0FDD" w:rsidP="00BE0FDD">
            <w:pPr>
              <w:spacing w:before="40" w:after="40" w:line="240" w:lineRule="auto"/>
              <w:rPr>
                <w:rFonts w:eastAsia="Arial" w:cs="Arial"/>
                <w:color w:val="394A58"/>
                <w:sz w:val="18"/>
                <w:szCs w:val="18"/>
              </w:rPr>
            </w:pPr>
            <w:r w:rsidRPr="00662906">
              <w:rPr>
                <w:sz w:val="18"/>
                <w:szCs w:val="18"/>
              </w:rPr>
              <w:t>Ensures active participation of all stakeholders, prioritizing gender balance, youth employment, and equitable progress.</w:t>
            </w:r>
          </w:p>
        </w:tc>
      </w:tr>
      <w:tr w:rsidR="00BE0FDD" w:rsidRPr="00662906" w14:paraId="5D0A2048" w14:textId="77777777" w:rsidTr="2D9E25B5">
        <w:trPr>
          <w:trHeight w:val="300"/>
        </w:trPr>
        <w:tc>
          <w:tcPr>
            <w:tcW w:w="3502" w:type="dxa"/>
            <w:tcMar>
              <w:left w:w="108" w:type="dxa"/>
              <w:right w:w="108" w:type="dxa"/>
            </w:tcMar>
          </w:tcPr>
          <w:p w14:paraId="4B43434E" w14:textId="6639B25F" w:rsidR="00BE0FDD" w:rsidRPr="00662906" w:rsidRDefault="00BE0FDD" w:rsidP="00BE0FDD">
            <w:pPr>
              <w:spacing w:before="40" w:after="40" w:line="240" w:lineRule="auto"/>
              <w:jc w:val="left"/>
              <w:rPr>
                <w:rFonts w:eastAsia="Arial" w:cs="Arial"/>
                <w:color w:val="394A58"/>
                <w:sz w:val="18"/>
                <w:szCs w:val="18"/>
              </w:rPr>
            </w:pPr>
            <w:r w:rsidRPr="00662906">
              <w:rPr>
                <w:sz w:val="18"/>
                <w:szCs w:val="18"/>
              </w:rPr>
              <w:t>Sustainability</w:t>
            </w:r>
          </w:p>
        </w:tc>
        <w:tc>
          <w:tcPr>
            <w:tcW w:w="5513" w:type="dxa"/>
            <w:tcMar>
              <w:left w:w="108" w:type="dxa"/>
              <w:right w:w="108" w:type="dxa"/>
            </w:tcMar>
          </w:tcPr>
          <w:p w14:paraId="2E3DA78A" w14:textId="4E7CE2E4" w:rsidR="00BE0FDD" w:rsidRPr="00662906" w:rsidRDefault="00BE0FDD" w:rsidP="00BE0FDD">
            <w:pPr>
              <w:spacing w:before="40" w:after="40" w:line="240" w:lineRule="auto"/>
              <w:rPr>
                <w:rFonts w:eastAsia="Arial" w:cs="Arial"/>
                <w:color w:val="394A58"/>
                <w:sz w:val="18"/>
                <w:szCs w:val="18"/>
              </w:rPr>
            </w:pPr>
            <w:r w:rsidRPr="00662906">
              <w:rPr>
                <w:sz w:val="18"/>
                <w:szCs w:val="18"/>
              </w:rPr>
              <w:t>Emphasizes local ownership, institutional capacity building, and long-term resilience to ensure sustainable transitions.</w:t>
            </w:r>
          </w:p>
        </w:tc>
      </w:tr>
      <w:tr w:rsidR="00BE0FDD" w:rsidRPr="00662906" w14:paraId="0AE05694" w14:textId="77777777" w:rsidTr="2D9E25B5">
        <w:trPr>
          <w:trHeight w:val="300"/>
        </w:trPr>
        <w:tc>
          <w:tcPr>
            <w:tcW w:w="3502" w:type="dxa"/>
            <w:tcMar>
              <w:left w:w="108" w:type="dxa"/>
              <w:right w:w="108" w:type="dxa"/>
            </w:tcMar>
          </w:tcPr>
          <w:p w14:paraId="6A5B7E78" w14:textId="3BB1B9DB" w:rsidR="00BE0FDD" w:rsidRPr="00662906" w:rsidRDefault="7D08B013" w:rsidP="2D9E25B5">
            <w:pPr>
              <w:spacing w:before="40" w:after="40" w:line="240" w:lineRule="auto"/>
              <w:jc w:val="left"/>
              <w:rPr>
                <w:sz w:val="18"/>
                <w:szCs w:val="18"/>
              </w:rPr>
            </w:pPr>
            <w:r w:rsidRPr="00662906">
              <w:rPr>
                <w:sz w:val="18"/>
                <w:szCs w:val="18"/>
              </w:rPr>
              <w:t>Flexibility and Differentiated Progress</w:t>
            </w:r>
            <w:r w:rsidR="27C57A67" w:rsidRPr="00662906">
              <w:rPr>
                <w:sz w:val="18"/>
                <w:szCs w:val="18"/>
              </w:rPr>
              <w:t xml:space="preserve"> (Variable Geometry)</w:t>
            </w:r>
          </w:p>
        </w:tc>
        <w:tc>
          <w:tcPr>
            <w:tcW w:w="5513" w:type="dxa"/>
            <w:tcMar>
              <w:left w:w="108" w:type="dxa"/>
              <w:right w:w="108" w:type="dxa"/>
            </w:tcMar>
          </w:tcPr>
          <w:p w14:paraId="5EEFA913" w14:textId="69BCB522" w:rsidR="00BE0FDD" w:rsidRPr="00662906" w:rsidRDefault="00BE0FDD" w:rsidP="00BE0FDD">
            <w:pPr>
              <w:spacing w:before="40" w:after="40" w:line="240" w:lineRule="auto"/>
              <w:rPr>
                <w:rFonts w:eastAsia="Arial" w:cs="Arial"/>
                <w:color w:val="394A58"/>
                <w:sz w:val="18"/>
                <w:szCs w:val="18"/>
              </w:rPr>
            </w:pPr>
            <w:r w:rsidRPr="00662906">
              <w:rPr>
                <w:sz w:val="18"/>
                <w:szCs w:val="18"/>
              </w:rPr>
              <w:t>Acknowledges varying starting points among Member States, allowing for tailored implementation aligned with national priorities.</w:t>
            </w:r>
          </w:p>
        </w:tc>
      </w:tr>
    </w:tbl>
    <w:p w14:paraId="4BD1A6C7" w14:textId="18B677D4" w:rsidR="0081485A" w:rsidRPr="00662906" w:rsidRDefault="00D1068D" w:rsidP="2D8B2CEE">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2F0E32FC" w14:textId="597FD63E" w:rsidR="0081485A" w:rsidRPr="00662906" w:rsidRDefault="05A07E8D" w:rsidP="00A60821">
      <w:pPr>
        <w:pStyle w:val="Heading2"/>
      </w:pPr>
      <w:bookmarkStart w:id="770" w:name="_Toc171955562"/>
      <w:bookmarkStart w:id="771" w:name="_Toc176190967"/>
      <w:bookmarkStart w:id="772" w:name="_Toc176191133"/>
      <w:bookmarkStart w:id="773" w:name="_Toc176341852"/>
      <w:bookmarkStart w:id="774" w:name="_Toc176430246"/>
      <w:bookmarkStart w:id="775" w:name="_Toc176430303"/>
      <w:bookmarkStart w:id="776" w:name="_Toc176441435"/>
      <w:bookmarkStart w:id="777" w:name="_Toc176442090"/>
      <w:bookmarkStart w:id="778" w:name="_Toc178937504"/>
      <w:bookmarkStart w:id="779" w:name="_Toc197433869"/>
      <w:r w:rsidRPr="00662906">
        <w:t>Institutional</w:t>
      </w:r>
      <w:r w:rsidR="5F363CCC" w:rsidRPr="00662906">
        <w:t xml:space="preserve"> </w:t>
      </w:r>
      <w:r w:rsidR="56189A8B" w:rsidRPr="00662906">
        <w:t>Roles</w:t>
      </w:r>
      <w:bookmarkEnd w:id="770"/>
      <w:bookmarkEnd w:id="771"/>
      <w:bookmarkEnd w:id="772"/>
      <w:bookmarkEnd w:id="773"/>
      <w:bookmarkEnd w:id="774"/>
      <w:bookmarkEnd w:id="775"/>
      <w:bookmarkEnd w:id="776"/>
      <w:bookmarkEnd w:id="777"/>
      <w:bookmarkEnd w:id="778"/>
      <w:bookmarkEnd w:id="779"/>
    </w:p>
    <w:p w14:paraId="4276615F" w14:textId="1CA90A6D" w:rsidR="0081485A" w:rsidRPr="00662906" w:rsidRDefault="4586D2C7" w:rsidP="2D8B2CEE">
      <w:r w:rsidRPr="00662906">
        <w:t>The ETSAP is a comprehensive framework designed to guide the continent's shift towards a sustainable and inclusive energy future. Given its broad scope, the strategy encompasses not only traditional energy sector stakeholders but also engages entities across multiple sectors, including industry, transportation, buildings, agriculture, and clean cooking. This cross-sectoral approach ensures that the energy transition aligns with diverse economic activities and development goals across Africa.</w:t>
      </w:r>
    </w:p>
    <w:p w14:paraId="311C220A" w14:textId="288F2B93" w:rsidR="1B49695D" w:rsidRPr="00662906" w:rsidRDefault="49A7E8FB" w:rsidP="00AE2103">
      <w:r w:rsidRPr="00662906">
        <w:t>The proposed institutional framework for implementing the ETSAP is that AFREC will lead supported</w:t>
      </w:r>
      <w:r w:rsidR="6ECB037B" w:rsidRPr="00662906">
        <w:t xml:space="preserve"> by </w:t>
      </w:r>
      <w:r w:rsidRPr="00662906">
        <w:t xml:space="preserve">its continental </w:t>
      </w:r>
      <w:r w:rsidR="684F2E71" w:rsidRPr="00662906">
        <w:t>counterparts’</w:t>
      </w:r>
      <w:r w:rsidRPr="00662906">
        <w:t xml:space="preserve"> </w:t>
      </w:r>
      <w:r w:rsidR="686AAFB3" w:rsidRPr="00662906">
        <w:t>organizations</w:t>
      </w:r>
      <w:r w:rsidR="3DBF8A9D" w:rsidRPr="00662906">
        <w:t xml:space="preserve"> as indicated in Figure </w:t>
      </w:r>
      <w:r w:rsidR="005A46CB" w:rsidRPr="00662906">
        <w:t>8</w:t>
      </w:r>
      <w:r w:rsidR="5453E582" w:rsidRPr="00662906">
        <w:t>.</w:t>
      </w:r>
      <w:r w:rsidR="28057C67" w:rsidRPr="00662906">
        <w:t xml:space="preserve"> </w:t>
      </w:r>
    </w:p>
    <w:p w14:paraId="2DD69C77" w14:textId="1A45422B" w:rsidR="5C88E6D1" w:rsidRPr="00662906" w:rsidRDefault="5C88E6D1"/>
    <w:p w14:paraId="539D105D" w14:textId="7F0EBD4A" w:rsidR="599D3335" w:rsidRPr="00662906" w:rsidRDefault="599D3335">
      <w:pPr>
        <w:jc w:val="left"/>
      </w:pPr>
      <w:r w:rsidRPr="00662906">
        <w:rPr>
          <w:noProof/>
        </w:rPr>
        <w:lastRenderedPageBreak/>
        <w:drawing>
          <wp:inline distT="0" distB="0" distL="0" distR="0" wp14:anchorId="69E5358A" wp14:editId="4F85ACBC">
            <wp:extent cx="5724524" cy="2800350"/>
            <wp:effectExtent l="0" t="0" r="0" b="0"/>
            <wp:docPr id="888990103" name="Picture 88899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990103"/>
                    <pic:cNvPicPr/>
                  </pic:nvPicPr>
                  <pic:blipFill>
                    <a:blip r:embed="rId30">
                      <a:extLst>
                        <a:ext uri="{28A0092B-C50C-407E-A947-70E740481C1C}">
                          <a14:useLocalDpi xmlns:a14="http://schemas.microsoft.com/office/drawing/2010/main" val="0"/>
                        </a:ext>
                      </a:extLst>
                    </a:blip>
                    <a:stretch>
                      <a:fillRect/>
                    </a:stretch>
                  </pic:blipFill>
                  <pic:spPr>
                    <a:xfrm>
                      <a:off x="0" y="0"/>
                      <a:ext cx="5724524" cy="2800350"/>
                    </a:xfrm>
                    <a:prstGeom prst="rect">
                      <a:avLst/>
                    </a:prstGeom>
                  </pic:spPr>
                </pic:pic>
              </a:graphicData>
            </a:graphic>
          </wp:inline>
        </w:drawing>
      </w:r>
    </w:p>
    <w:p w14:paraId="67E28FB6" w14:textId="622CCBDD" w:rsidR="001B4FF0" w:rsidRPr="00662906" w:rsidRDefault="001B4FF0" w:rsidP="001B4FF0">
      <w:pPr>
        <w:pStyle w:val="Caption"/>
        <w:spacing w:after="120"/>
      </w:pPr>
      <w:bookmarkStart w:id="780" w:name="_Toc197438660"/>
      <w:r w:rsidRPr="00662906">
        <w:t xml:space="preserve">Figure </w:t>
      </w:r>
      <w:fldSimple w:instr=" SEQ Figure \* ARABIC ">
        <w:r w:rsidR="00610F61">
          <w:rPr>
            <w:noProof/>
          </w:rPr>
          <w:t>8</w:t>
        </w:r>
      </w:fldSimple>
      <w:r w:rsidRPr="00662906">
        <w:t>: Comprehensive Institutional involvement in ETSAP Implementation</w:t>
      </w:r>
      <w:bookmarkEnd w:id="780"/>
    </w:p>
    <w:p w14:paraId="3A2E9F5D" w14:textId="6741A359" w:rsidR="00996658" w:rsidRPr="00662906" w:rsidRDefault="00996658" w:rsidP="00996658">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29A486DB" w14:textId="10972487" w:rsidR="00996658" w:rsidRPr="00662906" w:rsidRDefault="00996658" w:rsidP="4710EF2A">
      <w:pPr>
        <w:rPr>
          <w:rFonts w:eastAsia="Arial" w:cs="Arial"/>
          <w:i/>
          <w:iCs/>
          <w:color w:val="B4A169"/>
          <w:sz w:val="16"/>
          <w:szCs w:val="16"/>
        </w:rPr>
      </w:pPr>
      <w:r w:rsidRPr="00662906">
        <w:rPr>
          <w:rFonts w:eastAsia="Arial" w:cs="Arial"/>
          <w:i/>
          <w:iCs/>
          <w:color w:val="B4A169"/>
          <w:sz w:val="16"/>
          <w:szCs w:val="16"/>
        </w:rPr>
        <w:t>Legend:</w:t>
      </w:r>
      <w:r w:rsidR="00422224" w:rsidRPr="00662906">
        <w:rPr>
          <w:rFonts w:eastAsia="Arial" w:cs="Arial"/>
          <w:i/>
          <w:iCs/>
          <w:color w:val="B4A169"/>
          <w:sz w:val="16"/>
          <w:szCs w:val="16"/>
        </w:rPr>
        <w:t xml:space="preserve"> </w:t>
      </w:r>
      <w:r w:rsidRPr="00662906">
        <w:rPr>
          <w:rFonts w:eastAsia="Arial" w:cs="Arial"/>
          <w:i/>
          <w:iCs/>
          <w:color w:val="B4A169"/>
          <w:sz w:val="16"/>
          <w:szCs w:val="16"/>
        </w:rPr>
        <w:t xml:space="preserve">Continental, regional, national agencies collaborate horizontally as required (no connection lines). Density of lines connecting vertically </w:t>
      </w:r>
      <w:r w:rsidR="1F3EC185" w:rsidRPr="00662906">
        <w:rPr>
          <w:rFonts w:eastAsia="Arial" w:cs="Arial"/>
          <w:i/>
          <w:iCs/>
          <w:color w:val="B4A169"/>
          <w:sz w:val="16"/>
          <w:szCs w:val="16"/>
        </w:rPr>
        <w:t xml:space="preserve">show </w:t>
      </w:r>
      <w:r w:rsidRPr="00662906">
        <w:rPr>
          <w:rFonts w:eastAsia="Arial" w:cs="Arial"/>
          <w:i/>
          <w:iCs/>
          <w:color w:val="B4A169"/>
          <w:sz w:val="16"/>
          <w:szCs w:val="16"/>
        </w:rPr>
        <w:t>strength of linkages; green colour</w:t>
      </w:r>
      <w:r w:rsidR="08F09D02" w:rsidRPr="00662906">
        <w:rPr>
          <w:rFonts w:eastAsia="Arial" w:cs="Arial"/>
          <w:i/>
          <w:iCs/>
          <w:color w:val="B4A169"/>
          <w:sz w:val="16"/>
          <w:szCs w:val="16"/>
        </w:rPr>
        <w:t>ed boxes have</w:t>
      </w:r>
      <w:r w:rsidRPr="00662906">
        <w:rPr>
          <w:rFonts w:eastAsia="Arial" w:cs="Arial"/>
          <w:i/>
          <w:iCs/>
          <w:color w:val="B4A169"/>
          <w:sz w:val="16"/>
          <w:szCs w:val="16"/>
        </w:rPr>
        <w:t xml:space="preserve"> ad hoc connections hence broken lines</w:t>
      </w:r>
      <w:r w:rsidR="33BD64D2" w:rsidRPr="00662906">
        <w:rPr>
          <w:rFonts w:eastAsia="Arial" w:cs="Arial"/>
          <w:i/>
          <w:iCs/>
          <w:color w:val="B4A169"/>
          <w:sz w:val="16"/>
          <w:szCs w:val="16"/>
        </w:rPr>
        <w:t xml:space="preserve"> vertically</w:t>
      </w:r>
      <w:r w:rsidRPr="00662906">
        <w:rPr>
          <w:rFonts w:eastAsia="Arial" w:cs="Arial"/>
          <w:i/>
          <w:iCs/>
          <w:color w:val="B4A169"/>
          <w:sz w:val="16"/>
          <w:szCs w:val="16"/>
        </w:rPr>
        <w:t>.</w:t>
      </w:r>
    </w:p>
    <w:p w14:paraId="354E5364" w14:textId="27379E82" w:rsidR="3AEC2DC5" w:rsidRPr="00662906" w:rsidRDefault="005D01D7" w:rsidP="536E90CC">
      <w:pPr>
        <w:rPr>
          <w:rFonts w:eastAsia="Arial" w:cs="Arial"/>
        </w:rPr>
      </w:pPr>
      <w:r w:rsidRPr="00662906">
        <w:rPr>
          <w:rFonts w:eastAsia="Arial" w:cs="Arial"/>
        </w:rPr>
        <w:t>T</w:t>
      </w:r>
      <w:r w:rsidR="4855B9D9" w:rsidRPr="00662906">
        <w:rPr>
          <w:rFonts w:eastAsia="Arial" w:cs="Arial"/>
        </w:rPr>
        <w:t xml:space="preserve">he various roles of each of the indicated continental and regional bodies presented in Figure </w:t>
      </w:r>
      <w:r w:rsidR="005A46CB" w:rsidRPr="00662906">
        <w:rPr>
          <w:rFonts w:eastAsia="Arial" w:cs="Arial"/>
        </w:rPr>
        <w:t>8</w:t>
      </w:r>
      <w:r w:rsidR="4855B9D9" w:rsidRPr="00662906">
        <w:rPr>
          <w:rFonts w:eastAsia="Arial" w:cs="Arial"/>
        </w:rPr>
        <w:t xml:space="preserve"> above are presented</w:t>
      </w:r>
      <w:r w:rsidR="626474EE" w:rsidRPr="00662906">
        <w:rPr>
          <w:rFonts w:eastAsia="Arial" w:cs="Arial"/>
        </w:rPr>
        <w:t xml:space="preserve"> in Table </w:t>
      </w:r>
      <w:r w:rsidR="00E431CB" w:rsidRPr="00662906">
        <w:rPr>
          <w:rFonts w:eastAsia="Arial" w:cs="Arial"/>
        </w:rPr>
        <w:t>4</w:t>
      </w:r>
      <w:r w:rsidR="00A5461B" w:rsidRPr="00662906">
        <w:rPr>
          <w:rFonts w:eastAsia="Arial" w:cs="Arial"/>
        </w:rPr>
        <w:t>1</w:t>
      </w:r>
      <w:r w:rsidR="626474EE" w:rsidRPr="00662906">
        <w:rPr>
          <w:rFonts w:eastAsia="Arial" w:cs="Arial"/>
        </w:rPr>
        <w:t xml:space="preserve"> for continental stakeholder organizations</w:t>
      </w:r>
      <w:r w:rsidR="2E71746C" w:rsidRPr="00662906">
        <w:rPr>
          <w:rFonts w:eastAsia="Arial" w:cs="Arial"/>
        </w:rPr>
        <w:t xml:space="preserve"> and </w:t>
      </w:r>
      <w:r w:rsidR="626474EE" w:rsidRPr="00662906">
        <w:rPr>
          <w:rFonts w:eastAsia="Arial" w:cs="Arial"/>
        </w:rPr>
        <w:t xml:space="preserve">Table </w:t>
      </w:r>
      <w:r w:rsidR="00E431CB" w:rsidRPr="00662906">
        <w:rPr>
          <w:rFonts w:eastAsia="Arial" w:cs="Arial"/>
        </w:rPr>
        <w:t>4</w:t>
      </w:r>
      <w:r w:rsidR="00A5461B" w:rsidRPr="00662906">
        <w:rPr>
          <w:rFonts w:eastAsia="Arial" w:cs="Arial"/>
        </w:rPr>
        <w:t>2</w:t>
      </w:r>
      <w:r w:rsidR="626474EE" w:rsidRPr="00662906">
        <w:rPr>
          <w:rFonts w:eastAsia="Arial" w:cs="Arial"/>
        </w:rPr>
        <w:t xml:space="preserve"> for regional Stakeholder </w:t>
      </w:r>
      <w:r w:rsidR="439928C2" w:rsidRPr="00662906">
        <w:rPr>
          <w:rFonts w:eastAsia="Arial" w:cs="Arial"/>
        </w:rPr>
        <w:t>organizations.</w:t>
      </w:r>
      <w:r w:rsidR="00422224" w:rsidRPr="00662906">
        <w:rPr>
          <w:rFonts w:eastAsia="Arial" w:cs="Arial"/>
        </w:rPr>
        <w:t xml:space="preserve"> </w:t>
      </w:r>
      <w:r w:rsidR="60AFC6A9" w:rsidRPr="00662906">
        <w:rPr>
          <w:rFonts w:eastAsia="Arial" w:cs="Arial"/>
        </w:rPr>
        <w:t xml:space="preserve">Continental organizations have linkages with their regional </w:t>
      </w:r>
      <w:r w:rsidR="255A38D7" w:rsidRPr="00662906">
        <w:rPr>
          <w:rFonts w:eastAsia="Arial" w:cs="Arial"/>
        </w:rPr>
        <w:t xml:space="preserve">and national </w:t>
      </w:r>
      <w:r w:rsidR="60AFC6A9" w:rsidRPr="00662906">
        <w:rPr>
          <w:rFonts w:eastAsia="Arial" w:cs="Arial"/>
        </w:rPr>
        <w:t xml:space="preserve">counterparts in that comprise power </w:t>
      </w:r>
      <w:r w:rsidR="2CE090E8" w:rsidRPr="00662906">
        <w:rPr>
          <w:rFonts w:eastAsia="Arial" w:cs="Arial"/>
        </w:rPr>
        <w:t>utilities, RE/EE</w:t>
      </w:r>
      <w:r w:rsidR="50577FD7" w:rsidRPr="00662906">
        <w:rPr>
          <w:rFonts w:eastAsia="Arial" w:cs="Arial"/>
        </w:rPr>
        <w:t xml:space="preserve"> centres, directorates in </w:t>
      </w:r>
      <w:r w:rsidR="43FEFD2D" w:rsidRPr="00662906">
        <w:rPr>
          <w:rFonts w:eastAsia="Arial" w:cs="Arial"/>
        </w:rPr>
        <w:t>r</w:t>
      </w:r>
      <w:r w:rsidR="50577FD7" w:rsidRPr="00662906">
        <w:rPr>
          <w:rFonts w:eastAsia="Arial" w:cs="Arial"/>
        </w:rPr>
        <w:t xml:space="preserve">egional Economic Communities, regulators, standards bodies and associations as indicated. </w:t>
      </w:r>
      <w:r w:rsidR="1B66578C" w:rsidRPr="00662906">
        <w:rPr>
          <w:rFonts w:eastAsia="Arial" w:cs="Arial"/>
        </w:rPr>
        <w:t>However,</w:t>
      </w:r>
      <w:r w:rsidR="50577FD7" w:rsidRPr="00662906">
        <w:rPr>
          <w:rFonts w:eastAsia="Arial" w:cs="Arial"/>
        </w:rPr>
        <w:t xml:space="preserve"> financ</w:t>
      </w:r>
      <w:r w:rsidR="0410EC44" w:rsidRPr="00662906">
        <w:rPr>
          <w:rFonts w:eastAsia="Arial" w:cs="Arial"/>
        </w:rPr>
        <w:t>ing institutions, and resources/research centres may collaborate but not on an already established arrangement.</w:t>
      </w:r>
      <w:r w:rsidR="00422224" w:rsidRPr="00662906">
        <w:rPr>
          <w:rFonts w:eastAsia="Arial" w:cs="Arial"/>
        </w:rPr>
        <w:t xml:space="preserve"> </w:t>
      </w:r>
      <w:r w:rsidR="7768EB5B" w:rsidRPr="00662906">
        <w:rPr>
          <w:rFonts w:eastAsia="Arial" w:cs="Arial"/>
        </w:rPr>
        <w:t>Continental</w:t>
      </w:r>
      <w:r w:rsidR="6D49CBAE" w:rsidRPr="00662906">
        <w:rPr>
          <w:rFonts w:eastAsia="Arial" w:cs="Arial"/>
        </w:rPr>
        <w:t xml:space="preserve"> agencies also do collaborate as required by their AUC establishment</w:t>
      </w:r>
      <w:r w:rsidR="243508D2" w:rsidRPr="00662906">
        <w:rPr>
          <w:rFonts w:eastAsia="Arial" w:cs="Arial"/>
        </w:rPr>
        <w:t xml:space="preserve"> and the AfDB is an official funder of some of the AU initiatives</w:t>
      </w:r>
      <w:r w:rsidR="6D49CBAE" w:rsidRPr="00662906">
        <w:rPr>
          <w:rFonts w:eastAsia="Arial" w:cs="Arial"/>
        </w:rPr>
        <w:t>. Similarly regional agencies also do collaborate as per their regional es</w:t>
      </w:r>
      <w:r w:rsidR="72C17923" w:rsidRPr="00662906">
        <w:rPr>
          <w:rFonts w:eastAsia="Arial" w:cs="Arial"/>
        </w:rPr>
        <w:t>tablishments and often national agencies of similar nature collaborate through their regional agencies.</w:t>
      </w:r>
      <w:r w:rsidR="500A364F" w:rsidRPr="00662906">
        <w:rPr>
          <w:rFonts w:eastAsia="Arial" w:cs="Arial"/>
        </w:rPr>
        <w:t xml:space="preserve"> AFREC has also a </w:t>
      </w:r>
      <w:r w:rsidR="00AE7D1F" w:rsidRPr="00662906">
        <w:rPr>
          <w:rFonts w:eastAsia="Arial" w:cs="Arial"/>
        </w:rPr>
        <w:t>direct focal point</w:t>
      </w:r>
      <w:r w:rsidR="500A364F" w:rsidRPr="00662906">
        <w:rPr>
          <w:rFonts w:eastAsia="Arial" w:cs="Arial"/>
        </w:rPr>
        <w:t xml:space="preserve"> within with Ministries in charge of Energy </w:t>
      </w:r>
      <w:r w:rsidR="0093058B" w:rsidRPr="00662906">
        <w:rPr>
          <w:rFonts w:eastAsia="Arial" w:cs="Arial"/>
        </w:rPr>
        <w:t xml:space="preserve">for its different programmes including on </w:t>
      </w:r>
      <w:r w:rsidR="500A364F" w:rsidRPr="00662906">
        <w:rPr>
          <w:rFonts w:eastAsia="Arial" w:cs="Arial"/>
        </w:rPr>
        <w:t>e</w:t>
      </w:r>
      <w:r w:rsidR="55ECC777" w:rsidRPr="00662906">
        <w:rPr>
          <w:rFonts w:eastAsia="Arial" w:cs="Arial"/>
        </w:rPr>
        <w:t>nergy statistics.</w:t>
      </w:r>
    </w:p>
    <w:p w14:paraId="472B1EF3" w14:textId="2FEEC2C3" w:rsidR="3AEC2DC5" w:rsidRPr="00662906" w:rsidRDefault="516913C1" w:rsidP="3AA1B05C">
      <w:pPr>
        <w:rPr>
          <w:rFonts w:eastAsia="Arial" w:cs="Arial"/>
        </w:rPr>
      </w:pPr>
      <w:r w:rsidRPr="00662906">
        <w:rPr>
          <w:rFonts w:eastAsia="Arial" w:cs="Arial"/>
        </w:rPr>
        <w:t>There are</w:t>
      </w:r>
      <w:r w:rsidR="2175C756" w:rsidRPr="00662906">
        <w:rPr>
          <w:rFonts w:eastAsia="Arial" w:cs="Arial"/>
        </w:rPr>
        <w:t xml:space="preserve"> also</w:t>
      </w:r>
      <w:r w:rsidRPr="00662906">
        <w:rPr>
          <w:rFonts w:eastAsia="Arial" w:cs="Arial"/>
        </w:rPr>
        <w:t xml:space="preserve"> many international organizations that Africa is already collaborating with and will be called upon to support financing, capacity building</w:t>
      </w:r>
      <w:r w:rsidR="00860C98" w:rsidRPr="00662906">
        <w:rPr>
          <w:rFonts w:eastAsia="Arial" w:cs="Arial"/>
        </w:rPr>
        <w:t>, advisory services</w:t>
      </w:r>
      <w:r w:rsidRPr="00662906">
        <w:rPr>
          <w:rFonts w:eastAsia="Arial" w:cs="Arial"/>
        </w:rPr>
        <w:t xml:space="preserve"> and guidance of formulation of policy frameworks</w:t>
      </w:r>
      <w:r w:rsidR="4636C3AB" w:rsidRPr="00662906">
        <w:rPr>
          <w:rFonts w:eastAsia="Arial" w:cs="Arial"/>
        </w:rPr>
        <w:t xml:space="preserve">. </w:t>
      </w:r>
    </w:p>
    <w:p w14:paraId="314AA7E4" w14:textId="6E9EC69F" w:rsidR="76050BB1" w:rsidRPr="00662906" w:rsidRDefault="07A1CB6B" w:rsidP="001C34B9">
      <w:pPr>
        <w:pStyle w:val="Caption"/>
      </w:pPr>
      <w:bookmarkStart w:id="781" w:name="_Toc171955612"/>
      <w:bookmarkStart w:id="782" w:name="_Toc176430341"/>
      <w:bookmarkStart w:id="783" w:name="_Toc197433929"/>
      <w:r w:rsidRPr="00662906">
        <w:t xml:space="preserve">Table </w:t>
      </w:r>
      <w:fldSimple w:instr=" SEQ Table \* ARABIC ">
        <w:r w:rsidR="00610F61">
          <w:rPr>
            <w:noProof/>
          </w:rPr>
          <w:t>41</w:t>
        </w:r>
      </w:fldSimple>
      <w:r w:rsidR="5970AFAD" w:rsidRPr="00662906">
        <w:t>:</w:t>
      </w:r>
      <w:r w:rsidR="4636C3AB" w:rsidRPr="00662906">
        <w:t xml:space="preserve"> Continental and Regional Organizations for ETSAP implementation</w:t>
      </w:r>
      <w:bookmarkEnd w:id="781"/>
      <w:bookmarkEnd w:id="782"/>
      <w:bookmarkEnd w:id="783"/>
    </w:p>
    <w:tbl>
      <w:tblPr>
        <w:tblW w:w="0" w:type="auto"/>
        <w:tblInd w:w="90"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ook w:val="06A0" w:firstRow="1" w:lastRow="0" w:firstColumn="1" w:lastColumn="0" w:noHBand="1" w:noVBand="1"/>
      </w:tblPr>
      <w:tblGrid>
        <w:gridCol w:w="2787"/>
        <w:gridCol w:w="6143"/>
      </w:tblGrid>
      <w:tr w:rsidR="3AA1B05C" w:rsidRPr="00662906" w14:paraId="100EF7DA" w14:textId="77777777" w:rsidTr="007A658B">
        <w:trPr>
          <w:trHeight w:val="454"/>
        </w:trPr>
        <w:tc>
          <w:tcPr>
            <w:tcW w:w="0" w:type="auto"/>
            <w:gridSpan w:val="2"/>
            <w:shd w:val="clear" w:color="auto" w:fill="B4A269" w:themeFill="text2"/>
            <w:tcMar>
              <w:left w:w="108" w:type="dxa"/>
              <w:right w:w="108" w:type="dxa"/>
            </w:tcMar>
            <w:vAlign w:val="center"/>
          </w:tcPr>
          <w:p w14:paraId="0D82F819" w14:textId="528C9FFF" w:rsidR="3AA1B05C" w:rsidRPr="00662906" w:rsidRDefault="3AA1B05C" w:rsidP="007A658B">
            <w:pPr>
              <w:spacing w:before="60" w:after="60"/>
              <w:ind w:firstLine="4"/>
              <w:jc w:val="center"/>
              <w:rPr>
                <w:b/>
                <w:color w:val="FFFFFF" w:themeColor="background2"/>
                <w:sz w:val="18"/>
                <w:szCs w:val="18"/>
              </w:rPr>
            </w:pPr>
            <w:r w:rsidRPr="00662906">
              <w:rPr>
                <w:b/>
                <w:color w:val="FFFFFF" w:themeColor="background2"/>
                <w:sz w:val="18"/>
                <w:szCs w:val="18"/>
              </w:rPr>
              <w:t>CONTINENTAL INSTITUTIONS</w:t>
            </w:r>
          </w:p>
        </w:tc>
      </w:tr>
      <w:tr w:rsidR="3AA1B05C" w:rsidRPr="00662906" w14:paraId="6BC7C041" w14:textId="77777777" w:rsidTr="007A658B">
        <w:trPr>
          <w:trHeight w:val="300"/>
        </w:trPr>
        <w:tc>
          <w:tcPr>
            <w:tcW w:w="2787" w:type="dxa"/>
            <w:shd w:val="clear" w:color="auto" w:fill="B4A269" w:themeFill="text2"/>
            <w:tcMar>
              <w:left w:w="108" w:type="dxa"/>
              <w:right w:w="108" w:type="dxa"/>
            </w:tcMar>
            <w:vAlign w:val="center"/>
          </w:tcPr>
          <w:p w14:paraId="3480529D" w14:textId="035B4658" w:rsidR="3AA1B05C" w:rsidRPr="00662906" w:rsidRDefault="3AA1B05C" w:rsidP="007A658B">
            <w:pPr>
              <w:spacing w:before="40" w:after="40"/>
              <w:jc w:val="center"/>
              <w:rPr>
                <w:rFonts w:eastAsia="Arial" w:cs="Arial"/>
                <w:b/>
                <w:color w:val="FFFFFF" w:themeColor="background2"/>
                <w:sz w:val="18"/>
                <w:szCs w:val="18"/>
              </w:rPr>
            </w:pPr>
            <w:r w:rsidRPr="00662906">
              <w:rPr>
                <w:rFonts w:eastAsia="Arial" w:cs="Arial"/>
                <w:b/>
                <w:color w:val="FFFFFF" w:themeColor="background2"/>
                <w:sz w:val="18"/>
                <w:szCs w:val="18"/>
              </w:rPr>
              <w:t>Institution</w:t>
            </w:r>
          </w:p>
        </w:tc>
        <w:tc>
          <w:tcPr>
            <w:tcW w:w="6143" w:type="dxa"/>
            <w:shd w:val="clear" w:color="auto" w:fill="B4A269" w:themeFill="text2"/>
            <w:tcMar>
              <w:left w:w="108" w:type="dxa"/>
              <w:right w:w="108" w:type="dxa"/>
            </w:tcMar>
            <w:vAlign w:val="center"/>
          </w:tcPr>
          <w:p w14:paraId="5D48C5EE" w14:textId="5DA1FECE" w:rsidR="3AA1B05C" w:rsidRPr="00662906" w:rsidRDefault="3AA1B05C" w:rsidP="007A658B">
            <w:pPr>
              <w:spacing w:before="60" w:after="60"/>
              <w:ind w:firstLine="4"/>
              <w:jc w:val="center"/>
              <w:rPr>
                <w:b/>
                <w:color w:val="FFFFFF" w:themeColor="background2"/>
                <w:sz w:val="18"/>
                <w:szCs w:val="18"/>
              </w:rPr>
            </w:pPr>
            <w:r w:rsidRPr="00662906">
              <w:rPr>
                <w:b/>
                <w:color w:val="FFFFFF" w:themeColor="background2"/>
                <w:sz w:val="18"/>
                <w:szCs w:val="18"/>
              </w:rPr>
              <w:t>Main expected roles</w:t>
            </w:r>
          </w:p>
        </w:tc>
      </w:tr>
      <w:tr w:rsidR="3AA1B05C" w:rsidRPr="00662906" w14:paraId="56DF2277" w14:textId="77777777" w:rsidTr="007A658B">
        <w:trPr>
          <w:trHeight w:val="300"/>
        </w:trPr>
        <w:tc>
          <w:tcPr>
            <w:tcW w:w="2787" w:type="dxa"/>
            <w:tcMar>
              <w:left w:w="108" w:type="dxa"/>
              <w:right w:w="108" w:type="dxa"/>
            </w:tcMar>
            <w:vAlign w:val="center"/>
          </w:tcPr>
          <w:p w14:paraId="316E3992" w14:textId="43D69A36"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AFREC</w:t>
            </w:r>
          </w:p>
        </w:tc>
        <w:tc>
          <w:tcPr>
            <w:tcW w:w="6143" w:type="dxa"/>
            <w:tcMar>
              <w:left w:w="108" w:type="dxa"/>
              <w:right w:w="108" w:type="dxa"/>
            </w:tcMar>
            <w:vAlign w:val="center"/>
          </w:tcPr>
          <w:p w14:paraId="41B98F6B" w14:textId="1AE6DB5E"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 xml:space="preserve">Coordinate the implementation of the energy transition strategy, support policy harmonization, </w:t>
            </w:r>
            <w:r w:rsidR="000D5BF4" w:rsidRPr="00662906">
              <w:rPr>
                <w:rFonts w:eastAsia="Arial" w:cs="Arial"/>
                <w:sz w:val="18"/>
                <w:szCs w:val="18"/>
              </w:rPr>
              <w:t>including drive clean cooking and energy efficiency programmes in Africa</w:t>
            </w:r>
            <w:r w:rsidR="002F5073" w:rsidRPr="00662906">
              <w:rPr>
                <w:rFonts w:eastAsia="Arial" w:cs="Arial"/>
                <w:sz w:val="18"/>
                <w:szCs w:val="18"/>
              </w:rPr>
              <w:t xml:space="preserve"> </w:t>
            </w:r>
            <w:r w:rsidRPr="00662906">
              <w:rPr>
                <w:rFonts w:eastAsia="Arial" w:cs="Arial"/>
                <w:sz w:val="18"/>
                <w:szCs w:val="18"/>
              </w:rPr>
              <w:t>and monitor progress across Africa.</w:t>
            </w:r>
          </w:p>
        </w:tc>
      </w:tr>
      <w:tr w:rsidR="3AA1B05C" w:rsidRPr="00662906" w14:paraId="519819C8" w14:textId="77777777" w:rsidTr="007A658B">
        <w:trPr>
          <w:trHeight w:val="300"/>
        </w:trPr>
        <w:tc>
          <w:tcPr>
            <w:tcW w:w="2787" w:type="dxa"/>
            <w:tcMar>
              <w:left w:w="108" w:type="dxa"/>
              <w:right w:w="108" w:type="dxa"/>
            </w:tcMar>
            <w:vAlign w:val="center"/>
          </w:tcPr>
          <w:p w14:paraId="2F55CBCA" w14:textId="3B47E8C9"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AUC</w:t>
            </w:r>
          </w:p>
        </w:tc>
        <w:tc>
          <w:tcPr>
            <w:tcW w:w="6143" w:type="dxa"/>
            <w:tcMar>
              <w:left w:w="108" w:type="dxa"/>
              <w:right w:w="108" w:type="dxa"/>
            </w:tcMar>
            <w:vAlign w:val="center"/>
          </w:tcPr>
          <w:p w14:paraId="0D43C490" w14:textId="29F5D66E"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Lead advocacy and integration of the energy transition into broader continental agendas, mobilize resources, and coordinate with international partners.</w:t>
            </w:r>
          </w:p>
        </w:tc>
      </w:tr>
      <w:tr w:rsidR="3AA1B05C" w:rsidRPr="00662906" w14:paraId="0FDEC5C6" w14:textId="77777777" w:rsidTr="007A658B">
        <w:trPr>
          <w:trHeight w:val="300"/>
        </w:trPr>
        <w:tc>
          <w:tcPr>
            <w:tcW w:w="2787" w:type="dxa"/>
            <w:tcMar>
              <w:left w:w="108" w:type="dxa"/>
              <w:right w:w="108" w:type="dxa"/>
            </w:tcMar>
            <w:vAlign w:val="center"/>
          </w:tcPr>
          <w:p w14:paraId="2604E67C" w14:textId="03A8D4D2"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 xml:space="preserve">Department of Infrastructure and </w:t>
            </w:r>
            <w:r w:rsidR="00F2057E" w:rsidRPr="00662906">
              <w:rPr>
                <w:rFonts w:eastAsia="Arial" w:cs="Arial"/>
                <w:sz w:val="18"/>
                <w:szCs w:val="18"/>
              </w:rPr>
              <w:t>Energy and</w:t>
            </w:r>
            <w:r w:rsidR="005271B7" w:rsidRPr="00662906">
              <w:rPr>
                <w:rFonts w:eastAsia="Arial" w:cs="Arial"/>
                <w:sz w:val="18"/>
                <w:szCs w:val="18"/>
              </w:rPr>
              <w:t xml:space="preserve"> Transport </w:t>
            </w:r>
            <w:r w:rsidRPr="00662906">
              <w:rPr>
                <w:rFonts w:eastAsia="Arial" w:cs="Arial"/>
                <w:sz w:val="18"/>
                <w:szCs w:val="18"/>
              </w:rPr>
              <w:t>(DIE)</w:t>
            </w:r>
          </w:p>
        </w:tc>
        <w:tc>
          <w:tcPr>
            <w:tcW w:w="6143" w:type="dxa"/>
            <w:tcMar>
              <w:left w:w="108" w:type="dxa"/>
              <w:right w:w="108" w:type="dxa"/>
            </w:tcMar>
            <w:vAlign w:val="center"/>
          </w:tcPr>
          <w:p w14:paraId="0ACE7891" w14:textId="08FD98A8"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Facilitate the development of sustainable infrastructure projects critical to energy transition, such as renewable energy networks and efficient buildings</w:t>
            </w:r>
            <w:r w:rsidR="000D5BF4" w:rsidRPr="00662906">
              <w:rPr>
                <w:rFonts w:eastAsia="Arial" w:cs="Arial"/>
                <w:sz w:val="18"/>
                <w:szCs w:val="18"/>
              </w:rPr>
              <w:t xml:space="preserve"> and transport</w:t>
            </w:r>
            <w:r w:rsidRPr="00662906">
              <w:rPr>
                <w:rFonts w:eastAsia="Arial" w:cs="Arial"/>
                <w:sz w:val="18"/>
                <w:szCs w:val="18"/>
              </w:rPr>
              <w:t>.</w:t>
            </w:r>
          </w:p>
        </w:tc>
      </w:tr>
      <w:tr w:rsidR="3AA1B05C" w:rsidRPr="00662906" w14:paraId="1F0EB480" w14:textId="77777777" w:rsidTr="007A658B">
        <w:trPr>
          <w:trHeight w:val="300"/>
        </w:trPr>
        <w:tc>
          <w:tcPr>
            <w:tcW w:w="2787" w:type="dxa"/>
            <w:tcMar>
              <w:left w:w="108" w:type="dxa"/>
              <w:right w:w="108" w:type="dxa"/>
            </w:tcMar>
            <w:vAlign w:val="center"/>
          </w:tcPr>
          <w:p w14:paraId="4291DB6D" w14:textId="4F5FFD0C"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Department of Rural Economy and Agriculture (DREA)</w:t>
            </w:r>
          </w:p>
        </w:tc>
        <w:tc>
          <w:tcPr>
            <w:tcW w:w="6143" w:type="dxa"/>
            <w:tcMar>
              <w:left w:w="108" w:type="dxa"/>
              <w:right w:w="108" w:type="dxa"/>
            </w:tcMar>
            <w:vAlign w:val="center"/>
          </w:tcPr>
          <w:p w14:paraId="0F509C0B" w14:textId="6718F7D0"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Support sustainable agricultural practices that enhance energy efficiency and integrate renewable energy technologies in the agricultural sector.</w:t>
            </w:r>
          </w:p>
        </w:tc>
      </w:tr>
      <w:tr w:rsidR="3AA1B05C" w:rsidRPr="00662906" w14:paraId="34118DE5" w14:textId="77777777" w:rsidTr="007A658B">
        <w:trPr>
          <w:trHeight w:val="300"/>
        </w:trPr>
        <w:tc>
          <w:tcPr>
            <w:tcW w:w="2787" w:type="dxa"/>
            <w:tcMar>
              <w:left w:w="108" w:type="dxa"/>
              <w:right w:w="108" w:type="dxa"/>
            </w:tcMar>
            <w:vAlign w:val="center"/>
          </w:tcPr>
          <w:p w14:paraId="13A4D338" w14:textId="1D26120C"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lastRenderedPageBreak/>
              <w:t>AUDA–NEPAD</w:t>
            </w:r>
          </w:p>
        </w:tc>
        <w:tc>
          <w:tcPr>
            <w:tcW w:w="6143" w:type="dxa"/>
            <w:tcMar>
              <w:left w:w="108" w:type="dxa"/>
              <w:right w:w="108" w:type="dxa"/>
            </w:tcMar>
            <w:vAlign w:val="center"/>
          </w:tcPr>
          <w:p w14:paraId="055F8D17" w14:textId="4FA03EFC"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 xml:space="preserve">Drive project development and implementation, focusing on </w:t>
            </w:r>
            <w:r w:rsidR="000D5BF4" w:rsidRPr="00662906">
              <w:rPr>
                <w:rFonts w:eastAsia="Arial" w:cs="Arial"/>
                <w:sz w:val="18"/>
                <w:szCs w:val="18"/>
              </w:rPr>
              <w:t xml:space="preserve">Power System </w:t>
            </w:r>
            <w:r w:rsidR="002F5073" w:rsidRPr="00662906">
              <w:rPr>
                <w:rFonts w:eastAsia="Arial" w:cs="Arial"/>
                <w:sz w:val="18"/>
                <w:szCs w:val="18"/>
              </w:rPr>
              <w:t>Infrastructure</w:t>
            </w:r>
            <w:r w:rsidR="000D5BF4" w:rsidRPr="00662906">
              <w:rPr>
                <w:rFonts w:eastAsia="Arial" w:cs="Arial"/>
                <w:sz w:val="18"/>
                <w:szCs w:val="18"/>
              </w:rPr>
              <w:t xml:space="preserve"> a</w:t>
            </w:r>
            <w:r w:rsidRPr="00662906">
              <w:rPr>
                <w:rFonts w:eastAsia="Arial" w:cs="Arial"/>
                <w:sz w:val="18"/>
                <w:szCs w:val="18"/>
              </w:rPr>
              <w:t>nd renewable energy projects across the continent.</w:t>
            </w:r>
          </w:p>
        </w:tc>
      </w:tr>
      <w:tr w:rsidR="3AA1B05C" w:rsidRPr="00662906" w14:paraId="2E349BE0" w14:textId="77777777" w:rsidTr="007A658B">
        <w:trPr>
          <w:trHeight w:val="300"/>
        </w:trPr>
        <w:tc>
          <w:tcPr>
            <w:tcW w:w="2787" w:type="dxa"/>
            <w:tcMar>
              <w:left w:w="108" w:type="dxa"/>
              <w:right w:w="108" w:type="dxa"/>
            </w:tcMar>
            <w:vAlign w:val="center"/>
          </w:tcPr>
          <w:p w14:paraId="5ED8A178" w14:textId="7D554F20"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AfDB</w:t>
            </w:r>
          </w:p>
        </w:tc>
        <w:tc>
          <w:tcPr>
            <w:tcW w:w="6143" w:type="dxa"/>
            <w:tcMar>
              <w:left w:w="108" w:type="dxa"/>
              <w:right w:w="108" w:type="dxa"/>
            </w:tcMar>
            <w:vAlign w:val="center"/>
          </w:tcPr>
          <w:p w14:paraId="65B91C14" w14:textId="7C24AD43"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Provide financial backing for energy transition projects, focusing on renewable energy investments and energy efficiency improvements.</w:t>
            </w:r>
          </w:p>
        </w:tc>
      </w:tr>
      <w:tr w:rsidR="3AA1B05C" w:rsidRPr="00662906" w14:paraId="6F43A093" w14:textId="77777777" w:rsidTr="007A658B">
        <w:trPr>
          <w:trHeight w:val="300"/>
        </w:trPr>
        <w:tc>
          <w:tcPr>
            <w:tcW w:w="2787" w:type="dxa"/>
            <w:tcMar>
              <w:left w:w="108" w:type="dxa"/>
              <w:right w:w="108" w:type="dxa"/>
            </w:tcMar>
            <w:vAlign w:val="center"/>
          </w:tcPr>
          <w:p w14:paraId="1DF5AA93" w14:textId="431CB046"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UNECA</w:t>
            </w:r>
          </w:p>
        </w:tc>
        <w:tc>
          <w:tcPr>
            <w:tcW w:w="6143" w:type="dxa"/>
            <w:tcMar>
              <w:left w:w="108" w:type="dxa"/>
              <w:right w:w="108" w:type="dxa"/>
            </w:tcMar>
            <w:vAlign w:val="center"/>
          </w:tcPr>
          <w:p w14:paraId="3E0F051B" w14:textId="2617D741"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Offer analytical support, data, and policy advice to shape and guide energy transition strategies tailored to African realities.</w:t>
            </w:r>
          </w:p>
        </w:tc>
      </w:tr>
      <w:tr w:rsidR="3AA1B05C" w:rsidRPr="00662906" w14:paraId="74D5AF58" w14:textId="77777777" w:rsidTr="007A658B">
        <w:trPr>
          <w:trHeight w:val="300"/>
        </w:trPr>
        <w:tc>
          <w:tcPr>
            <w:tcW w:w="2787" w:type="dxa"/>
            <w:tcMar>
              <w:left w:w="108" w:type="dxa"/>
              <w:right w:w="108" w:type="dxa"/>
            </w:tcMar>
            <w:vAlign w:val="center"/>
          </w:tcPr>
          <w:p w14:paraId="31233E6E" w14:textId="259CE678"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APUA</w:t>
            </w:r>
          </w:p>
        </w:tc>
        <w:tc>
          <w:tcPr>
            <w:tcW w:w="6143" w:type="dxa"/>
            <w:tcMar>
              <w:left w:w="108" w:type="dxa"/>
              <w:right w:w="108" w:type="dxa"/>
            </w:tcMar>
            <w:vAlign w:val="center"/>
          </w:tcPr>
          <w:p w14:paraId="76ECE302" w14:textId="09B94F7B"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Promote best practices, capacity building, and regulatory support among power utilities to enhance energy efficiency</w:t>
            </w:r>
            <w:r w:rsidR="004A3E00" w:rsidRPr="00662906">
              <w:rPr>
                <w:rFonts w:eastAsia="Arial" w:cs="Arial"/>
                <w:sz w:val="18"/>
                <w:szCs w:val="18"/>
              </w:rPr>
              <w:t>,</w:t>
            </w:r>
            <w:r w:rsidRPr="00662906">
              <w:rPr>
                <w:rFonts w:eastAsia="Arial" w:cs="Arial"/>
                <w:sz w:val="18"/>
                <w:szCs w:val="18"/>
              </w:rPr>
              <w:t xml:space="preserve"> renewable integration</w:t>
            </w:r>
            <w:r w:rsidR="005D4CC8" w:rsidRPr="00662906">
              <w:rPr>
                <w:rFonts w:eastAsia="Arial" w:cs="Arial"/>
                <w:sz w:val="18"/>
                <w:szCs w:val="18"/>
              </w:rPr>
              <w:t xml:space="preserve"> and actively promotes and discusses the development of smart grids in Africa</w:t>
            </w:r>
          </w:p>
        </w:tc>
      </w:tr>
      <w:tr w:rsidR="3AA1B05C" w:rsidRPr="00662906" w14:paraId="4AF9C9B9" w14:textId="77777777" w:rsidTr="007A658B">
        <w:trPr>
          <w:trHeight w:val="300"/>
        </w:trPr>
        <w:tc>
          <w:tcPr>
            <w:tcW w:w="2787" w:type="dxa"/>
            <w:tcMar>
              <w:left w:w="108" w:type="dxa"/>
              <w:right w:w="108" w:type="dxa"/>
            </w:tcMar>
            <w:vAlign w:val="center"/>
          </w:tcPr>
          <w:p w14:paraId="55B74AF6" w14:textId="0648569E"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AFUR</w:t>
            </w:r>
          </w:p>
        </w:tc>
        <w:tc>
          <w:tcPr>
            <w:tcW w:w="6143" w:type="dxa"/>
            <w:tcMar>
              <w:left w:w="108" w:type="dxa"/>
              <w:right w:w="108" w:type="dxa"/>
            </w:tcMar>
            <w:vAlign w:val="center"/>
          </w:tcPr>
          <w:p w14:paraId="17A35157" w14:textId="382FDDD0"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Advocate for and help develop regulatory frameworks that support energy transition, focusing on renewable energy and efficiency standards.</w:t>
            </w:r>
          </w:p>
        </w:tc>
      </w:tr>
      <w:tr w:rsidR="3AA1B05C" w:rsidRPr="00662906" w14:paraId="4670B514" w14:textId="77777777" w:rsidTr="007A658B">
        <w:trPr>
          <w:trHeight w:val="454"/>
        </w:trPr>
        <w:tc>
          <w:tcPr>
            <w:tcW w:w="0" w:type="auto"/>
            <w:gridSpan w:val="2"/>
            <w:shd w:val="clear" w:color="auto" w:fill="B4A269" w:themeFill="text2"/>
            <w:tcMar>
              <w:left w:w="108" w:type="dxa"/>
              <w:right w:w="108" w:type="dxa"/>
            </w:tcMar>
            <w:vAlign w:val="center"/>
          </w:tcPr>
          <w:p w14:paraId="69C2427D" w14:textId="3838D93C" w:rsidR="3AA1B05C" w:rsidRPr="00662906" w:rsidRDefault="3AA1B05C" w:rsidP="007A658B">
            <w:pPr>
              <w:spacing w:before="60" w:after="60"/>
              <w:ind w:firstLine="4"/>
              <w:jc w:val="center"/>
              <w:rPr>
                <w:b/>
                <w:color w:val="FFFFFF" w:themeColor="background2"/>
                <w:sz w:val="18"/>
                <w:szCs w:val="18"/>
              </w:rPr>
            </w:pPr>
            <w:r w:rsidRPr="00662906">
              <w:rPr>
                <w:b/>
                <w:color w:val="FFFFFF" w:themeColor="background2"/>
                <w:sz w:val="18"/>
                <w:szCs w:val="18"/>
              </w:rPr>
              <w:t>CONTINENTAL SECTORAL STAKEHOLDERS</w:t>
            </w:r>
          </w:p>
        </w:tc>
      </w:tr>
      <w:tr w:rsidR="00D92CD7" w:rsidRPr="00662906" w14:paraId="38E001E0" w14:textId="77777777" w:rsidTr="007A658B">
        <w:trPr>
          <w:trHeight w:val="300"/>
        </w:trPr>
        <w:tc>
          <w:tcPr>
            <w:tcW w:w="2787" w:type="dxa"/>
            <w:shd w:val="clear" w:color="auto" w:fill="B4A269" w:themeFill="text2"/>
            <w:tcMar>
              <w:left w:w="108" w:type="dxa"/>
              <w:right w:w="108" w:type="dxa"/>
            </w:tcMar>
            <w:vAlign w:val="center"/>
          </w:tcPr>
          <w:p w14:paraId="02393D6A" w14:textId="77777777" w:rsidR="00D92CD7" w:rsidRPr="00662906" w:rsidRDefault="00D92CD7" w:rsidP="007A658B">
            <w:pPr>
              <w:spacing w:before="40" w:after="40"/>
              <w:jc w:val="center"/>
              <w:rPr>
                <w:rFonts w:eastAsia="Arial" w:cs="Arial"/>
                <w:b/>
                <w:color w:val="FFFFFF" w:themeColor="background2"/>
                <w:sz w:val="18"/>
                <w:szCs w:val="18"/>
              </w:rPr>
            </w:pPr>
            <w:r w:rsidRPr="00662906">
              <w:rPr>
                <w:rFonts w:eastAsia="Arial" w:cs="Arial"/>
                <w:b/>
                <w:color w:val="FFFFFF" w:themeColor="background2"/>
                <w:sz w:val="18"/>
                <w:szCs w:val="18"/>
              </w:rPr>
              <w:t>Institution</w:t>
            </w:r>
          </w:p>
        </w:tc>
        <w:tc>
          <w:tcPr>
            <w:tcW w:w="6143" w:type="dxa"/>
            <w:shd w:val="clear" w:color="auto" w:fill="B4A269" w:themeFill="text2"/>
            <w:tcMar>
              <w:left w:w="108" w:type="dxa"/>
              <w:right w:w="108" w:type="dxa"/>
            </w:tcMar>
            <w:vAlign w:val="center"/>
          </w:tcPr>
          <w:p w14:paraId="68F5CDAB" w14:textId="77777777" w:rsidR="00D92CD7" w:rsidRPr="00662906" w:rsidRDefault="00D92CD7" w:rsidP="007A658B">
            <w:pPr>
              <w:spacing w:before="60" w:after="60"/>
              <w:ind w:firstLine="4"/>
              <w:jc w:val="center"/>
              <w:rPr>
                <w:b/>
                <w:color w:val="FFFFFF" w:themeColor="background2"/>
                <w:sz w:val="18"/>
                <w:szCs w:val="18"/>
              </w:rPr>
            </w:pPr>
            <w:r w:rsidRPr="00662906">
              <w:rPr>
                <w:b/>
                <w:color w:val="FFFFFF" w:themeColor="background2"/>
                <w:sz w:val="18"/>
                <w:szCs w:val="18"/>
              </w:rPr>
              <w:t>Main expected roles</w:t>
            </w:r>
          </w:p>
        </w:tc>
      </w:tr>
      <w:tr w:rsidR="3AA1B05C" w:rsidRPr="00662906" w14:paraId="459FE07C" w14:textId="77777777" w:rsidTr="007A658B">
        <w:trPr>
          <w:trHeight w:val="300"/>
        </w:trPr>
        <w:tc>
          <w:tcPr>
            <w:tcW w:w="2787" w:type="dxa"/>
            <w:tcMar>
              <w:left w:w="108" w:type="dxa"/>
              <w:right w:w="108" w:type="dxa"/>
            </w:tcMar>
            <w:vAlign w:val="center"/>
          </w:tcPr>
          <w:p w14:paraId="4824AF01" w14:textId="7279F636"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UATP</w:t>
            </w:r>
          </w:p>
        </w:tc>
        <w:tc>
          <w:tcPr>
            <w:tcW w:w="6143" w:type="dxa"/>
            <w:tcMar>
              <w:left w:w="108" w:type="dxa"/>
              <w:right w:w="108" w:type="dxa"/>
            </w:tcMar>
            <w:vAlign w:val="center"/>
          </w:tcPr>
          <w:p w14:paraId="5BAA9DD7" w14:textId="42C20BA2"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Advocate for sustainable and energy-efficient transportation policies, promoting public transport and non-motorized transport solutions.</w:t>
            </w:r>
          </w:p>
        </w:tc>
      </w:tr>
      <w:tr w:rsidR="3AA1B05C" w:rsidRPr="00662906" w14:paraId="5608131B" w14:textId="77777777" w:rsidTr="007A658B">
        <w:trPr>
          <w:trHeight w:val="300"/>
        </w:trPr>
        <w:tc>
          <w:tcPr>
            <w:tcW w:w="2787" w:type="dxa"/>
            <w:tcMar>
              <w:left w:w="108" w:type="dxa"/>
              <w:right w:w="108" w:type="dxa"/>
            </w:tcMar>
            <w:vAlign w:val="center"/>
          </w:tcPr>
          <w:p w14:paraId="735864A1" w14:textId="77BA9068"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African Sustainable Building Network (ASBN)</w:t>
            </w:r>
          </w:p>
        </w:tc>
        <w:tc>
          <w:tcPr>
            <w:tcW w:w="6143" w:type="dxa"/>
            <w:tcMar>
              <w:left w:w="108" w:type="dxa"/>
              <w:right w:w="108" w:type="dxa"/>
            </w:tcMar>
            <w:vAlign w:val="center"/>
          </w:tcPr>
          <w:p w14:paraId="00DB511D" w14:textId="72176424"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Promote sustainable and energy-efficient building practices, fostering the adoption of green building standards and technologies.</w:t>
            </w:r>
          </w:p>
        </w:tc>
      </w:tr>
      <w:tr w:rsidR="3AA1B05C" w:rsidRPr="00662906" w14:paraId="1AA184AB" w14:textId="77777777" w:rsidTr="007A658B">
        <w:trPr>
          <w:trHeight w:val="300"/>
        </w:trPr>
        <w:tc>
          <w:tcPr>
            <w:tcW w:w="2787" w:type="dxa"/>
            <w:tcMar>
              <w:left w:w="108" w:type="dxa"/>
              <w:right w:w="108" w:type="dxa"/>
            </w:tcMar>
            <w:vAlign w:val="center"/>
          </w:tcPr>
          <w:p w14:paraId="6D1FE749" w14:textId="76A77331"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African Fertilizer and Agribusiness Partnership (AFAP)</w:t>
            </w:r>
          </w:p>
        </w:tc>
        <w:tc>
          <w:tcPr>
            <w:tcW w:w="6143" w:type="dxa"/>
            <w:tcMar>
              <w:left w:w="108" w:type="dxa"/>
              <w:right w:w="108" w:type="dxa"/>
            </w:tcMar>
            <w:vAlign w:val="center"/>
          </w:tcPr>
          <w:p w14:paraId="305EDF74" w14:textId="1E9D22F0"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Support the adoption of energy-efficient practices in the production and use of fertilizers within the agricultural sector.</w:t>
            </w:r>
          </w:p>
        </w:tc>
      </w:tr>
      <w:tr w:rsidR="3AA1B05C" w:rsidRPr="00662906" w14:paraId="512737C9" w14:textId="77777777" w:rsidTr="007A658B">
        <w:trPr>
          <w:trHeight w:val="300"/>
        </w:trPr>
        <w:tc>
          <w:tcPr>
            <w:tcW w:w="2787" w:type="dxa"/>
            <w:tcMar>
              <w:left w:w="108" w:type="dxa"/>
              <w:right w:w="108" w:type="dxa"/>
            </w:tcMar>
            <w:vAlign w:val="center"/>
          </w:tcPr>
          <w:p w14:paraId="374E5829" w14:textId="31E6DAA9"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African Roundtable on Sustainable Consumption and Production (ARSCP)</w:t>
            </w:r>
          </w:p>
        </w:tc>
        <w:tc>
          <w:tcPr>
            <w:tcW w:w="6143" w:type="dxa"/>
            <w:tcMar>
              <w:left w:w="108" w:type="dxa"/>
              <w:right w:w="108" w:type="dxa"/>
            </w:tcMar>
            <w:vAlign w:val="center"/>
          </w:tcPr>
          <w:p w14:paraId="70DD3D34" w14:textId="0D52136D"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Promote energy-efficient and sustainable consumption and production practices across various sectors, including industry and agriculture.</w:t>
            </w:r>
          </w:p>
        </w:tc>
      </w:tr>
      <w:tr w:rsidR="3AA1B05C" w:rsidRPr="00662906" w14:paraId="0B056707" w14:textId="77777777" w:rsidTr="007A658B">
        <w:trPr>
          <w:trHeight w:val="300"/>
        </w:trPr>
        <w:tc>
          <w:tcPr>
            <w:tcW w:w="2787" w:type="dxa"/>
            <w:tcMar>
              <w:left w:w="108" w:type="dxa"/>
              <w:right w:w="108" w:type="dxa"/>
            </w:tcMar>
            <w:vAlign w:val="center"/>
          </w:tcPr>
          <w:p w14:paraId="566ADE57" w14:textId="0644AB5C"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African Railway Confederation (AFC)</w:t>
            </w:r>
          </w:p>
        </w:tc>
        <w:tc>
          <w:tcPr>
            <w:tcW w:w="6143" w:type="dxa"/>
            <w:tcMar>
              <w:left w:w="108" w:type="dxa"/>
              <w:right w:w="108" w:type="dxa"/>
            </w:tcMar>
            <w:vAlign w:val="center"/>
          </w:tcPr>
          <w:p w14:paraId="3D82ADC5" w14:textId="20C005F4"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Support energy efficiency in the rail transport sector, promoting electrification and sustainable practices in rail operations.</w:t>
            </w:r>
          </w:p>
        </w:tc>
      </w:tr>
      <w:tr w:rsidR="3AA1B05C" w:rsidRPr="00662906" w14:paraId="5EBA7B28" w14:textId="77777777" w:rsidTr="007A658B">
        <w:trPr>
          <w:trHeight w:val="300"/>
        </w:trPr>
        <w:tc>
          <w:tcPr>
            <w:tcW w:w="2787" w:type="dxa"/>
            <w:tcMar>
              <w:left w:w="108" w:type="dxa"/>
              <w:right w:w="108" w:type="dxa"/>
            </w:tcMar>
            <w:vAlign w:val="center"/>
          </w:tcPr>
          <w:p w14:paraId="0AB609C1" w14:textId="7501E005"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SSATP</w:t>
            </w:r>
          </w:p>
        </w:tc>
        <w:tc>
          <w:tcPr>
            <w:tcW w:w="6143" w:type="dxa"/>
            <w:tcMar>
              <w:left w:w="108" w:type="dxa"/>
              <w:right w:w="108" w:type="dxa"/>
            </w:tcMar>
            <w:vAlign w:val="center"/>
          </w:tcPr>
          <w:p w14:paraId="78AD38F9" w14:textId="01B134D1"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Provide policy guidance and support for the integration of energy efficiency and sustainability in transportation policies across Africa.</w:t>
            </w:r>
          </w:p>
        </w:tc>
      </w:tr>
      <w:tr w:rsidR="3AA1B05C" w:rsidRPr="00662906" w14:paraId="2ED265A2" w14:textId="77777777" w:rsidTr="007A658B">
        <w:trPr>
          <w:trHeight w:val="300"/>
        </w:trPr>
        <w:tc>
          <w:tcPr>
            <w:tcW w:w="2787" w:type="dxa"/>
            <w:tcMar>
              <w:left w:w="108" w:type="dxa"/>
              <w:right w:w="108" w:type="dxa"/>
            </w:tcMar>
            <w:vAlign w:val="center"/>
          </w:tcPr>
          <w:p w14:paraId="0649EBF3" w14:textId="536E5FDD"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Sustainable Energy Africa (SEA)</w:t>
            </w:r>
          </w:p>
        </w:tc>
        <w:tc>
          <w:tcPr>
            <w:tcW w:w="6143" w:type="dxa"/>
            <w:tcMar>
              <w:left w:w="108" w:type="dxa"/>
              <w:right w:w="108" w:type="dxa"/>
            </w:tcMar>
            <w:vAlign w:val="center"/>
          </w:tcPr>
          <w:p w14:paraId="118DD639" w14:textId="0643DADF"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Provide technical assistance and policy support for sustainable energy initiatives, focusing on urban energy planning and policy harmonization.</w:t>
            </w:r>
          </w:p>
        </w:tc>
      </w:tr>
      <w:tr w:rsidR="3AA1B05C" w:rsidRPr="00662906" w14:paraId="3C77DAB0" w14:textId="77777777" w:rsidTr="007A658B">
        <w:trPr>
          <w:trHeight w:val="300"/>
        </w:trPr>
        <w:tc>
          <w:tcPr>
            <w:tcW w:w="2787" w:type="dxa"/>
            <w:tcMar>
              <w:left w:w="108" w:type="dxa"/>
              <w:right w:w="108" w:type="dxa"/>
            </w:tcMar>
            <w:vAlign w:val="center"/>
          </w:tcPr>
          <w:p w14:paraId="2F4F40F1" w14:textId="227D3EF6"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African Sustainable Energy Association (AFSEA)</w:t>
            </w:r>
          </w:p>
        </w:tc>
        <w:tc>
          <w:tcPr>
            <w:tcW w:w="6143" w:type="dxa"/>
            <w:tcMar>
              <w:left w:w="108" w:type="dxa"/>
              <w:right w:w="108" w:type="dxa"/>
            </w:tcMar>
            <w:vAlign w:val="center"/>
          </w:tcPr>
          <w:p w14:paraId="7791D39C" w14:textId="79F4B1F2"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Advocate for sustainable energy policies and practices, supporting the development and deployment of renewable energy sources across Africa.</w:t>
            </w:r>
          </w:p>
        </w:tc>
      </w:tr>
      <w:tr w:rsidR="3AA1B05C" w:rsidRPr="00662906" w14:paraId="1E8FBC46" w14:textId="77777777" w:rsidTr="007A658B">
        <w:trPr>
          <w:trHeight w:val="300"/>
        </w:trPr>
        <w:tc>
          <w:tcPr>
            <w:tcW w:w="2787" w:type="dxa"/>
            <w:tcMar>
              <w:left w:w="108" w:type="dxa"/>
              <w:right w:w="108" w:type="dxa"/>
            </w:tcMar>
            <w:vAlign w:val="center"/>
          </w:tcPr>
          <w:p w14:paraId="0F296A62" w14:textId="7B1B40F4"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Pan-African Manufacturers Association (PAMA)</w:t>
            </w:r>
          </w:p>
        </w:tc>
        <w:tc>
          <w:tcPr>
            <w:tcW w:w="6143" w:type="dxa"/>
            <w:tcMar>
              <w:left w:w="108" w:type="dxa"/>
              <w:right w:w="108" w:type="dxa"/>
            </w:tcMar>
            <w:vAlign w:val="center"/>
          </w:tcPr>
          <w:p w14:paraId="1873DFFD" w14:textId="3B5B97B6"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Promote energy efficiency and sustainable manufacturing practices within the African manufacturing industry.</w:t>
            </w:r>
          </w:p>
        </w:tc>
      </w:tr>
      <w:tr w:rsidR="3AA1B05C" w:rsidRPr="00662906" w14:paraId="56236B31" w14:textId="77777777" w:rsidTr="007A658B">
        <w:trPr>
          <w:trHeight w:val="300"/>
        </w:trPr>
        <w:tc>
          <w:tcPr>
            <w:tcW w:w="2787" w:type="dxa"/>
            <w:tcMar>
              <w:left w:w="108" w:type="dxa"/>
              <w:right w:w="108" w:type="dxa"/>
            </w:tcMar>
            <w:vAlign w:val="center"/>
          </w:tcPr>
          <w:p w14:paraId="4D94CF62" w14:textId="68F5F121"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International Federation of Consulting Engineers (FIDIC) Africa – (Association of consulting Engineers in Africa)</w:t>
            </w:r>
          </w:p>
        </w:tc>
        <w:tc>
          <w:tcPr>
            <w:tcW w:w="6143" w:type="dxa"/>
            <w:tcMar>
              <w:left w:w="108" w:type="dxa"/>
              <w:right w:w="108" w:type="dxa"/>
            </w:tcMar>
            <w:vAlign w:val="center"/>
          </w:tcPr>
          <w:p w14:paraId="2180062E" w14:textId="43D7F244" w:rsidR="3AA1B05C" w:rsidRPr="00662906" w:rsidRDefault="3AA1B05C" w:rsidP="007A658B">
            <w:pPr>
              <w:spacing w:before="40" w:after="40" w:line="240" w:lineRule="auto"/>
              <w:ind w:left="144"/>
              <w:jc w:val="center"/>
              <w:rPr>
                <w:rFonts w:eastAsia="Arial" w:cs="Arial"/>
                <w:sz w:val="18"/>
                <w:szCs w:val="18"/>
              </w:rPr>
            </w:pPr>
            <w:r w:rsidRPr="00662906">
              <w:rPr>
                <w:rFonts w:eastAsia="Arial" w:cs="Arial"/>
                <w:sz w:val="18"/>
                <w:szCs w:val="18"/>
              </w:rPr>
              <w:t>Build capacity among consulting engineers in Africa to integrate energy efficiency and sustainability in their projects.</w:t>
            </w:r>
          </w:p>
        </w:tc>
      </w:tr>
    </w:tbl>
    <w:p w14:paraId="2DB00AE2" w14:textId="6AEDC808" w:rsidR="005D1E2E" w:rsidRPr="00662906" w:rsidRDefault="00D1068D" w:rsidP="00D1068D">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AA22F0C" w14:textId="1F1AA4F9" w:rsidR="3AA1B05C" w:rsidRPr="00662906" w:rsidRDefault="07A1CB6B" w:rsidP="001C34B9">
      <w:pPr>
        <w:pStyle w:val="Caption"/>
      </w:pPr>
      <w:bookmarkStart w:id="784" w:name="_Toc171955613"/>
      <w:bookmarkStart w:id="785" w:name="_Toc176430342"/>
      <w:bookmarkStart w:id="786" w:name="_Toc197433930"/>
      <w:r w:rsidRPr="00662906">
        <w:t xml:space="preserve">Table </w:t>
      </w:r>
      <w:fldSimple w:instr=" SEQ Table \* ARABIC ">
        <w:r w:rsidR="00610F61">
          <w:rPr>
            <w:noProof/>
          </w:rPr>
          <w:t>42</w:t>
        </w:r>
      </w:fldSimple>
      <w:r w:rsidR="16791201" w:rsidRPr="00662906">
        <w:t>: Key Regional Stakeholder Organizations for Implementation of the ETSAP</w:t>
      </w:r>
      <w:bookmarkEnd w:id="784"/>
      <w:bookmarkEnd w:id="785"/>
      <w:bookmarkEnd w:id="786"/>
    </w:p>
    <w:tbl>
      <w:tblPr>
        <w:tblW w:w="0" w:type="auto"/>
        <w:tblInd w:w="90"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2595"/>
        <w:gridCol w:w="6305"/>
      </w:tblGrid>
      <w:tr w:rsidR="3AA1B05C" w:rsidRPr="00662906" w14:paraId="38EBB705" w14:textId="77777777" w:rsidTr="007A658B">
        <w:trPr>
          <w:trHeight w:val="454"/>
        </w:trPr>
        <w:tc>
          <w:tcPr>
            <w:tcW w:w="8900" w:type="dxa"/>
            <w:gridSpan w:val="2"/>
            <w:shd w:val="clear" w:color="auto" w:fill="B4A269" w:themeFill="text2"/>
            <w:tcMar>
              <w:left w:w="108" w:type="dxa"/>
              <w:right w:w="108" w:type="dxa"/>
            </w:tcMar>
            <w:vAlign w:val="center"/>
          </w:tcPr>
          <w:p w14:paraId="65C3F6BF" w14:textId="336B6348" w:rsidR="3AA1B05C" w:rsidRPr="00662906" w:rsidRDefault="3AA1B05C" w:rsidP="007A658B">
            <w:pPr>
              <w:spacing w:before="60" w:after="60"/>
              <w:ind w:firstLine="4"/>
              <w:jc w:val="center"/>
              <w:rPr>
                <w:b/>
                <w:color w:val="FFFFFF" w:themeColor="background2"/>
                <w:sz w:val="18"/>
                <w:szCs w:val="18"/>
              </w:rPr>
            </w:pPr>
            <w:r w:rsidRPr="00662906">
              <w:rPr>
                <w:b/>
                <w:color w:val="FFFFFF" w:themeColor="background2"/>
                <w:sz w:val="18"/>
                <w:szCs w:val="18"/>
              </w:rPr>
              <w:t>REGIONAL ORGANIZATIONS</w:t>
            </w:r>
          </w:p>
        </w:tc>
      </w:tr>
      <w:tr w:rsidR="3AA1B05C" w:rsidRPr="00662906" w14:paraId="6190677E" w14:textId="77777777" w:rsidTr="007A658B">
        <w:trPr>
          <w:trHeight w:val="300"/>
        </w:trPr>
        <w:tc>
          <w:tcPr>
            <w:tcW w:w="2595" w:type="dxa"/>
            <w:tcMar>
              <w:left w:w="108" w:type="dxa"/>
              <w:right w:w="108" w:type="dxa"/>
            </w:tcMar>
            <w:vAlign w:val="center"/>
          </w:tcPr>
          <w:p w14:paraId="26CD54C1" w14:textId="7A628199"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Regional Renewable Energy and Energy Efficiency Centres</w:t>
            </w:r>
          </w:p>
        </w:tc>
        <w:tc>
          <w:tcPr>
            <w:tcW w:w="6305" w:type="dxa"/>
            <w:tcMar>
              <w:left w:w="108" w:type="dxa"/>
              <w:right w:w="108" w:type="dxa"/>
            </w:tcMar>
            <w:vAlign w:val="center"/>
          </w:tcPr>
          <w:p w14:paraId="370DA842" w14:textId="1AAB93A4"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Implement regional energy transition initiatives, provide expertise</w:t>
            </w:r>
            <w:r w:rsidR="00F64667" w:rsidRPr="00662906">
              <w:rPr>
                <w:rFonts w:eastAsia="Arial" w:cs="Arial"/>
                <w:sz w:val="18"/>
                <w:szCs w:val="18"/>
              </w:rPr>
              <w:t>,</w:t>
            </w:r>
            <w:r w:rsidRPr="00662906">
              <w:rPr>
                <w:rFonts w:eastAsia="Arial" w:cs="Arial"/>
                <w:sz w:val="18"/>
                <w:szCs w:val="18"/>
              </w:rPr>
              <w:t xml:space="preserve"> and facilitate knowledge transfer and capacity building in renewable energy and efficiency.</w:t>
            </w:r>
          </w:p>
        </w:tc>
      </w:tr>
      <w:tr w:rsidR="3AA1B05C" w:rsidRPr="00662906" w14:paraId="253A1146" w14:textId="77777777" w:rsidTr="007A658B">
        <w:trPr>
          <w:trHeight w:val="300"/>
        </w:trPr>
        <w:tc>
          <w:tcPr>
            <w:tcW w:w="2595" w:type="dxa"/>
            <w:tcMar>
              <w:left w:w="108" w:type="dxa"/>
              <w:right w:w="108" w:type="dxa"/>
            </w:tcMar>
            <w:vAlign w:val="center"/>
          </w:tcPr>
          <w:p w14:paraId="0A5E5B9D" w14:textId="5C35F668"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Power Pools</w:t>
            </w:r>
          </w:p>
        </w:tc>
        <w:tc>
          <w:tcPr>
            <w:tcW w:w="6305" w:type="dxa"/>
            <w:tcMar>
              <w:left w:w="108" w:type="dxa"/>
              <w:right w:w="108" w:type="dxa"/>
            </w:tcMar>
            <w:vAlign w:val="center"/>
          </w:tcPr>
          <w:p w14:paraId="6EAADC96" w14:textId="28C37581"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Enhance regional power cooperation and integration, promote energy-efficient and renewable power solutions within the regional grids.</w:t>
            </w:r>
          </w:p>
        </w:tc>
      </w:tr>
      <w:tr w:rsidR="3AA1B05C" w:rsidRPr="00662906" w14:paraId="414C7F32" w14:textId="77777777" w:rsidTr="007A658B">
        <w:trPr>
          <w:trHeight w:val="300"/>
        </w:trPr>
        <w:tc>
          <w:tcPr>
            <w:tcW w:w="2595" w:type="dxa"/>
            <w:tcMar>
              <w:left w:w="108" w:type="dxa"/>
              <w:right w:w="108" w:type="dxa"/>
            </w:tcMar>
            <w:vAlign w:val="center"/>
          </w:tcPr>
          <w:p w14:paraId="49D8FBC0" w14:textId="7B8F9231"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Regional Regulatory Authorities</w:t>
            </w:r>
          </w:p>
        </w:tc>
        <w:tc>
          <w:tcPr>
            <w:tcW w:w="6305" w:type="dxa"/>
            <w:tcMar>
              <w:left w:w="108" w:type="dxa"/>
              <w:right w:w="108" w:type="dxa"/>
            </w:tcMar>
            <w:vAlign w:val="center"/>
          </w:tcPr>
          <w:p w14:paraId="7BAEBD1F" w14:textId="6D7F95ED"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Harmonize energy policies and regulations across the region to support a unified approach to the energy transition.</w:t>
            </w:r>
          </w:p>
        </w:tc>
      </w:tr>
      <w:tr w:rsidR="3AA1B05C" w:rsidRPr="00662906" w14:paraId="7DC877F9" w14:textId="77777777" w:rsidTr="007A658B">
        <w:trPr>
          <w:trHeight w:val="300"/>
        </w:trPr>
        <w:tc>
          <w:tcPr>
            <w:tcW w:w="2595" w:type="dxa"/>
            <w:tcMar>
              <w:left w:w="108" w:type="dxa"/>
              <w:right w:w="108" w:type="dxa"/>
            </w:tcMar>
            <w:vAlign w:val="center"/>
          </w:tcPr>
          <w:p w14:paraId="760347D4" w14:textId="21338390"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Regional Regulatory Associations</w:t>
            </w:r>
          </w:p>
        </w:tc>
        <w:tc>
          <w:tcPr>
            <w:tcW w:w="6305" w:type="dxa"/>
            <w:tcMar>
              <w:left w:w="108" w:type="dxa"/>
              <w:right w:w="108" w:type="dxa"/>
            </w:tcMar>
            <w:vAlign w:val="center"/>
          </w:tcPr>
          <w:p w14:paraId="10480DD9" w14:textId="52A78A8D"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Support regional harmonization of energy policies and foster a cooperative regulatory environment for energy transition.</w:t>
            </w:r>
          </w:p>
        </w:tc>
      </w:tr>
      <w:tr w:rsidR="3AA1B05C" w:rsidRPr="00662906" w14:paraId="57995EF6" w14:textId="77777777" w:rsidTr="007A658B">
        <w:trPr>
          <w:trHeight w:val="300"/>
        </w:trPr>
        <w:tc>
          <w:tcPr>
            <w:tcW w:w="2595" w:type="dxa"/>
            <w:tcMar>
              <w:left w:w="108" w:type="dxa"/>
              <w:right w:w="108" w:type="dxa"/>
            </w:tcMar>
            <w:vAlign w:val="center"/>
          </w:tcPr>
          <w:p w14:paraId="060DAA72" w14:textId="1C3815E1"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lastRenderedPageBreak/>
              <w:t>African Renewable Energy Alliance (AREA)</w:t>
            </w:r>
          </w:p>
        </w:tc>
        <w:tc>
          <w:tcPr>
            <w:tcW w:w="6305" w:type="dxa"/>
            <w:tcMar>
              <w:left w:w="108" w:type="dxa"/>
              <w:right w:w="108" w:type="dxa"/>
            </w:tcMar>
            <w:vAlign w:val="center"/>
          </w:tcPr>
          <w:p w14:paraId="28063050" w14:textId="3F118017"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Facilitates multi-stakeholder dialogue and partnerships to advance renewable energy adoption across the continent.</w:t>
            </w:r>
          </w:p>
        </w:tc>
      </w:tr>
      <w:tr w:rsidR="3AA1B05C" w:rsidRPr="00662906" w14:paraId="0937A0A6" w14:textId="77777777" w:rsidTr="007A658B">
        <w:trPr>
          <w:trHeight w:val="300"/>
        </w:trPr>
        <w:tc>
          <w:tcPr>
            <w:tcW w:w="2595" w:type="dxa"/>
            <w:tcMar>
              <w:left w:w="108" w:type="dxa"/>
              <w:right w:w="108" w:type="dxa"/>
            </w:tcMar>
            <w:vAlign w:val="center"/>
          </w:tcPr>
          <w:p w14:paraId="13117BFC" w14:textId="3BCE7BDA" w:rsidR="3AA1B05C" w:rsidRPr="00662906" w:rsidRDefault="356260DD" w:rsidP="007A658B">
            <w:pPr>
              <w:spacing w:before="40" w:after="40" w:line="240" w:lineRule="auto"/>
              <w:jc w:val="center"/>
              <w:rPr>
                <w:rFonts w:eastAsia="Arial" w:cs="Arial"/>
                <w:sz w:val="18"/>
                <w:szCs w:val="18"/>
              </w:rPr>
            </w:pPr>
            <w:r w:rsidRPr="00662906">
              <w:rPr>
                <w:rFonts w:eastAsia="Arial" w:cs="Arial"/>
                <w:sz w:val="18"/>
                <w:szCs w:val="18"/>
              </w:rPr>
              <w:t xml:space="preserve">Regional Development Banks (e.g., </w:t>
            </w:r>
            <w:r w:rsidR="0623C953" w:rsidRPr="00662906">
              <w:rPr>
                <w:rFonts w:eastAsia="Arial" w:cs="Arial"/>
                <w:sz w:val="18"/>
                <w:szCs w:val="18"/>
              </w:rPr>
              <w:t>West African Development Bank (</w:t>
            </w:r>
            <w:r w:rsidRPr="00662906">
              <w:rPr>
                <w:rFonts w:eastAsia="Arial" w:cs="Arial"/>
                <w:sz w:val="18"/>
                <w:szCs w:val="18"/>
              </w:rPr>
              <w:t>BOAD</w:t>
            </w:r>
            <w:r w:rsidR="0623C953" w:rsidRPr="00662906">
              <w:rPr>
                <w:rFonts w:eastAsia="Arial" w:cs="Arial"/>
                <w:sz w:val="18"/>
                <w:szCs w:val="18"/>
              </w:rPr>
              <w:t>)</w:t>
            </w:r>
            <w:r w:rsidRPr="00662906">
              <w:rPr>
                <w:rFonts w:eastAsia="Arial" w:cs="Arial"/>
                <w:sz w:val="18"/>
                <w:szCs w:val="18"/>
              </w:rPr>
              <w:t>, D</w:t>
            </w:r>
            <w:r w:rsidR="07BB238C" w:rsidRPr="00662906">
              <w:rPr>
                <w:rFonts w:eastAsia="Arial" w:cs="Arial"/>
                <w:sz w:val="18"/>
                <w:szCs w:val="18"/>
              </w:rPr>
              <w:t>evelopment Bank of South Africa (D</w:t>
            </w:r>
            <w:r w:rsidRPr="00662906">
              <w:rPr>
                <w:rFonts w:eastAsia="Arial" w:cs="Arial"/>
                <w:sz w:val="18"/>
                <w:szCs w:val="18"/>
              </w:rPr>
              <w:t>BSA)</w:t>
            </w:r>
          </w:p>
        </w:tc>
        <w:tc>
          <w:tcPr>
            <w:tcW w:w="6305" w:type="dxa"/>
            <w:tcMar>
              <w:left w:w="108" w:type="dxa"/>
              <w:right w:w="108" w:type="dxa"/>
            </w:tcMar>
            <w:vAlign w:val="center"/>
          </w:tcPr>
          <w:p w14:paraId="4E60C678" w14:textId="57BEB377" w:rsidR="3AA1B05C" w:rsidRPr="00662906" w:rsidRDefault="3AA1B05C" w:rsidP="007A658B">
            <w:pPr>
              <w:spacing w:before="40" w:after="40" w:line="240" w:lineRule="auto"/>
              <w:jc w:val="center"/>
              <w:rPr>
                <w:rFonts w:eastAsia="Arial" w:cs="Arial"/>
                <w:sz w:val="18"/>
                <w:szCs w:val="18"/>
              </w:rPr>
            </w:pPr>
            <w:r w:rsidRPr="00662906">
              <w:rPr>
                <w:rFonts w:eastAsia="Arial" w:cs="Arial"/>
                <w:sz w:val="18"/>
                <w:szCs w:val="18"/>
              </w:rPr>
              <w:t>Offer regional expertise and financial support for sustainable energy projects, contributing to the development of regional energy infrastructures.</w:t>
            </w:r>
          </w:p>
        </w:tc>
      </w:tr>
      <w:tr w:rsidR="3AA1B05C" w:rsidRPr="00662906" w14:paraId="6353E55E" w14:textId="77777777" w:rsidTr="007A658B">
        <w:trPr>
          <w:trHeight w:val="454"/>
        </w:trPr>
        <w:tc>
          <w:tcPr>
            <w:tcW w:w="8900" w:type="dxa"/>
            <w:gridSpan w:val="2"/>
            <w:shd w:val="clear" w:color="auto" w:fill="B4A269" w:themeFill="text2"/>
            <w:tcMar>
              <w:left w:w="108" w:type="dxa"/>
              <w:right w:w="108" w:type="dxa"/>
            </w:tcMar>
            <w:vAlign w:val="center"/>
          </w:tcPr>
          <w:p w14:paraId="48C3096C" w14:textId="2A5D8CBC" w:rsidR="3AA1B05C" w:rsidRPr="00662906" w:rsidRDefault="3AA1B05C" w:rsidP="007A658B">
            <w:pPr>
              <w:spacing w:before="60" w:after="60"/>
              <w:ind w:firstLine="4"/>
              <w:jc w:val="center"/>
              <w:rPr>
                <w:b/>
                <w:color w:val="FFFFFF" w:themeColor="background2"/>
                <w:sz w:val="18"/>
                <w:szCs w:val="18"/>
              </w:rPr>
            </w:pPr>
            <w:r w:rsidRPr="00662906">
              <w:rPr>
                <w:b/>
                <w:color w:val="FFFFFF" w:themeColor="background2"/>
                <w:sz w:val="18"/>
                <w:szCs w:val="18"/>
              </w:rPr>
              <w:t>REGIONAL SECTORAL STAKEHIOLDERS</w:t>
            </w:r>
          </w:p>
        </w:tc>
      </w:tr>
      <w:tr w:rsidR="3AA1B05C" w:rsidRPr="00662906" w14:paraId="73BADCAD" w14:textId="77777777" w:rsidTr="007A658B">
        <w:trPr>
          <w:trHeight w:val="300"/>
        </w:trPr>
        <w:tc>
          <w:tcPr>
            <w:tcW w:w="2595" w:type="dxa"/>
            <w:tcMar>
              <w:left w:w="108" w:type="dxa"/>
              <w:right w:w="108" w:type="dxa"/>
            </w:tcMar>
            <w:vAlign w:val="center"/>
          </w:tcPr>
          <w:p w14:paraId="4D7EDA54" w14:textId="23DDB30A"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East African Manufacturers Association (EAMA)</w:t>
            </w:r>
          </w:p>
        </w:tc>
        <w:tc>
          <w:tcPr>
            <w:tcW w:w="6305" w:type="dxa"/>
            <w:tcMar>
              <w:left w:w="108" w:type="dxa"/>
              <w:right w:w="108" w:type="dxa"/>
            </w:tcMar>
            <w:vAlign w:val="center"/>
          </w:tcPr>
          <w:p w14:paraId="75269BFD" w14:textId="7C574D67"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Support the adoption of energy efficiency measures in the manufacturing sector in East Africa.</w:t>
            </w:r>
          </w:p>
        </w:tc>
      </w:tr>
      <w:tr w:rsidR="3AA1B05C" w:rsidRPr="00662906" w14:paraId="3EB7ADC5" w14:textId="77777777" w:rsidTr="007A658B">
        <w:trPr>
          <w:trHeight w:val="300"/>
        </w:trPr>
        <w:tc>
          <w:tcPr>
            <w:tcW w:w="2595" w:type="dxa"/>
            <w:tcMar>
              <w:left w:w="108" w:type="dxa"/>
              <w:right w:w="108" w:type="dxa"/>
            </w:tcMar>
            <w:vAlign w:val="center"/>
          </w:tcPr>
          <w:p w14:paraId="1C841630" w14:textId="12E93152"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Federation of West African Manufacturers Associations (FEWAMA)</w:t>
            </w:r>
          </w:p>
        </w:tc>
        <w:tc>
          <w:tcPr>
            <w:tcW w:w="6305" w:type="dxa"/>
            <w:tcMar>
              <w:left w:w="108" w:type="dxa"/>
              <w:right w:w="108" w:type="dxa"/>
            </w:tcMar>
            <w:vAlign w:val="center"/>
          </w:tcPr>
          <w:p w14:paraId="58C14C69" w14:textId="729628BF"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Advocate for and support the implementation of energy efficiency and sustainability initiatives in West African manufacturing.</w:t>
            </w:r>
          </w:p>
        </w:tc>
      </w:tr>
      <w:tr w:rsidR="3AA1B05C" w:rsidRPr="00662906" w14:paraId="23F4AB1B" w14:textId="77777777" w:rsidTr="007A658B">
        <w:trPr>
          <w:trHeight w:val="300"/>
        </w:trPr>
        <w:tc>
          <w:tcPr>
            <w:tcW w:w="2595" w:type="dxa"/>
            <w:tcMar>
              <w:left w:w="108" w:type="dxa"/>
              <w:right w:w="108" w:type="dxa"/>
            </w:tcMar>
            <w:vAlign w:val="center"/>
          </w:tcPr>
          <w:p w14:paraId="4036A01A" w14:textId="20DE9550"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Southern African Energy Efficiency Confederation (SAEEC)</w:t>
            </w:r>
          </w:p>
        </w:tc>
        <w:tc>
          <w:tcPr>
            <w:tcW w:w="6305" w:type="dxa"/>
            <w:tcMar>
              <w:left w:w="108" w:type="dxa"/>
              <w:right w:w="108" w:type="dxa"/>
            </w:tcMar>
            <w:vAlign w:val="center"/>
          </w:tcPr>
          <w:p w14:paraId="6B43C065" w14:textId="6E40D6BE"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Promote awareness and implementation of energy efficiency measures in Southern Africa, providing training and networking opportunities.</w:t>
            </w:r>
          </w:p>
        </w:tc>
      </w:tr>
      <w:tr w:rsidR="3AA1B05C" w:rsidRPr="00662906" w14:paraId="0E4820F5" w14:textId="77777777" w:rsidTr="007A658B">
        <w:trPr>
          <w:trHeight w:val="300"/>
        </w:trPr>
        <w:tc>
          <w:tcPr>
            <w:tcW w:w="2595" w:type="dxa"/>
            <w:tcMar>
              <w:left w:w="108" w:type="dxa"/>
              <w:right w:w="108" w:type="dxa"/>
            </w:tcMar>
            <w:vAlign w:val="center"/>
          </w:tcPr>
          <w:p w14:paraId="33A03421" w14:textId="71A2D211"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Energy services Companies Association of Southern Africa (EASA)</w:t>
            </w:r>
          </w:p>
        </w:tc>
        <w:tc>
          <w:tcPr>
            <w:tcW w:w="6305" w:type="dxa"/>
            <w:tcMar>
              <w:left w:w="108" w:type="dxa"/>
              <w:right w:w="108" w:type="dxa"/>
            </w:tcMar>
            <w:vAlign w:val="center"/>
          </w:tcPr>
          <w:p w14:paraId="4AE11497" w14:textId="55189C83" w:rsidR="3AA1B05C" w:rsidRPr="00662906" w:rsidRDefault="3AA1B05C" w:rsidP="007A658B">
            <w:pPr>
              <w:spacing w:before="40" w:after="40" w:line="240" w:lineRule="auto"/>
              <w:jc w:val="center"/>
              <w:rPr>
                <w:rFonts w:eastAsia="Arial" w:cs="Arial"/>
                <w:color w:val="394A58"/>
                <w:sz w:val="18"/>
                <w:szCs w:val="18"/>
              </w:rPr>
            </w:pPr>
            <w:r w:rsidRPr="00662906">
              <w:rPr>
                <w:rFonts w:eastAsia="Arial" w:cs="Arial"/>
                <w:color w:val="394A58"/>
                <w:sz w:val="18"/>
                <w:szCs w:val="18"/>
              </w:rPr>
              <w:t>Facilitate the development and support of ESCOs, enhancing energy efficiency services and solutions.</w:t>
            </w:r>
          </w:p>
        </w:tc>
      </w:tr>
    </w:tbl>
    <w:p w14:paraId="48EA58FE" w14:textId="4BDC3638" w:rsidR="00D1068D" w:rsidRPr="00662906" w:rsidRDefault="00D1068D" w:rsidP="3AA1B05C">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011F4397" w14:textId="725AB9E1" w:rsidR="3AA1B05C" w:rsidRPr="00662906" w:rsidRDefault="00826251" w:rsidP="00D1068D">
      <w:r w:rsidRPr="00662906">
        <w:t>Implementation</w:t>
      </w:r>
      <w:r w:rsidR="0D731287" w:rsidRPr="00662906">
        <w:t xml:space="preserve"> of the ETSAP will </w:t>
      </w:r>
      <w:r w:rsidR="1D9B1ABD" w:rsidRPr="00662906">
        <w:t>take</w:t>
      </w:r>
      <w:r w:rsidR="0D731287" w:rsidRPr="00662906">
        <w:t xml:space="preserve"> place at Member States level </w:t>
      </w:r>
      <w:r w:rsidR="4A7DABCE" w:rsidRPr="00662906">
        <w:t>with</w:t>
      </w:r>
      <w:r w:rsidR="0D731287" w:rsidRPr="00662906">
        <w:t xml:space="preserve"> the </w:t>
      </w:r>
      <w:r w:rsidR="2A93403D" w:rsidRPr="00662906">
        <w:t xml:space="preserve">various </w:t>
      </w:r>
      <w:r w:rsidR="0D731287" w:rsidRPr="00662906">
        <w:t xml:space="preserve">continental and </w:t>
      </w:r>
      <w:r w:rsidR="00B61978" w:rsidRPr="00662906">
        <w:t>regional</w:t>
      </w:r>
      <w:r w:rsidR="0D731287" w:rsidRPr="00662906">
        <w:t xml:space="preserve"> </w:t>
      </w:r>
      <w:r w:rsidR="2132F126" w:rsidRPr="00662906">
        <w:t>or</w:t>
      </w:r>
      <w:r w:rsidR="4925257F" w:rsidRPr="00662906">
        <w:t xml:space="preserve">ganizations </w:t>
      </w:r>
      <w:r w:rsidR="137B0463" w:rsidRPr="00662906">
        <w:t>supporting</w:t>
      </w:r>
      <w:r w:rsidR="0D731287" w:rsidRPr="00662906">
        <w:t xml:space="preserve"> </w:t>
      </w:r>
      <w:r w:rsidR="55485883" w:rsidRPr="00662906">
        <w:t xml:space="preserve">with </w:t>
      </w:r>
      <w:r w:rsidR="0D731287" w:rsidRPr="00662906">
        <w:t>resource mobilization</w:t>
      </w:r>
      <w:r w:rsidR="72D502B6" w:rsidRPr="00662906">
        <w:t>, harmonization</w:t>
      </w:r>
      <w:r w:rsidR="6DCC36F6" w:rsidRPr="00662906">
        <w:t xml:space="preserve"> and policy convergence and</w:t>
      </w:r>
      <w:r w:rsidR="72D502B6" w:rsidRPr="00662906">
        <w:t xml:space="preserve"> capacity building.</w:t>
      </w:r>
      <w:r w:rsidR="34812794" w:rsidRPr="00662906">
        <w:t xml:space="preserve"> </w:t>
      </w:r>
    </w:p>
    <w:p w14:paraId="00EF7251" w14:textId="1BC89857" w:rsidR="3AA1B05C" w:rsidRPr="00662906" w:rsidRDefault="225F23DD" w:rsidP="00D1068D">
      <w:r w:rsidRPr="00662906">
        <w:t xml:space="preserve">The key </w:t>
      </w:r>
      <w:r w:rsidR="5B7DA9BC" w:rsidRPr="00662906">
        <w:t>MS</w:t>
      </w:r>
      <w:r w:rsidRPr="00662906">
        <w:t xml:space="preserve"> entities that will be important in implementing the ETSAP are presented </w:t>
      </w:r>
      <w:r w:rsidR="2F9C8FAA" w:rsidRPr="00662906">
        <w:t xml:space="preserve">in </w:t>
      </w:r>
      <w:r w:rsidR="38D5E639" w:rsidRPr="00662906">
        <w:t xml:space="preserve">Table </w:t>
      </w:r>
      <w:r w:rsidR="00E431CB" w:rsidRPr="00662906">
        <w:t>4</w:t>
      </w:r>
      <w:r w:rsidR="00A5461B" w:rsidRPr="00662906">
        <w:t>3</w:t>
      </w:r>
      <w:r w:rsidR="7EDB1877" w:rsidRPr="00662906">
        <w:t xml:space="preserve"> </w:t>
      </w:r>
      <w:r w:rsidRPr="00662906">
        <w:t>below</w:t>
      </w:r>
      <w:r w:rsidR="7EDB1877" w:rsidRPr="00662906">
        <w:t>.</w:t>
      </w:r>
    </w:p>
    <w:p w14:paraId="5D2A0A8E" w14:textId="11A551DB" w:rsidR="2FB38371" w:rsidRPr="00662906" w:rsidRDefault="07A1CB6B" w:rsidP="001C34B9">
      <w:pPr>
        <w:pStyle w:val="Caption"/>
        <w:rPr>
          <w:rFonts w:eastAsia="Arial" w:cs="Arial"/>
        </w:rPr>
      </w:pPr>
      <w:bookmarkStart w:id="787" w:name="_Toc171955614"/>
      <w:bookmarkStart w:id="788" w:name="_Toc176430343"/>
      <w:bookmarkStart w:id="789" w:name="_Toc197433931"/>
      <w:r w:rsidRPr="00662906">
        <w:t xml:space="preserve">Table </w:t>
      </w:r>
      <w:fldSimple w:instr=" SEQ Table \* ARABIC ">
        <w:r w:rsidR="00610F61">
          <w:rPr>
            <w:noProof/>
          </w:rPr>
          <w:t>43</w:t>
        </w:r>
      </w:fldSimple>
      <w:r w:rsidR="4CF7D7B0" w:rsidRPr="00662906">
        <w:t>:</w:t>
      </w:r>
      <w:r w:rsidR="6F8B24E4" w:rsidRPr="00662906">
        <w:t xml:space="preserve"> </w:t>
      </w:r>
      <w:r w:rsidR="6E9DC084" w:rsidRPr="00662906">
        <w:t xml:space="preserve">Institutional entitles and their role in the </w:t>
      </w:r>
      <w:r w:rsidR="6F8B24E4" w:rsidRPr="00662906">
        <w:t>Member States</w:t>
      </w:r>
      <w:bookmarkEnd w:id="787"/>
      <w:bookmarkEnd w:id="788"/>
      <w:bookmarkEnd w:id="789"/>
      <w:r w:rsidR="6F8B24E4" w:rsidRPr="00662906">
        <w:rPr>
          <w:rFonts w:eastAsia="Arial" w:cs="Arial"/>
        </w:rPr>
        <w:t xml:space="preserve"> </w:t>
      </w:r>
      <w:r w:rsidR="40093964" w:rsidRPr="00662906">
        <w:rPr>
          <w:rFonts w:eastAsia="Arial" w:cs="Arial"/>
        </w:rPr>
        <w:t xml:space="preserve"> </w:t>
      </w:r>
    </w:p>
    <w:tbl>
      <w:tblPr>
        <w:tblStyle w:val="TableGrid"/>
        <w:tblW w:w="8697"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2105"/>
        <w:gridCol w:w="2932"/>
        <w:gridCol w:w="3660"/>
      </w:tblGrid>
      <w:tr w:rsidR="3AA1B05C" w:rsidRPr="00662906" w14:paraId="1412599E" w14:textId="77777777" w:rsidTr="00561F4E">
        <w:trPr>
          <w:trHeight w:val="454"/>
        </w:trPr>
        <w:tc>
          <w:tcPr>
            <w:tcW w:w="8697" w:type="dxa"/>
            <w:gridSpan w:val="3"/>
            <w:shd w:val="clear" w:color="auto" w:fill="B4A269" w:themeFill="text2"/>
            <w:tcMar>
              <w:left w:w="108" w:type="dxa"/>
              <w:right w:w="108" w:type="dxa"/>
            </w:tcMar>
            <w:vAlign w:val="center"/>
          </w:tcPr>
          <w:p w14:paraId="643F732E" w14:textId="102773D5" w:rsidR="3AA1B05C" w:rsidRPr="00662906" w:rsidRDefault="3AA1B05C" w:rsidP="00561F4E">
            <w:pPr>
              <w:jc w:val="center"/>
              <w:rPr>
                <w:rFonts w:eastAsia="Arial" w:cs="Arial"/>
                <w:b/>
                <w:color w:val="FFFFFF" w:themeColor="background2"/>
                <w:sz w:val="18"/>
                <w:szCs w:val="18"/>
              </w:rPr>
            </w:pPr>
            <w:r w:rsidRPr="00662906">
              <w:rPr>
                <w:rFonts w:eastAsia="Arial" w:cs="Arial"/>
                <w:b/>
                <w:color w:val="FFFFFF" w:themeColor="background2"/>
                <w:sz w:val="18"/>
                <w:szCs w:val="18"/>
              </w:rPr>
              <w:t>MEMBER STATES ORGANIZATIONS</w:t>
            </w:r>
          </w:p>
        </w:tc>
      </w:tr>
      <w:tr w:rsidR="3AA1B05C" w:rsidRPr="00662906" w14:paraId="12B5D5A6" w14:textId="77777777" w:rsidTr="00561F4E">
        <w:trPr>
          <w:trHeight w:val="300"/>
        </w:trPr>
        <w:tc>
          <w:tcPr>
            <w:tcW w:w="2105" w:type="dxa"/>
            <w:shd w:val="clear" w:color="auto" w:fill="B4A269" w:themeFill="text2"/>
            <w:tcMar>
              <w:left w:w="108" w:type="dxa"/>
              <w:right w:w="108" w:type="dxa"/>
            </w:tcMar>
            <w:vAlign w:val="center"/>
          </w:tcPr>
          <w:p w14:paraId="75549594" w14:textId="3AE4673C" w:rsidR="3AA1B05C" w:rsidRPr="00662906" w:rsidRDefault="3AA1B05C" w:rsidP="00561F4E">
            <w:pPr>
              <w:jc w:val="center"/>
              <w:rPr>
                <w:rFonts w:eastAsia="Arial" w:cs="Arial"/>
                <w:b/>
                <w:sz w:val="18"/>
                <w:szCs w:val="18"/>
              </w:rPr>
            </w:pPr>
            <w:r w:rsidRPr="00662906">
              <w:rPr>
                <w:rFonts w:eastAsia="Arial" w:cs="Arial"/>
                <w:b/>
                <w:color w:val="FFFFFF" w:themeColor="background2"/>
                <w:sz w:val="18"/>
                <w:szCs w:val="18"/>
              </w:rPr>
              <w:t>Organization</w:t>
            </w:r>
          </w:p>
        </w:tc>
        <w:tc>
          <w:tcPr>
            <w:tcW w:w="2932" w:type="dxa"/>
            <w:shd w:val="clear" w:color="auto" w:fill="B4A269" w:themeFill="text2"/>
            <w:tcMar>
              <w:left w:w="108" w:type="dxa"/>
              <w:right w:w="108" w:type="dxa"/>
            </w:tcMar>
            <w:vAlign w:val="center"/>
          </w:tcPr>
          <w:p w14:paraId="7B51145B" w14:textId="4A172559" w:rsidR="3AA1B05C" w:rsidRPr="00662906" w:rsidRDefault="3AA1B05C" w:rsidP="00561F4E">
            <w:pPr>
              <w:jc w:val="center"/>
              <w:rPr>
                <w:rFonts w:eastAsia="Arial" w:cs="Arial"/>
                <w:b/>
                <w:color w:val="FFFFFF" w:themeColor="background2"/>
                <w:sz w:val="18"/>
                <w:szCs w:val="18"/>
              </w:rPr>
            </w:pPr>
            <w:r w:rsidRPr="00662906">
              <w:rPr>
                <w:rFonts w:eastAsia="Arial" w:cs="Arial"/>
                <w:b/>
                <w:color w:val="FFFFFF" w:themeColor="background2"/>
                <w:sz w:val="18"/>
                <w:szCs w:val="18"/>
              </w:rPr>
              <w:t>Role on ETSAP</w:t>
            </w:r>
          </w:p>
        </w:tc>
        <w:tc>
          <w:tcPr>
            <w:tcW w:w="3660" w:type="dxa"/>
            <w:shd w:val="clear" w:color="auto" w:fill="B4A269" w:themeFill="text2"/>
            <w:tcMar>
              <w:left w:w="108" w:type="dxa"/>
              <w:right w:w="108" w:type="dxa"/>
            </w:tcMar>
            <w:vAlign w:val="center"/>
          </w:tcPr>
          <w:p w14:paraId="62A95FAD" w14:textId="0A49B779" w:rsidR="3AA1B05C" w:rsidRPr="00662906" w:rsidRDefault="3AA1B05C" w:rsidP="00561F4E">
            <w:pPr>
              <w:jc w:val="center"/>
              <w:rPr>
                <w:rFonts w:eastAsia="Arial" w:cs="Arial"/>
                <w:b/>
                <w:color w:val="FFFFFF" w:themeColor="background2"/>
                <w:sz w:val="18"/>
                <w:szCs w:val="18"/>
              </w:rPr>
            </w:pPr>
            <w:r w:rsidRPr="00662906">
              <w:rPr>
                <w:rFonts w:eastAsia="Arial" w:cs="Arial"/>
                <w:b/>
                <w:color w:val="FFFFFF" w:themeColor="background2"/>
                <w:sz w:val="18"/>
                <w:szCs w:val="18"/>
              </w:rPr>
              <w:t>Comments</w:t>
            </w:r>
          </w:p>
        </w:tc>
      </w:tr>
      <w:tr w:rsidR="3AA1B05C" w:rsidRPr="00662906" w14:paraId="147A6746" w14:textId="77777777" w:rsidTr="00561F4E">
        <w:trPr>
          <w:trHeight w:val="300"/>
        </w:trPr>
        <w:tc>
          <w:tcPr>
            <w:tcW w:w="2105" w:type="dxa"/>
            <w:tcMar>
              <w:left w:w="108" w:type="dxa"/>
              <w:right w:w="108" w:type="dxa"/>
            </w:tcMar>
            <w:vAlign w:val="center"/>
          </w:tcPr>
          <w:p w14:paraId="7026C671" w14:textId="2383E29F"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Ministries</w:t>
            </w:r>
          </w:p>
        </w:tc>
        <w:tc>
          <w:tcPr>
            <w:tcW w:w="2932" w:type="dxa"/>
            <w:tcMar>
              <w:left w:w="108" w:type="dxa"/>
              <w:right w:w="108" w:type="dxa"/>
            </w:tcMar>
            <w:vAlign w:val="center"/>
          </w:tcPr>
          <w:p w14:paraId="0CCC1861" w14:textId="63651145"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 various sectors involved in the ETSAP will provide policy guidance that can be used for convergence in the RECs and in turn at Continental level</w:t>
            </w:r>
          </w:p>
        </w:tc>
        <w:tc>
          <w:tcPr>
            <w:tcW w:w="3660" w:type="dxa"/>
            <w:tcMar>
              <w:left w:w="108" w:type="dxa"/>
              <w:right w:w="108" w:type="dxa"/>
            </w:tcMar>
            <w:vAlign w:val="center"/>
          </w:tcPr>
          <w:p w14:paraId="28EE1BF5" w14:textId="0872667A"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 xml:space="preserve">Ministries are usual linked via their </w:t>
            </w:r>
            <w:r w:rsidR="007C1DE3" w:rsidRPr="00662906">
              <w:rPr>
                <w:rFonts w:eastAsia="Arial" w:cs="Arial"/>
                <w:color w:val="394A58"/>
                <w:sz w:val="18"/>
                <w:szCs w:val="18"/>
              </w:rPr>
              <w:t>RECs.</w:t>
            </w:r>
            <w:r w:rsidRPr="00662906">
              <w:rPr>
                <w:rFonts w:eastAsia="Arial" w:cs="Arial"/>
                <w:color w:val="394A58"/>
                <w:sz w:val="18"/>
                <w:szCs w:val="18"/>
              </w:rPr>
              <w:t xml:space="preserve"> In some cases</w:t>
            </w:r>
            <w:r w:rsidR="00B61978" w:rsidRPr="00662906">
              <w:rPr>
                <w:rFonts w:eastAsia="Arial" w:cs="Arial"/>
                <w:color w:val="394A58"/>
                <w:sz w:val="18"/>
                <w:szCs w:val="18"/>
              </w:rPr>
              <w:t>,</w:t>
            </w:r>
            <w:r w:rsidRPr="00662906">
              <w:rPr>
                <w:rFonts w:eastAsia="Arial" w:cs="Arial"/>
                <w:color w:val="394A58"/>
                <w:sz w:val="18"/>
                <w:szCs w:val="18"/>
              </w:rPr>
              <w:t xml:space="preserve"> MS ministries have direct links with Continental bodies e.g. AFREC for energy statistics</w:t>
            </w:r>
          </w:p>
        </w:tc>
      </w:tr>
      <w:tr w:rsidR="3AA1B05C" w:rsidRPr="00662906" w14:paraId="56ED76B4" w14:textId="77777777" w:rsidTr="00561F4E">
        <w:trPr>
          <w:trHeight w:val="300"/>
        </w:trPr>
        <w:tc>
          <w:tcPr>
            <w:tcW w:w="2105" w:type="dxa"/>
            <w:tcMar>
              <w:left w:w="108" w:type="dxa"/>
              <w:right w:w="108" w:type="dxa"/>
            </w:tcMar>
            <w:vAlign w:val="center"/>
          </w:tcPr>
          <w:p w14:paraId="73AE8123" w14:textId="3594C029"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Utilities</w:t>
            </w:r>
          </w:p>
        </w:tc>
        <w:tc>
          <w:tcPr>
            <w:tcW w:w="2932" w:type="dxa"/>
            <w:tcMar>
              <w:left w:w="108" w:type="dxa"/>
              <w:right w:w="108" w:type="dxa"/>
            </w:tcMar>
            <w:vAlign w:val="center"/>
          </w:tcPr>
          <w:p w14:paraId="25CC3ACA" w14:textId="1FED3A34"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Power utilities will implement electricity sector initiatives at country level</w:t>
            </w:r>
          </w:p>
        </w:tc>
        <w:tc>
          <w:tcPr>
            <w:tcW w:w="3660" w:type="dxa"/>
            <w:tcMar>
              <w:left w:w="108" w:type="dxa"/>
              <w:right w:w="108" w:type="dxa"/>
            </w:tcMar>
            <w:vAlign w:val="center"/>
          </w:tcPr>
          <w:p w14:paraId="5A01B8E7" w14:textId="3844FD22"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In some countries other sector utilities such as water, ICT would be aligned with the energy sector</w:t>
            </w:r>
          </w:p>
        </w:tc>
      </w:tr>
      <w:tr w:rsidR="3AA1B05C" w:rsidRPr="00662906" w14:paraId="62E686EF" w14:textId="77777777" w:rsidTr="00561F4E">
        <w:trPr>
          <w:trHeight w:val="300"/>
        </w:trPr>
        <w:tc>
          <w:tcPr>
            <w:tcW w:w="2105" w:type="dxa"/>
            <w:tcMar>
              <w:left w:w="108" w:type="dxa"/>
              <w:right w:w="108" w:type="dxa"/>
            </w:tcMar>
            <w:vAlign w:val="center"/>
          </w:tcPr>
          <w:p w14:paraId="2231D92B" w14:textId="36C19E89"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Regulators</w:t>
            </w:r>
          </w:p>
        </w:tc>
        <w:tc>
          <w:tcPr>
            <w:tcW w:w="2932" w:type="dxa"/>
            <w:tcMar>
              <w:left w:w="108" w:type="dxa"/>
              <w:right w:w="108" w:type="dxa"/>
            </w:tcMar>
            <w:vAlign w:val="center"/>
          </w:tcPr>
          <w:p w14:paraId="6D2FD828" w14:textId="1CB442DB"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Energy regulators will be involved with harmonization of legal and regulatory frameworks across the continent.</w:t>
            </w:r>
          </w:p>
          <w:p w14:paraId="6C2F3C54" w14:textId="238C6733"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 xml:space="preserve">They will also be involved with applications </w:t>
            </w:r>
            <w:r w:rsidR="00D72DE6" w:rsidRPr="00662906">
              <w:rPr>
                <w:rFonts w:eastAsia="Arial" w:cs="Arial"/>
                <w:color w:val="394A58"/>
                <w:sz w:val="18"/>
                <w:szCs w:val="18"/>
              </w:rPr>
              <w:t xml:space="preserve">and enforcement </w:t>
            </w:r>
            <w:r w:rsidRPr="00662906">
              <w:rPr>
                <w:rFonts w:eastAsia="Arial" w:cs="Arial"/>
                <w:color w:val="394A58"/>
                <w:sz w:val="18"/>
                <w:szCs w:val="18"/>
              </w:rPr>
              <w:t>of the regulations</w:t>
            </w:r>
          </w:p>
        </w:tc>
        <w:tc>
          <w:tcPr>
            <w:tcW w:w="3660" w:type="dxa"/>
            <w:tcMar>
              <w:left w:w="108" w:type="dxa"/>
              <w:right w:w="108" w:type="dxa"/>
            </w:tcMar>
            <w:vAlign w:val="center"/>
          </w:tcPr>
          <w:p w14:paraId="179159BC" w14:textId="18DC8D95"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Other sector regulators such as water, communications</w:t>
            </w:r>
            <w:r w:rsidR="004E70B7" w:rsidRPr="00662906">
              <w:rPr>
                <w:rFonts w:eastAsia="Arial" w:cs="Arial"/>
                <w:color w:val="394A58"/>
                <w:sz w:val="18"/>
                <w:szCs w:val="18"/>
              </w:rPr>
              <w:t>, transport</w:t>
            </w:r>
            <w:r w:rsidRPr="00662906">
              <w:rPr>
                <w:rFonts w:eastAsia="Arial" w:cs="Arial"/>
                <w:color w:val="394A58"/>
                <w:sz w:val="18"/>
                <w:szCs w:val="18"/>
              </w:rPr>
              <w:t xml:space="preserve"> would also be looped in</w:t>
            </w:r>
          </w:p>
          <w:p w14:paraId="36223C88" w14:textId="1696C94F"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National regulators are members of the regional regulators/associations</w:t>
            </w:r>
          </w:p>
        </w:tc>
      </w:tr>
      <w:tr w:rsidR="3AA1B05C" w:rsidRPr="00662906" w14:paraId="2AE46674" w14:textId="77777777" w:rsidTr="00561F4E">
        <w:trPr>
          <w:trHeight w:val="300"/>
        </w:trPr>
        <w:tc>
          <w:tcPr>
            <w:tcW w:w="2105" w:type="dxa"/>
            <w:tcMar>
              <w:left w:w="108" w:type="dxa"/>
              <w:right w:w="108" w:type="dxa"/>
            </w:tcMar>
            <w:vAlign w:val="center"/>
          </w:tcPr>
          <w:p w14:paraId="4DCA3EE5" w14:textId="66669860"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Standard Bodies</w:t>
            </w:r>
          </w:p>
        </w:tc>
        <w:tc>
          <w:tcPr>
            <w:tcW w:w="2932" w:type="dxa"/>
            <w:tcMar>
              <w:left w:w="108" w:type="dxa"/>
              <w:right w:w="108" w:type="dxa"/>
            </w:tcMar>
            <w:vAlign w:val="center"/>
          </w:tcPr>
          <w:p w14:paraId="0419F7FD" w14:textId="728DE537"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Participate in harmonization of standards across the continent.</w:t>
            </w:r>
          </w:p>
          <w:p w14:paraId="3B5EF805" w14:textId="7686E0DF"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They will also be regulating the agreed standards in their countries</w:t>
            </w:r>
          </w:p>
        </w:tc>
        <w:tc>
          <w:tcPr>
            <w:tcW w:w="3660" w:type="dxa"/>
            <w:tcMar>
              <w:left w:w="108" w:type="dxa"/>
              <w:right w:w="108" w:type="dxa"/>
            </w:tcMar>
            <w:vAlign w:val="center"/>
          </w:tcPr>
          <w:p w14:paraId="3AB5EB5C" w14:textId="0C44BF8E"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They are also often members of the regional standards bodies but can also have direct link with their relevant continental body</w:t>
            </w:r>
          </w:p>
        </w:tc>
      </w:tr>
      <w:tr w:rsidR="3AA1B05C" w:rsidRPr="00662906" w14:paraId="05168025" w14:textId="77777777" w:rsidTr="00561F4E">
        <w:trPr>
          <w:trHeight w:val="300"/>
        </w:trPr>
        <w:tc>
          <w:tcPr>
            <w:tcW w:w="2105" w:type="dxa"/>
            <w:tcMar>
              <w:left w:w="108" w:type="dxa"/>
              <w:right w:w="108" w:type="dxa"/>
            </w:tcMar>
            <w:vAlign w:val="center"/>
          </w:tcPr>
          <w:p w14:paraId="66755C3E" w14:textId="3A5CB922"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National associations</w:t>
            </w:r>
          </w:p>
        </w:tc>
        <w:tc>
          <w:tcPr>
            <w:tcW w:w="2932" w:type="dxa"/>
            <w:tcMar>
              <w:left w:w="108" w:type="dxa"/>
              <w:right w:w="108" w:type="dxa"/>
            </w:tcMar>
            <w:vAlign w:val="center"/>
          </w:tcPr>
          <w:p w14:paraId="422FCC1A" w14:textId="7521322C"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 various sector associations will inform policy formulation and create awareness to their members on ETSAP initiatives to be undertaken at national level</w:t>
            </w:r>
          </w:p>
        </w:tc>
        <w:tc>
          <w:tcPr>
            <w:tcW w:w="3660" w:type="dxa"/>
            <w:tcMar>
              <w:left w:w="108" w:type="dxa"/>
              <w:right w:w="108" w:type="dxa"/>
            </w:tcMar>
            <w:vAlign w:val="center"/>
          </w:tcPr>
          <w:p w14:paraId="38BE1324" w14:textId="2E5D2E89"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These national associations tend to be members of the regional associations and sometimes continental associations</w:t>
            </w:r>
          </w:p>
        </w:tc>
      </w:tr>
      <w:tr w:rsidR="3AA1B05C" w:rsidRPr="00662906" w14:paraId="5F5835FB" w14:textId="77777777" w:rsidTr="00561F4E">
        <w:trPr>
          <w:trHeight w:val="300"/>
        </w:trPr>
        <w:tc>
          <w:tcPr>
            <w:tcW w:w="2105" w:type="dxa"/>
            <w:tcMar>
              <w:left w:w="108" w:type="dxa"/>
              <w:right w:w="108" w:type="dxa"/>
            </w:tcMar>
            <w:vAlign w:val="center"/>
          </w:tcPr>
          <w:p w14:paraId="7955D6D6" w14:textId="26539052"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lastRenderedPageBreak/>
              <w:t>National Development/Commercial banks</w:t>
            </w:r>
          </w:p>
        </w:tc>
        <w:tc>
          <w:tcPr>
            <w:tcW w:w="2932" w:type="dxa"/>
            <w:tcMar>
              <w:left w:w="108" w:type="dxa"/>
              <w:right w:w="108" w:type="dxa"/>
            </w:tcMar>
            <w:vAlign w:val="center"/>
          </w:tcPr>
          <w:p w14:paraId="4D1364AB" w14:textId="2E9E91D5"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Creation of national financing schemes proposed in the ETSAP</w:t>
            </w:r>
          </w:p>
        </w:tc>
        <w:tc>
          <w:tcPr>
            <w:tcW w:w="3660" w:type="dxa"/>
            <w:tcMar>
              <w:left w:w="108" w:type="dxa"/>
              <w:right w:w="108" w:type="dxa"/>
            </w:tcMar>
            <w:vAlign w:val="center"/>
          </w:tcPr>
          <w:p w14:paraId="176AFA78" w14:textId="51337CD5"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Some commercial banks in MS are now joining syndicates to finance large infrastructure projects but they will need to be educated to see benefits of initiatives like EE.</w:t>
            </w:r>
          </w:p>
        </w:tc>
      </w:tr>
      <w:tr w:rsidR="3AA1B05C" w:rsidRPr="00662906" w14:paraId="3CBAA92A" w14:textId="77777777" w:rsidTr="00561F4E">
        <w:trPr>
          <w:trHeight w:val="300"/>
        </w:trPr>
        <w:tc>
          <w:tcPr>
            <w:tcW w:w="2105" w:type="dxa"/>
            <w:tcMar>
              <w:left w:w="108" w:type="dxa"/>
              <w:right w:w="108" w:type="dxa"/>
            </w:tcMar>
            <w:vAlign w:val="center"/>
          </w:tcPr>
          <w:p w14:paraId="466A7A94" w14:textId="00CBE9EB" w:rsidR="3AA1B05C" w:rsidRPr="00662906" w:rsidRDefault="007C1DE3" w:rsidP="00561F4E">
            <w:pPr>
              <w:spacing w:before="40" w:after="40"/>
              <w:jc w:val="center"/>
              <w:rPr>
                <w:rFonts w:eastAsia="Arial" w:cs="Arial"/>
                <w:color w:val="394A58"/>
                <w:sz w:val="18"/>
                <w:szCs w:val="18"/>
              </w:rPr>
            </w:pPr>
            <w:r w:rsidRPr="00662906">
              <w:rPr>
                <w:rFonts w:eastAsia="Arial" w:cs="Arial"/>
                <w:color w:val="394A58"/>
                <w:sz w:val="18"/>
                <w:szCs w:val="18"/>
              </w:rPr>
              <w:t>Centres of Excellence (CoEs)</w:t>
            </w:r>
          </w:p>
        </w:tc>
        <w:tc>
          <w:tcPr>
            <w:tcW w:w="2932" w:type="dxa"/>
            <w:tcMar>
              <w:left w:w="108" w:type="dxa"/>
              <w:right w:w="108" w:type="dxa"/>
            </w:tcMar>
            <w:vAlign w:val="center"/>
          </w:tcPr>
          <w:p w14:paraId="1E95673E" w14:textId="593CF0C8"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Provide the various services such training and expert services to carry out studies and develop strategies, master plans</w:t>
            </w:r>
          </w:p>
        </w:tc>
        <w:tc>
          <w:tcPr>
            <w:tcW w:w="3660" w:type="dxa"/>
            <w:tcMar>
              <w:left w:w="108" w:type="dxa"/>
              <w:right w:w="108" w:type="dxa"/>
            </w:tcMar>
            <w:vAlign w:val="center"/>
          </w:tcPr>
          <w:p w14:paraId="4F921820" w14:textId="5B572EC9" w:rsidR="3AA1B05C" w:rsidRPr="00662906" w:rsidRDefault="3AA1B05C" w:rsidP="00561F4E">
            <w:pPr>
              <w:spacing w:before="40" w:after="40"/>
              <w:jc w:val="center"/>
              <w:rPr>
                <w:rFonts w:eastAsia="Arial" w:cs="Arial"/>
                <w:color w:val="394A58"/>
                <w:sz w:val="18"/>
                <w:szCs w:val="18"/>
              </w:rPr>
            </w:pPr>
            <w:r w:rsidRPr="00662906">
              <w:rPr>
                <w:rFonts w:eastAsia="Arial" w:cs="Arial"/>
                <w:color w:val="394A58"/>
                <w:sz w:val="18"/>
                <w:szCs w:val="18"/>
              </w:rPr>
              <w:t>There will be specialized CoEs</w:t>
            </w:r>
            <w:r w:rsidR="00B61978" w:rsidRPr="00662906">
              <w:rPr>
                <w:rFonts w:eastAsia="Arial" w:cs="Arial"/>
                <w:color w:val="394A58"/>
                <w:sz w:val="18"/>
                <w:szCs w:val="18"/>
              </w:rPr>
              <w:t>,</w:t>
            </w:r>
            <w:r w:rsidRPr="00662906">
              <w:rPr>
                <w:rFonts w:eastAsia="Arial" w:cs="Arial"/>
                <w:color w:val="394A58"/>
                <w:sz w:val="18"/>
                <w:szCs w:val="18"/>
              </w:rPr>
              <w:t xml:space="preserve"> but the usual </w:t>
            </w:r>
            <w:r w:rsidR="001F7AA4" w:rsidRPr="00662906">
              <w:rPr>
                <w:rFonts w:cs="Arial"/>
                <w:sz w:val="18"/>
                <w:szCs w:val="18"/>
              </w:rPr>
              <w:t>Technical Assistance</w:t>
            </w:r>
            <w:r w:rsidR="001F7AA4" w:rsidRPr="00662906">
              <w:rPr>
                <w:rFonts w:eastAsia="Arial" w:cs="Arial"/>
                <w:color w:val="394A58"/>
                <w:sz w:val="18"/>
                <w:szCs w:val="18"/>
              </w:rPr>
              <w:t xml:space="preserve"> (</w:t>
            </w:r>
            <w:r w:rsidRPr="00662906">
              <w:rPr>
                <w:rFonts w:eastAsia="Arial" w:cs="Arial"/>
                <w:color w:val="394A58"/>
                <w:sz w:val="18"/>
                <w:szCs w:val="18"/>
              </w:rPr>
              <w:t>TA</w:t>
            </w:r>
            <w:r w:rsidR="001F7AA4" w:rsidRPr="00662906">
              <w:rPr>
                <w:rFonts w:eastAsia="Arial" w:cs="Arial"/>
                <w:color w:val="394A58"/>
                <w:sz w:val="18"/>
                <w:szCs w:val="18"/>
              </w:rPr>
              <w:t>)</w:t>
            </w:r>
            <w:r w:rsidRPr="00662906">
              <w:rPr>
                <w:rFonts w:eastAsia="Arial" w:cs="Arial"/>
                <w:color w:val="394A58"/>
                <w:sz w:val="18"/>
                <w:szCs w:val="18"/>
              </w:rPr>
              <w:t xml:space="preserve"> experts will also be recruited to undertake the studies/</w:t>
            </w:r>
            <w:r w:rsidR="447DAF41" w:rsidRPr="00662906">
              <w:rPr>
                <w:rFonts w:eastAsia="Arial" w:cs="Arial"/>
                <w:color w:val="394A58"/>
                <w:sz w:val="18"/>
                <w:szCs w:val="18"/>
              </w:rPr>
              <w:t>strategies</w:t>
            </w:r>
          </w:p>
        </w:tc>
      </w:tr>
    </w:tbl>
    <w:p w14:paraId="06768032" w14:textId="0308611C" w:rsidR="00D1068D" w:rsidRPr="00662906" w:rsidRDefault="00D1068D" w:rsidP="3AA1B05C">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6918CD7" w14:textId="4149C826" w:rsidR="2E58F58D" w:rsidRPr="00662906" w:rsidRDefault="2E58F58D" w:rsidP="3AA1B05C">
      <w:r w:rsidRPr="00662906">
        <w:t xml:space="preserve">The </w:t>
      </w:r>
      <w:r w:rsidR="22552ADD" w:rsidRPr="00662906">
        <w:t xml:space="preserve">stakeholder </w:t>
      </w:r>
      <w:r w:rsidRPr="00662906">
        <w:t>mapping process not only highlights stakeholders' roles and importance but also guides the development of tailored engagement strategies</w:t>
      </w:r>
      <w:r w:rsidR="00244F81" w:rsidRPr="00662906">
        <w:t xml:space="preserve"> (</w:t>
      </w:r>
      <w:r w:rsidR="00FF7C07" w:rsidRPr="00662906">
        <w:t>table below</w:t>
      </w:r>
      <w:r w:rsidR="00244F81" w:rsidRPr="00662906">
        <w:t>)</w:t>
      </w:r>
      <w:r w:rsidRPr="00662906">
        <w:t>. By understanding the different motivations and capacities of each stakeholder group, the AU</w:t>
      </w:r>
      <w:r w:rsidR="6085CDBD" w:rsidRPr="00662906">
        <w:t xml:space="preserve"> through AFREC</w:t>
      </w:r>
      <w:r w:rsidRPr="00662906">
        <w:t xml:space="preserve"> can facilitate more effective collaboration, secure buy-in, and enhance the overall implementation efficiency of the Energy Transition Strategy. This strategic engagement is essential for mobilizing resources, fostering innovation, and ensuring that the transition to sustainable energy is both equitable and economically beneficial for all involved.</w:t>
      </w:r>
    </w:p>
    <w:p w14:paraId="27490C4A" w14:textId="7988F8C9" w:rsidR="03FA0557" w:rsidRPr="00662906" w:rsidRDefault="7FE33101">
      <w:r w:rsidRPr="00662906">
        <w:t>To effectively manage and engage with this wide array of stakeholders, an initial Stakeholder Power-Interest Matrix is developed. This tool categorizes stakeholders based on their level of influence over and interest in the energy transition, providing insights into how they might affect or be affected by the strategy. This matrix helps to identify key players whose involvement is crucial for the strategy's success and those who need to be kept informed and engaged throughout the process</w:t>
      </w:r>
      <w:r w:rsidR="2D494498" w:rsidRPr="00662906">
        <w:t xml:space="preserve"> (Table </w:t>
      </w:r>
      <w:r w:rsidR="005D01D7" w:rsidRPr="00662906">
        <w:t>4</w:t>
      </w:r>
      <w:r w:rsidR="00A5461B" w:rsidRPr="00662906">
        <w:t>4</w:t>
      </w:r>
      <w:r w:rsidR="2D494498" w:rsidRPr="00662906">
        <w:t>)</w:t>
      </w:r>
      <w:r w:rsidRPr="00662906">
        <w:t>.</w:t>
      </w:r>
    </w:p>
    <w:p w14:paraId="5EE1F1F2" w14:textId="258803B7" w:rsidR="000F09A9" w:rsidRPr="00662906" w:rsidRDefault="07A1CB6B" w:rsidP="001C34B9">
      <w:pPr>
        <w:pStyle w:val="Caption"/>
      </w:pPr>
      <w:bookmarkStart w:id="790" w:name="_Toc171955615"/>
      <w:bookmarkStart w:id="791" w:name="_Toc176430344"/>
      <w:bookmarkStart w:id="792" w:name="_Toc197433932"/>
      <w:r w:rsidRPr="00662906">
        <w:t xml:space="preserve">Table </w:t>
      </w:r>
      <w:fldSimple w:instr=" SEQ Table \* ARABIC ">
        <w:r w:rsidR="00610F61">
          <w:rPr>
            <w:noProof/>
          </w:rPr>
          <w:t>44</w:t>
        </w:r>
      </w:fldSimple>
      <w:r w:rsidR="7CD8767A" w:rsidRPr="00662906">
        <w:t>: ETSAP Stakeholder Power-Interest Matrix</w:t>
      </w:r>
      <w:bookmarkEnd w:id="790"/>
      <w:bookmarkEnd w:id="791"/>
      <w:bookmarkEnd w:id="792"/>
    </w:p>
    <w:tbl>
      <w:tblPr>
        <w:tblStyle w:val="TableGrid"/>
        <w:tblW w:w="8950" w:type="dxa"/>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4A0" w:firstRow="1" w:lastRow="0" w:firstColumn="1" w:lastColumn="0" w:noHBand="0" w:noVBand="1"/>
      </w:tblPr>
      <w:tblGrid>
        <w:gridCol w:w="1554"/>
        <w:gridCol w:w="1063"/>
        <w:gridCol w:w="1938"/>
        <w:gridCol w:w="1811"/>
        <w:gridCol w:w="264"/>
        <w:gridCol w:w="2320"/>
      </w:tblGrid>
      <w:tr w:rsidR="000F5509" w:rsidRPr="00662906" w14:paraId="63DC766F" w14:textId="77777777" w:rsidTr="000F5509">
        <w:trPr>
          <w:trHeight w:val="390"/>
        </w:trPr>
        <w:tc>
          <w:tcPr>
            <w:tcW w:w="1554" w:type="dxa"/>
            <w:vMerge w:val="restart"/>
            <w:tcMar>
              <w:left w:w="108" w:type="dxa"/>
              <w:right w:w="108" w:type="dxa"/>
            </w:tcMar>
            <w:vAlign w:val="center"/>
          </w:tcPr>
          <w:p w14:paraId="06C10BD8" w14:textId="1E352651" w:rsidR="000F5509" w:rsidRPr="00662906" w:rsidRDefault="000F5509" w:rsidP="00472E0A">
            <w:pPr>
              <w:ind w:left="113" w:right="113"/>
              <w:jc w:val="center"/>
            </w:pPr>
            <w:r w:rsidRPr="00662906">
              <w:rPr>
                <w:rFonts w:eastAsia="Arial" w:cs="Arial"/>
                <w:b/>
                <w:bCs/>
              </w:rPr>
              <w:t>HIGH</w:t>
            </w:r>
          </w:p>
        </w:tc>
        <w:tc>
          <w:tcPr>
            <w:tcW w:w="3001" w:type="dxa"/>
            <w:gridSpan w:val="2"/>
            <w:vMerge w:val="restart"/>
            <w:shd w:val="clear" w:color="auto" w:fill="D9E2F3" w:themeFill="accent5" w:themeFillTint="33"/>
            <w:tcMar>
              <w:left w:w="108" w:type="dxa"/>
              <w:right w:w="108" w:type="dxa"/>
            </w:tcMar>
            <w:vAlign w:val="center"/>
          </w:tcPr>
          <w:p w14:paraId="1253A7D2" w14:textId="35A5FB57" w:rsidR="000F5509" w:rsidRPr="00662906" w:rsidRDefault="000F5509" w:rsidP="00472E0A">
            <w:pPr>
              <w:jc w:val="left"/>
              <w:rPr>
                <w:rFonts w:eastAsia="Arial" w:cs="Arial"/>
              </w:rPr>
            </w:pPr>
            <w:r w:rsidRPr="00662906">
              <w:rPr>
                <w:rFonts w:eastAsia="Arial" w:cs="Arial"/>
              </w:rPr>
              <w:t>Keep Satisfied</w:t>
            </w:r>
          </w:p>
          <w:p w14:paraId="4CB05378" w14:textId="4AB019A1"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SECTORIAL ORGANIZATIONS</w:t>
            </w:r>
          </w:p>
          <w:p w14:paraId="28EAD8F1" w14:textId="31518ABA"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MEDIA</w:t>
            </w:r>
          </w:p>
          <w:p w14:paraId="10F1710C" w14:textId="35311B75"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NGOs / CIVIL SOCIETY</w:t>
            </w:r>
          </w:p>
        </w:tc>
        <w:tc>
          <w:tcPr>
            <w:tcW w:w="4395" w:type="dxa"/>
            <w:gridSpan w:val="3"/>
            <w:shd w:val="clear" w:color="auto" w:fill="C5E0B3" w:themeFill="accent6" w:themeFillTint="66"/>
            <w:tcMar>
              <w:left w:w="108" w:type="dxa"/>
              <w:right w:w="108" w:type="dxa"/>
            </w:tcMar>
          </w:tcPr>
          <w:p w14:paraId="5A5B67ED" w14:textId="1072257E" w:rsidR="000F5509" w:rsidRPr="00662906" w:rsidRDefault="000F5509" w:rsidP="13F6F6F9">
            <w:pPr>
              <w:jc w:val="center"/>
              <w:rPr>
                <w:rFonts w:eastAsia="Arial" w:cs="Arial"/>
              </w:rPr>
            </w:pPr>
            <w:r w:rsidRPr="00662906">
              <w:rPr>
                <w:rFonts w:eastAsia="Arial" w:cs="Arial"/>
              </w:rPr>
              <w:t>Manage Closely</w:t>
            </w:r>
          </w:p>
        </w:tc>
      </w:tr>
      <w:tr w:rsidR="000F5509" w:rsidRPr="00662906" w14:paraId="1457E04B" w14:textId="77777777" w:rsidTr="000F5509">
        <w:trPr>
          <w:trHeight w:val="480"/>
        </w:trPr>
        <w:tc>
          <w:tcPr>
            <w:tcW w:w="1554" w:type="dxa"/>
            <w:vMerge/>
            <w:vAlign w:val="center"/>
          </w:tcPr>
          <w:p w14:paraId="1A349BFD" w14:textId="77777777" w:rsidR="000F5509" w:rsidRPr="00662906" w:rsidRDefault="000F5509" w:rsidP="00472E0A">
            <w:pPr>
              <w:jc w:val="center"/>
            </w:pPr>
          </w:p>
        </w:tc>
        <w:tc>
          <w:tcPr>
            <w:tcW w:w="3001" w:type="dxa"/>
            <w:gridSpan w:val="2"/>
            <w:vMerge/>
            <w:vAlign w:val="center"/>
          </w:tcPr>
          <w:p w14:paraId="72B7949C" w14:textId="77777777" w:rsidR="000F5509" w:rsidRPr="00662906" w:rsidRDefault="000F5509" w:rsidP="00472E0A">
            <w:pPr>
              <w:jc w:val="left"/>
            </w:pPr>
          </w:p>
        </w:tc>
        <w:tc>
          <w:tcPr>
            <w:tcW w:w="2075" w:type="dxa"/>
            <w:gridSpan w:val="2"/>
            <w:vMerge w:val="restart"/>
            <w:shd w:val="clear" w:color="auto" w:fill="C5E0B3" w:themeFill="accent6" w:themeFillTint="66"/>
            <w:tcMar>
              <w:left w:w="108" w:type="dxa"/>
              <w:right w:w="108" w:type="dxa"/>
            </w:tcMar>
          </w:tcPr>
          <w:p w14:paraId="13EC52C5" w14:textId="491FDB7A" w:rsidR="000F5509" w:rsidRPr="00662906" w:rsidRDefault="000F5509" w:rsidP="13F6F6F9">
            <w:pPr>
              <w:pStyle w:val="ListParagraph"/>
              <w:spacing w:before="0" w:after="0" w:line="264" w:lineRule="auto"/>
              <w:ind w:left="330"/>
              <w:rPr>
                <w:rFonts w:eastAsia="Arial" w:cs="Arial"/>
              </w:rPr>
            </w:pPr>
            <w:r w:rsidRPr="00662906">
              <w:rPr>
                <w:rFonts w:eastAsia="Arial" w:cs="Arial"/>
              </w:rPr>
              <w:t>AFREC</w:t>
            </w:r>
          </w:p>
          <w:p w14:paraId="375D2E5F" w14:textId="085ACB49" w:rsidR="000F5509" w:rsidRPr="00662906" w:rsidRDefault="000F5509" w:rsidP="13F6F6F9">
            <w:pPr>
              <w:pStyle w:val="ListParagraph"/>
              <w:spacing w:before="0" w:after="0" w:line="264" w:lineRule="auto"/>
              <w:ind w:left="330"/>
              <w:rPr>
                <w:rFonts w:eastAsia="Arial" w:cs="Arial"/>
              </w:rPr>
            </w:pPr>
            <w:r w:rsidRPr="00662906">
              <w:rPr>
                <w:rFonts w:eastAsia="Arial" w:cs="Arial"/>
              </w:rPr>
              <w:t>AUC</w:t>
            </w:r>
          </w:p>
          <w:p w14:paraId="77B20222" w14:textId="2AF11C4E" w:rsidR="000F5509" w:rsidRPr="00662906" w:rsidRDefault="000F5509" w:rsidP="13F6F6F9">
            <w:pPr>
              <w:pStyle w:val="ListParagraph"/>
              <w:spacing w:before="0" w:after="0" w:line="264" w:lineRule="auto"/>
              <w:ind w:left="330"/>
              <w:rPr>
                <w:rFonts w:eastAsia="Arial" w:cs="Arial"/>
              </w:rPr>
            </w:pPr>
            <w:r w:rsidRPr="00662906">
              <w:rPr>
                <w:rFonts w:eastAsia="Arial" w:cs="Arial"/>
              </w:rPr>
              <w:t>AUDA-NEPAD</w:t>
            </w:r>
          </w:p>
          <w:p w14:paraId="2E41A749" w14:textId="2B6E1AB5" w:rsidR="000F5509" w:rsidRPr="00662906" w:rsidRDefault="000F5509" w:rsidP="13F6F6F9">
            <w:pPr>
              <w:pStyle w:val="ListParagraph"/>
              <w:spacing w:before="0" w:after="0" w:line="264" w:lineRule="auto"/>
              <w:ind w:left="330"/>
              <w:rPr>
                <w:rFonts w:eastAsia="Arial" w:cs="Arial"/>
              </w:rPr>
            </w:pPr>
            <w:r w:rsidRPr="00662906">
              <w:rPr>
                <w:rFonts w:eastAsia="Arial" w:cs="Arial"/>
              </w:rPr>
              <w:t>RECs</w:t>
            </w:r>
          </w:p>
          <w:p w14:paraId="798D49E1" w14:textId="40D66CEB" w:rsidR="000F5509" w:rsidRPr="00662906" w:rsidRDefault="000F5509" w:rsidP="13F6F6F9">
            <w:pPr>
              <w:pStyle w:val="ListParagraph"/>
              <w:spacing w:before="0" w:after="0" w:line="264" w:lineRule="auto"/>
              <w:ind w:left="330"/>
              <w:rPr>
                <w:rFonts w:eastAsia="Arial" w:cs="Arial"/>
              </w:rPr>
            </w:pPr>
            <w:r w:rsidRPr="00662906">
              <w:rPr>
                <w:rFonts w:eastAsia="Arial" w:cs="Arial"/>
              </w:rPr>
              <w:t>Regional Centres for RE/EE</w:t>
            </w:r>
          </w:p>
          <w:p w14:paraId="5B4F54B6" w14:textId="2E058817" w:rsidR="000F5509" w:rsidRPr="00662906" w:rsidRDefault="000F5509" w:rsidP="13F6F6F9">
            <w:pPr>
              <w:pStyle w:val="ListParagraph"/>
              <w:spacing w:before="0" w:after="0" w:line="264" w:lineRule="auto"/>
              <w:ind w:left="330"/>
              <w:rPr>
                <w:rFonts w:eastAsia="Arial" w:cs="Arial"/>
              </w:rPr>
            </w:pPr>
            <w:r w:rsidRPr="00662906">
              <w:rPr>
                <w:rFonts w:eastAsia="Arial" w:cs="Arial"/>
              </w:rPr>
              <w:t>UNECA</w:t>
            </w:r>
          </w:p>
        </w:tc>
        <w:tc>
          <w:tcPr>
            <w:tcW w:w="2320" w:type="dxa"/>
            <w:vMerge w:val="restart"/>
            <w:shd w:val="clear" w:color="auto" w:fill="C5E0B3" w:themeFill="accent6" w:themeFillTint="66"/>
            <w:tcMar>
              <w:left w:w="108" w:type="dxa"/>
              <w:right w:w="108" w:type="dxa"/>
            </w:tcMar>
          </w:tcPr>
          <w:p w14:paraId="6C6BE36B" w14:textId="13CEE37E" w:rsidR="000F5509" w:rsidRPr="00662906" w:rsidRDefault="000F5509" w:rsidP="13F6F6F9">
            <w:pPr>
              <w:pStyle w:val="ListParagraph"/>
              <w:spacing w:before="0" w:after="0" w:line="264" w:lineRule="auto"/>
              <w:ind w:left="330"/>
              <w:rPr>
                <w:rFonts w:eastAsia="Arial" w:cs="Arial"/>
              </w:rPr>
            </w:pPr>
            <w:r w:rsidRPr="00662906">
              <w:rPr>
                <w:rFonts w:eastAsia="Arial" w:cs="Arial"/>
              </w:rPr>
              <w:t>Power Pools</w:t>
            </w:r>
          </w:p>
          <w:p w14:paraId="08FB289F" w14:textId="4BE96169" w:rsidR="000F5509" w:rsidRPr="00662906" w:rsidRDefault="000F5509" w:rsidP="13F6F6F9">
            <w:pPr>
              <w:pStyle w:val="ListParagraph"/>
              <w:spacing w:before="0" w:after="0" w:line="264" w:lineRule="auto"/>
              <w:ind w:left="330"/>
              <w:rPr>
                <w:rFonts w:eastAsia="Arial" w:cs="Arial"/>
              </w:rPr>
            </w:pPr>
            <w:r w:rsidRPr="00662906">
              <w:rPr>
                <w:rFonts w:eastAsia="Arial" w:cs="Arial"/>
              </w:rPr>
              <w:t>Regional Regulators</w:t>
            </w:r>
            <w:r w:rsidR="00D72DE6" w:rsidRPr="00662906">
              <w:rPr>
                <w:rFonts w:eastAsia="Arial" w:cs="Arial"/>
              </w:rPr>
              <w:t xml:space="preserve"> and Associations</w:t>
            </w:r>
          </w:p>
          <w:p w14:paraId="26B56867" w14:textId="626D60F1" w:rsidR="000F5509" w:rsidRPr="00662906" w:rsidRDefault="000F5509" w:rsidP="13F6F6F9">
            <w:pPr>
              <w:pStyle w:val="ListParagraph"/>
              <w:spacing w:before="0" w:after="0" w:line="264" w:lineRule="auto"/>
              <w:ind w:left="330"/>
              <w:rPr>
                <w:rFonts w:eastAsia="Arial" w:cs="Arial"/>
              </w:rPr>
            </w:pPr>
            <w:r w:rsidRPr="00662906">
              <w:rPr>
                <w:rFonts w:eastAsia="Arial" w:cs="Arial"/>
              </w:rPr>
              <w:t>APUA</w:t>
            </w:r>
          </w:p>
          <w:p w14:paraId="01B89F4A" w14:textId="7F96955D" w:rsidR="000F5509" w:rsidRPr="00662906" w:rsidRDefault="000F5509" w:rsidP="13F6F6F9">
            <w:pPr>
              <w:pStyle w:val="ListParagraph"/>
              <w:spacing w:before="0" w:after="0" w:line="264" w:lineRule="auto"/>
              <w:ind w:left="330"/>
              <w:rPr>
                <w:rFonts w:eastAsia="Arial" w:cs="Arial"/>
              </w:rPr>
            </w:pPr>
            <w:r w:rsidRPr="00662906">
              <w:rPr>
                <w:rFonts w:eastAsia="Arial" w:cs="Arial"/>
              </w:rPr>
              <w:t>AFUR</w:t>
            </w:r>
          </w:p>
          <w:p w14:paraId="677937F5" w14:textId="5812B1BB" w:rsidR="000F5509" w:rsidRPr="00662906" w:rsidRDefault="000F5509" w:rsidP="13F6F6F9">
            <w:pPr>
              <w:pStyle w:val="ListParagraph"/>
              <w:spacing w:before="0" w:after="0" w:line="264" w:lineRule="auto"/>
              <w:ind w:left="330"/>
              <w:rPr>
                <w:rFonts w:eastAsia="Arial" w:cs="Arial"/>
              </w:rPr>
            </w:pPr>
            <w:r w:rsidRPr="00662906">
              <w:rPr>
                <w:rFonts w:eastAsia="Arial" w:cs="Arial"/>
              </w:rPr>
              <w:t>AU MS</w:t>
            </w:r>
          </w:p>
          <w:p w14:paraId="1D199BBA" w14:textId="4CD7FD90" w:rsidR="000F5509" w:rsidRPr="00662906" w:rsidRDefault="000F5509" w:rsidP="13F6F6F9">
            <w:pPr>
              <w:pStyle w:val="ListParagraph"/>
              <w:spacing w:before="0" w:after="0" w:line="264" w:lineRule="auto"/>
              <w:ind w:left="330"/>
              <w:rPr>
                <w:rFonts w:eastAsia="Arial" w:cs="Arial"/>
              </w:rPr>
            </w:pPr>
            <w:r w:rsidRPr="00662906">
              <w:rPr>
                <w:rFonts w:eastAsia="Arial" w:cs="Arial"/>
              </w:rPr>
              <w:t>Sector specific stakeholders</w:t>
            </w:r>
          </w:p>
        </w:tc>
      </w:tr>
      <w:tr w:rsidR="000F5509" w:rsidRPr="00662906" w14:paraId="6906D03D" w14:textId="77777777" w:rsidTr="000F5509">
        <w:trPr>
          <w:trHeight w:val="375"/>
        </w:trPr>
        <w:tc>
          <w:tcPr>
            <w:tcW w:w="1554" w:type="dxa"/>
            <w:vMerge w:val="restart"/>
            <w:tcMar>
              <w:left w:w="108" w:type="dxa"/>
              <w:right w:w="108" w:type="dxa"/>
            </w:tcMar>
            <w:vAlign w:val="center"/>
          </w:tcPr>
          <w:p w14:paraId="3DD1A493" w14:textId="14EBCE66" w:rsidR="000F5509" w:rsidRPr="00662906" w:rsidRDefault="000F5509" w:rsidP="000F5509">
            <w:pPr>
              <w:ind w:left="57" w:right="57"/>
              <w:jc w:val="center"/>
            </w:pPr>
            <w:r w:rsidRPr="00662906">
              <w:rPr>
                <w:rFonts w:eastAsia="Arial" w:cs="Arial"/>
                <w:b/>
                <w:bCs/>
              </w:rPr>
              <w:t>INFLUENCE</w:t>
            </w:r>
          </w:p>
        </w:tc>
        <w:tc>
          <w:tcPr>
            <w:tcW w:w="3001" w:type="dxa"/>
            <w:gridSpan w:val="2"/>
            <w:vMerge/>
            <w:vAlign w:val="center"/>
          </w:tcPr>
          <w:p w14:paraId="04DDFE2D" w14:textId="77777777" w:rsidR="000F5509" w:rsidRPr="00662906" w:rsidRDefault="000F5509" w:rsidP="00472E0A">
            <w:pPr>
              <w:jc w:val="left"/>
            </w:pPr>
          </w:p>
        </w:tc>
        <w:tc>
          <w:tcPr>
            <w:tcW w:w="2075" w:type="dxa"/>
            <w:gridSpan w:val="2"/>
            <w:vMerge/>
            <w:vAlign w:val="center"/>
          </w:tcPr>
          <w:p w14:paraId="064BB6C0" w14:textId="77777777" w:rsidR="000F5509" w:rsidRPr="00662906" w:rsidRDefault="000F5509"/>
        </w:tc>
        <w:tc>
          <w:tcPr>
            <w:tcW w:w="2320" w:type="dxa"/>
            <w:vMerge/>
            <w:vAlign w:val="center"/>
          </w:tcPr>
          <w:p w14:paraId="2A092C11" w14:textId="77777777" w:rsidR="000F5509" w:rsidRPr="00662906" w:rsidRDefault="000F5509"/>
        </w:tc>
      </w:tr>
      <w:tr w:rsidR="000F5509" w:rsidRPr="00662906" w14:paraId="645A9132" w14:textId="77777777" w:rsidTr="000F5509">
        <w:trPr>
          <w:trHeight w:val="300"/>
        </w:trPr>
        <w:tc>
          <w:tcPr>
            <w:tcW w:w="1554" w:type="dxa"/>
            <w:vMerge/>
            <w:vAlign w:val="center"/>
          </w:tcPr>
          <w:p w14:paraId="4841810F" w14:textId="77777777" w:rsidR="000F5509" w:rsidRPr="00662906" w:rsidRDefault="000F5509" w:rsidP="00472E0A">
            <w:pPr>
              <w:jc w:val="center"/>
            </w:pPr>
          </w:p>
        </w:tc>
        <w:tc>
          <w:tcPr>
            <w:tcW w:w="3001" w:type="dxa"/>
            <w:gridSpan w:val="2"/>
            <w:vMerge w:val="restart"/>
            <w:shd w:val="clear" w:color="auto" w:fill="DBDBDB" w:themeFill="accent3" w:themeFillTint="66"/>
            <w:tcMar>
              <w:left w:w="108" w:type="dxa"/>
              <w:right w:w="108" w:type="dxa"/>
            </w:tcMar>
            <w:vAlign w:val="center"/>
          </w:tcPr>
          <w:p w14:paraId="441A895F" w14:textId="45CD7450" w:rsidR="000F5509" w:rsidRPr="00662906" w:rsidRDefault="000F5509" w:rsidP="00472E0A">
            <w:pPr>
              <w:jc w:val="left"/>
              <w:rPr>
                <w:rFonts w:eastAsia="Arial" w:cs="Arial"/>
              </w:rPr>
            </w:pPr>
            <w:r w:rsidRPr="00662906">
              <w:rPr>
                <w:rFonts w:eastAsia="Arial" w:cs="Arial"/>
              </w:rPr>
              <w:t>Monitor</w:t>
            </w:r>
          </w:p>
          <w:p w14:paraId="21C77D78" w14:textId="3A93CF44"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UNEP’s AFRICA OFFICE</w:t>
            </w:r>
          </w:p>
          <w:p w14:paraId="76D7EB15" w14:textId="61060A22"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AFRICA GREENCO</w:t>
            </w:r>
          </w:p>
          <w:p w14:paraId="396CBE62" w14:textId="511B730C" w:rsidR="000F5509" w:rsidRPr="00662906" w:rsidRDefault="000F5509" w:rsidP="00472E0A">
            <w:pPr>
              <w:pStyle w:val="ListParagraph"/>
              <w:spacing w:before="0" w:after="0" w:line="264" w:lineRule="auto"/>
              <w:ind w:left="330"/>
              <w:jc w:val="left"/>
              <w:rPr>
                <w:rFonts w:eastAsia="Arial" w:cs="Arial"/>
              </w:rPr>
            </w:pPr>
            <w:r w:rsidRPr="00662906">
              <w:rPr>
                <w:rFonts w:eastAsia="Arial" w:cs="Arial"/>
              </w:rPr>
              <w:t>CONSUMERS</w:t>
            </w:r>
          </w:p>
        </w:tc>
        <w:tc>
          <w:tcPr>
            <w:tcW w:w="4395" w:type="dxa"/>
            <w:gridSpan w:val="3"/>
            <w:shd w:val="clear" w:color="auto" w:fill="E1D9C3" w:themeFill="text2" w:themeFillTint="66"/>
            <w:tcMar>
              <w:left w:w="108" w:type="dxa"/>
              <w:right w:w="108" w:type="dxa"/>
            </w:tcMar>
          </w:tcPr>
          <w:p w14:paraId="680A01E7" w14:textId="4876E844" w:rsidR="000F5509" w:rsidRPr="00662906" w:rsidRDefault="000F5509" w:rsidP="13F6F6F9">
            <w:pPr>
              <w:jc w:val="center"/>
              <w:rPr>
                <w:rFonts w:eastAsia="Arial" w:cs="Arial"/>
              </w:rPr>
            </w:pPr>
            <w:r w:rsidRPr="00662906">
              <w:rPr>
                <w:rFonts w:eastAsia="Arial" w:cs="Arial"/>
              </w:rPr>
              <w:t>Keep Informed</w:t>
            </w:r>
          </w:p>
        </w:tc>
      </w:tr>
      <w:tr w:rsidR="000F5509" w:rsidRPr="00662906" w14:paraId="521339BE" w14:textId="77777777" w:rsidTr="000F5509">
        <w:trPr>
          <w:trHeight w:val="915"/>
        </w:trPr>
        <w:tc>
          <w:tcPr>
            <w:tcW w:w="1554" w:type="dxa"/>
            <w:tcMar>
              <w:left w:w="108" w:type="dxa"/>
              <w:right w:w="108" w:type="dxa"/>
            </w:tcMar>
            <w:vAlign w:val="center"/>
          </w:tcPr>
          <w:p w14:paraId="0BE561E9" w14:textId="5AC6AE1F" w:rsidR="000F5509" w:rsidRPr="00662906" w:rsidRDefault="000F5509" w:rsidP="00472E0A">
            <w:pPr>
              <w:ind w:left="113" w:right="113"/>
              <w:jc w:val="center"/>
              <w:rPr>
                <w:rFonts w:eastAsia="Arial" w:cs="Arial"/>
                <w:b/>
              </w:rPr>
            </w:pPr>
            <w:r w:rsidRPr="00662906">
              <w:rPr>
                <w:rFonts w:eastAsia="Arial" w:cs="Arial"/>
                <w:b/>
              </w:rPr>
              <w:t>LOW</w:t>
            </w:r>
          </w:p>
        </w:tc>
        <w:tc>
          <w:tcPr>
            <w:tcW w:w="3001" w:type="dxa"/>
            <w:gridSpan w:val="2"/>
            <w:vMerge/>
            <w:vAlign w:val="center"/>
          </w:tcPr>
          <w:p w14:paraId="66A708C2" w14:textId="77777777" w:rsidR="000F5509" w:rsidRPr="00662906" w:rsidRDefault="000F5509" w:rsidP="00472E0A">
            <w:pPr>
              <w:jc w:val="left"/>
            </w:pPr>
          </w:p>
        </w:tc>
        <w:tc>
          <w:tcPr>
            <w:tcW w:w="2075" w:type="dxa"/>
            <w:gridSpan w:val="2"/>
            <w:shd w:val="clear" w:color="auto" w:fill="E1D9C3" w:themeFill="text2" w:themeFillTint="66"/>
            <w:tcMar>
              <w:left w:w="108" w:type="dxa"/>
              <w:right w:w="108" w:type="dxa"/>
            </w:tcMar>
          </w:tcPr>
          <w:p w14:paraId="611B2D9C" w14:textId="17991A9A" w:rsidR="000F5509" w:rsidRPr="00662906" w:rsidRDefault="000F5509" w:rsidP="13F6F6F9">
            <w:pPr>
              <w:pStyle w:val="ListParagraph"/>
              <w:spacing w:before="0" w:after="0" w:line="264" w:lineRule="auto"/>
              <w:ind w:left="330"/>
              <w:rPr>
                <w:rFonts w:eastAsia="Arial" w:cs="Arial"/>
              </w:rPr>
            </w:pPr>
            <w:r w:rsidRPr="00662906">
              <w:rPr>
                <w:rFonts w:eastAsia="Arial" w:cs="Arial"/>
              </w:rPr>
              <w:t>AfDB</w:t>
            </w:r>
          </w:p>
          <w:p w14:paraId="54137DF1" w14:textId="3B1E109B" w:rsidR="000F5509" w:rsidRPr="00662906" w:rsidRDefault="000F5509" w:rsidP="13F6F6F9">
            <w:pPr>
              <w:pStyle w:val="ListParagraph"/>
              <w:spacing w:before="0" w:after="0" w:line="264" w:lineRule="auto"/>
              <w:ind w:left="330"/>
              <w:rPr>
                <w:rFonts w:eastAsia="Arial" w:cs="Arial"/>
              </w:rPr>
            </w:pPr>
            <w:r w:rsidRPr="00662906">
              <w:rPr>
                <w:rFonts w:eastAsia="Arial" w:cs="Arial"/>
              </w:rPr>
              <w:t>WORLD BANK</w:t>
            </w:r>
          </w:p>
          <w:p w14:paraId="0FA5CF07" w14:textId="1D5D770B" w:rsidR="000F5509" w:rsidRPr="00662906" w:rsidRDefault="000F5509" w:rsidP="13F6F6F9">
            <w:pPr>
              <w:pStyle w:val="ListParagraph"/>
              <w:spacing w:before="0" w:after="0" w:line="264" w:lineRule="auto"/>
              <w:ind w:left="330"/>
              <w:rPr>
                <w:rFonts w:eastAsia="Arial" w:cs="Arial"/>
              </w:rPr>
            </w:pPr>
            <w:r w:rsidRPr="00662906">
              <w:rPr>
                <w:rFonts w:eastAsia="Arial" w:cs="Arial"/>
              </w:rPr>
              <w:t>IFCs</w:t>
            </w:r>
          </w:p>
        </w:tc>
        <w:tc>
          <w:tcPr>
            <w:tcW w:w="2320" w:type="dxa"/>
            <w:shd w:val="clear" w:color="auto" w:fill="E1D9C3" w:themeFill="text2" w:themeFillTint="66"/>
            <w:tcMar>
              <w:left w:w="108" w:type="dxa"/>
              <w:right w:w="108" w:type="dxa"/>
            </w:tcMar>
          </w:tcPr>
          <w:p w14:paraId="0AFF95CD" w14:textId="66F97C8F" w:rsidR="000F5509" w:rsidRPr="00662906" w:rsidRDefault="000F5509" w:rsidP="13F6F6F9">
            <w:pPr>
              <w:pStyle w:val="ListParagraph"/>
              <w:spacing w:before="0" w:after="0" w:line="264" w:lineRule="auto"/>
              <w:ind w:left="330"/>
              <w:rPr>
                <w:rFonts w:eastAsia="Arial" w:cs="Arial"/>
              </w:rPr>
            </w:pPr>
            <w:r w:rsidRPr="00662906">
              <w:rPr>
                <w:rFonts w:eastAsia="Arial" w:cs="Arial"/>
              </w:rPr>
              <w:t>POWER AFRICA</w:t>
            </w:r>
          </w:p>
          <w:p w14:paraId="1CCF8007" w14:textId="4E89C4F8" w:rsidR="000F5509" w:rsidRPr="00662906" w:rsidRDefault="000F5509" w:rsidP="13F6F6F9">
            <w:pPr>
              <w:pStyle w:val="ListParagraph"/>
              <w:spacing w:before="0" w:after="0" w:line="264" w:lineRule="auto"/>
              <w:ind w:left="330"/>
              <w:rPr>
                <w:rFonts w:eastAsia="Arial" w:cs="Arial"/>
              </w:rPr>
            </w:pPr>
            <w:r w:rsidRPr="00662906">
              <w:rPr>
                <w:rFonts w:eastAsia="Arial" w:cs="Arial"/>
              </w:rPr>
              <w:t>PAQI / AFSEC / ARSO</w:t>
            </w:r>
          </w:p>
        </w:tc>
      </w:tr>
      <w:tr w:rsidR="000F5509" w:rsidRPr="00662906" w14:paraId="11FE7A50" w14:textId="77777777" w:rsidTr="000F5509">
        <w:trPr>
          <w:trHeight w:val="624"/>
        </w:trPr>
        <w:tc>
          <w:tcPr>
            <w:tcW w:w="1554" w:type="dxa"/>
            <w:tcMar>
              <w:left w:w="108" w:type="dxa"/>
              <w:right w:w="108" w:type="dxa"/>
            </w:tcMar>
            <w:vAlign w:val="center"/>
          </w:tcPr>
          <w:p w14:paraId="3A4D1A85" w14:textId="042313B5" w:rsidR="000F5509" w:rsidRPr="00662906" w:rsidRDefault="000F5509" w:rsidP="000F09A9">
            <w:pPr>
              <w:jc w:val="center"/>
            </w:pPr>
          </w:p>
        </w:tc>
        <w:tc>
          <w:tcPr>
            <w:tcW w:w="1063" w:type="dxa"/>
            <w:tcMar>
              <w:left w:w="108" w:type="dxa"/>
              <w:right w:w="108" w:type="dxa"/>
            </w:tcMar>
            <w:vAlign w:val="center"/>
          </w:tcPr>
          <w:p w14:paraId="72866B07" w14:textId="4D1132F4" w:rsidR="000F5509" w:rsidRPr="00662906" w:rsidRDefault="000F5509" w:rsidP="000F09A9">
            <w:pPr>
              <w:ind w:left="113" w:right="113"/>
              <w:jc w:val="center"/>
              <w:rPr>
                <w:rFonts w:eastAsia="Arial" w:cs="Arial"/>
                <w:b/>
                <w:bCs/>
              </w:rPr>
            </w:pPr>
            <w:r w:rsidRPr="00662906">
              <w:rPr>
                <w:rFonts w:eastAsia="Arial" w:cs="Arial"/>
                <w:b/>
                <w:bCs/>
              </w:rPr>
              <w:t>LOW</w:t>
            </w:r>
          </w:p>
        </w:tc>
        <w:tc>
          <w:tcPr>
            <w:tcW w:w="3749" w:type="dxa"/>
            <w:gridSpan w:val="2"/>
            <w:tcMar>
              <w:left w:w="108" w:type="dxa"/>
              <w:right w:w="108" w:type="dxa"/>
            </w:tcMar>
            <w:vAlign w:val="center"/>
          </w:tcPr>
          <w:p w14:paraId="135C83B4" w14:textId="51380A94" w:rsidR="000F5509" w:rsidRPr="00662906" w:rsidRDefault="000F5509" w:rsidP="000F09A9">
            <w:pPr>
              <w:ind w:left="113" w:right="113"/>
              <w:jc w:val="center"/>
              <w:rPr>
                <w:rFonts w:eastAsia="Arial" w:cs="Arial"/>
                <w:b/>
                <w:bCs/>
              </w:rPr>
            </w:pPr>
            <w:r w:rsidRPr="00662906">
              <w:rPr>
                <w:rFonts w:eastAsia="Arial" w:cs="Arial"/>
                <w:b/>
                <w:bCs/>
              </w:rPr>
              <w:t>INTEREST</w:t>
            </w:r>
          </w:p>
        </w:tc>
        <w:tc>
          <w:tcPr>
            <w:tcW w:w="264" w:type="dxa"/>
            <w:tcMar>
              <w:left w:w="108" w:type="dxa"/>
              <w:right w:w="108" w:type="dxa"/>
            </w:tcMar>
            <w:vAlign w:val="center"/>
          </w:tcPr>
          <w:p w14:paraId="226462B0" w14:textId="6DAAA0FC" w:rsidR="000F5509" w:rsidRPr="00662906" w:rsidRDefault="000F5509" w:rsidP="000F09A9">
            <w:pPr>
              <w:ind w:left="113" w:right="113"/>
              <w:jc w:val="center"/>
              <w:rPr>
                <w:rFonts w:eastAsia="Arial" w:cs="Arial"/>
                <w:b/>
                <w:bCs/>
              </w:rPr>
            </w:pPr>
          </w:p>
        </w:tc>
        <w:tc>
          <w:tcPr>
            <w:tcW w:w="2320" w:type="dxa"/>
            <w:tcMar>
              <w:left w:w="108" w:type="dxa"/>
              <w:right w:w="108" w:type="dxa"/>
            </w:tcMar>
            <w:vAlign w:val="center"/>
          </w:tcPr>
          <w:p w14:paraId="0830C9EF" w14:textId="404D9C76" w:rsidR="000F5509" w:rsidRPr="00662906" w:rsidRDefault="000F5509" w:rsidP="000F09A9">
            <w:pPr>
              <w:ind w:left="113" w:right="113"/>
              <w:jc w:val="center"/>
              <w:rPr>
                <w:rFonts w:eastAsia="Arial" w:cs="Arial"/>
                <w:b/>
                <w:bCs/>
              </w:rPr>
            </w:pPr>
            <w:r w:rsidRPr="00662906">
              <w:rPr>
                <w:rFonts w:eastAsia="Arial" w:cs="Arial"/>
                <w:b/>
                <w:bCs/>
              </w:rPr>
              <w:t>HIGH</w:t>
            </w:r>
          </w:p>
        </w:tc>
      </w:tr>
    </w:tbl>
    <w:p w14:paraId="7B334C39" w14:textId="3FDA8E51" w:rsidR="000F09A9" w:rsidRPr="00662906" w:rsidRDefault="000F09A9" w:rsidP="000F09A9">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3B5F0B2" w14:textId="77777777" w:rsidR="008B050B" w:rsidRPr="00662906" w:rsidRDefault="008B050B" w:rsidP="008B050B">
      <w:pPr>
        <w:pStyle w:val="Heading2"/>
      </w:pPr>
      <w:bookmarkStart w:id="793" w:name="_Toc197433870"/>
      <w:bookmarkStart w:id="794" w:name="_Toc171955563"/>
      <w:bookmarkStart w:id="795" w:name="_Toc176190968"/>
      <w:bookmarkStart w:id="796" w:name="_Toc176191134"/>
      <w:bookmarkStart w:id="797" w:name="_Toc176341853"/>
      <w:bookmarkStart w:id="798" w:name="_Toc176430247"/>
      <w:bookmarkStart w:id="799" w:name="_Toc176430304"/>
      <w:bookmarkStart w:id="800" w:name="_Toc176441436"/>
      <w:bookmarkStart w:id="801" w:name="_Toc176442091"/>
      <w:bookmarkStart w:id="802" w:name="_Toc178937505"/>
      <w:r w:rsidRPr="00662906">
        <w:t>Financing Options and Resource mobilization for the ETSAP</w:t>
      </w:r>
      <w:bookmarkEnd w:id="793"/>
    </w:p>
    <w:p w14:paraId="65DF9B27" w14:textId="77777777" w:rsidR="008B050B" w:rsidRPr="00662906" w:rsidRDefault="008B050B" w:rsidP="008B050B">
      <w:pPr>
        <w:pStyle w:val="Heading3"/>
      </w:pPr>
      <w:bookmarkStart w:id="803" w:name="_Toc197433871"/>
      <w:r w:rsidRPr="00662906">
        <w:t>Financing the ETSAP</w:t>
      </w:r>
      <w:bookmarkEnd w:id="803"/>
      <w:r w:rsidRPr="00662906">
        <w:t xml:space="preserve"> </w:t>
      </w:r>
    </w:p>
    <w:p w14:paraId="4E502160" w14:textId="77777777" w:rsidR="008B050B" w:rsidRPr="00662906" w:rsidRDefault="008B050B" w:rsidP="008B050B">
      <w:r w:rsidRPr="00662906">
        <w:t>It will be necessary to mobilize a variety of funding sources for the implementation of ETSAP, to ensure:</w:t>
      </w:r>
    </w:p>
    <w:p w14:paraId="731D4387" w14:textId="77777777" w:rsidR="008B050B" w:rsidRPr="00662906" w:rsidRDefault="008B050B" w:rsidP="008B050B">
      <w:pPr>
        <w:pStyle w:val="ListParagraph"/>
        <w:spacing w:before="0" w:after="0" w:line="276" w:lineRule="auto"/>
        <w:rPr>
          <w:rFonts w:eastAsia="Arial" w:cs="Arial"/>
        </w:rPr>
      </w:pPr>
      <w:r w:rsidRPr="00662906">
        <w:rPr>
          <w:rFonts w:eastAsia="Arial" w:cs="Arial"/>
          <w:b/>
          <w:bCs/>
        </w:rPr>
        <w:t xml:space="preserve">Cost-competitiveness </w:t>
      </w:r>
      <w:r w:rsidRPr="00662906">
        <w:rPr>
          <w:rFonts w:eastAsia="Arial" w:cs="Arial"/>
        </w:rPr>
        <w:t>of recommended solutions, in line with market prices or ability to pay,</w:t>
      </w:r>
    </w:p>
    <w:p w14:paraId="44B48236" w14:textId="77777777" w:rsidR="008B050B" w:rsidRPr="00662906" w:rsidRDefault="008B050B" w:rsidP="008B050B">
      <w:pPr>
        <w:pStyle w:val="ListParagraph"/>
        <w:spacing w:before="0" w:after="0" w:line="276" w:lineRule="auto"/>
        <w:rPr>
          <w:rFonts w:eastAsia="Arial" w:cs="Arial"/>
        </w:rPr>
      </w:pPr>
      <w:r w:rsidRPr="00662906">
        <w:rPr>
          <w:rFonts w:eastAsia="Arial" w:cs="Arial"/>
          <w:b/>
          <w:bCs/>
        </w:rPr>
        <w:t>Public debt sustainability</w:t>
      </w:r>
      <w:r w:rsidRPr="00662906">
        <w:rPr>
          <w:rFonts w:eastAsia="Arial" w:cs="Arial"/>
        </w:rPr>
        <w:t xml:space="preserve">, countries’ abilities to meet all current and future payment obligations without exceptional financial assistance or going into default, </w:t>
      </w:r>
    </w:p>
    <w:p w14:paraId="5BF4284F" w14:textId="77777777" w:rsidR="008B050B" w:rsidRPr="00662906" w:rsidRDefault="008B050B" w:rsidP="008B050B">
      <w:pPr>
        <w:pStyle w:val="ListParagraph"/>
        <w:spacing w:before="0" w:after="0" w:line="276" w:lineRule="auto"/>
        <w:rPr>
          <w:rFonts w:eastAsia="Arial" w:cs="Arial"/>
        </w:rPr>
      </w:pPr>
      <w:r w:rsidRPr="00662906">
        <w:rPr>
          <w:rFonts w:eastAsia="Arial" w:cs="Arial"/>
          <w:b/>
          <w:bCs/>
        </w:rPr>
        <w:lastRenderedPageBreak/>
        <w:t>Sustainable private-sector involvement</w:t>
      </w:r>
      <w:r w:rsidRPr="00662906">
        <w:rPr>
          <w:rFonts w:eastAsia="Arial" w:cs="Arial"/>
        </w:rPr>
        <w:t xml:space="preserve"> in the sector to make sure the required volumes of financing are available. </w:t>
      </w:r>
    </w:p>
    <w:p w14:paraId="40BB3E9C" w14:textId="77777777" w:rsidR="008B050B" w:rsidRPr="00662906" w:rsidRDefault="008B050B" w:rsidP="008B050B">
      <w:r w:rsidRPr="00662906">
        <w:t>The fiscal situation of the member states and the low financial capacity of many utilities make financial equilibrium one of the main challenges in implementing the ETSAP.</w:t>
      </w:r>
    </w:p>
    <w:p w14:paraId="6A5DAD54" w14:textId="77777777" w:rsidR="008B050B" w:rsidRPr="00662906" w:rsidRDefault="008B050B" w:rsidP="008B050B">
      <w:r w:rsidRPr="00662906">
        <w:t xml:space="preserve">From this perspective, the optimization of resources and the support of technical and financial partners will be critical elements of implementing the strategy. </w:t>
      </w:r>
    </w:p>
    <w:p w14:paraId="26CF545F" w14:textId="77777777" w:rsidR="008B050B" w:rsidRPr="00662906" w:rsidRDefault="008B050B" w:rsidP="008B050B">
      <w:r w:rsidRPr="00662906">
        <w:rPr>
          <w:b/>
        </w:rPr>
        <w:t>Financing strategy and resource mobilisation</w:t>
      </w:r>
    </w:p>
    <w:p w14:paraId="7AE486B7" w14:textId="77777777" w:rsidR="008B050B" w:rsidRPr="00662906" w:rsidRDefault="008B050B" w:rsidP="008B050B">
      <w:r w:rsidRPr="00662906">
        <w:t>The financing strategy must be based on several pillars:</w:t>
      </w:r>
    </w:p>
    <w:p w14:paraId="2C112241" w14:textId="19175907" w:rsidR="008B050B" w:rsidRPr="00662906" w:rsidRDefault="008B050B" w:rsidP="00561F4E">
      <w:pPr>
        <w:pStyle w:val="ListParagraph"/>
        <w:spacing w:before="0" w:after="0" w:line="276" w:lineRule="auto"/>
      </w:pPr>
      <w:r w:rsidRPr="00662906">
        <w:rPr>
          <w:b/>
          <w:bCs/>
        </w:rPr>
        <w:t>Optimizing state support</w:t>
      </w:r>
      <w:r w:rsidRPr="00662906">
        <w:t xml:space="preserve"> through targeted investment subsidies and policy incentives. For the power sector, this implies continuing structural reforms and the search for a lower-cost energy mix through investments in power generation and transmission systems, to limit the amount of public funds dedicated to operating costs. For other sectors, political support and incentives must be aimed at improving the deployment of more efficient </w:t>
      </w:r>
      <w:r w:rsidR="007C1DE3" w:rsidRPr="00662906">
        <w:t>equipment</w:t>
      </w:r>
      <w:r w:rsidRPr="00662906">
        <w:t>.</w:t>
      </w:r>
    </w:p>
    <w:p w14:paraId="285BD030" w14:textId="16BD41E7" w:rsidR="008B050B" w:rsidRPr="00662906" w:rsidRDefault="008B050B" w:rsidP="00561F4E">
      <w:pPr>
        <w:pStyle w:val="ListParagraph"/>
        <w:spacing w:before="0" w:after="0" w:line="276" w:lineRule="auto"/>
      </w:pPr>
      <w:r w:rsidRPr="00662906">
        <w:rPr>
          <w:b/>
          <w:bCs/>
        </w:rPr>
        <w:t xml:space="preserve">Coordination of donors and the various DFIs around a common roadmap: </w:t>
      </w:r>
      <w:r w:rsidRPr="00662906">
        <w:t>ensuring that monitoring and planning mechanisms, as well as advisory services, are embedded into assistance programmes at the level of ministries and implementing agencies. This support aims to maximise synergies and learning between DFI-funded programmes and to limit bottlenecks in implementation through increased support for early-stage projects.</w:t>
      </w:r>
      <w:r w:rsidR="007C1DE3" w:rsidRPr="00662906">
        <w:rPr>
          <w:b/>
          <w:bCs/>
        </w:rPr>
        <w:t xml:space="preserve"> </w:t>
      </w:r>
      <w:r w:rsidRPr="00662906">
        <w:rPr>
          <w:b/>
          <w:bCs/>
        </w:rPr>
        <w:t xml:space="preserve">The mobilization of climate financing </w:t>
      </w:r>
      <w:r w:rsidRPr="00662906">
        <w:t>as a complementary source of funding, with a strategy focused on seeking funding opportunities from Global Climate Fund, other national or international funds,</w:t>
      </w:r>
      <w:r w:rsidRPr="00662906">
        <w:rPr>
          <w:color w:val="53575A"/>
        </w:rPr>
        <w:t xml:space="preserve"> emerging funding solutions such as carbon financing, green bonds </w:t>
      </w:r>
      <w:r w:rsidRPr="00662906">
        <w:t>and Debt for Decarbonization Swaps, if the reduction in CO2 emissions can be measured.</w:t>
      </w:r>
    </w:p>
    <w:p w14:paraId="654E7A3B" w14:textId="77777777" w:rsidR="008B050B" w:rsidRPr="00662906" w:rsidRDefault="008B050B" w:rsidP="00561F4E">
      <w:pPr>
        <w:pStyle w:val="ListParagraph"/>
        <w:spacing w:before="0" w:after="0" w:line="276" w:lineRule="auto"/>
      </w:pPr>
      <w:r w:rsidRPr="00662906">
        <w:rPr>
          <w:b/>
          <w:bCs/>
        </w:rPr>
        <w:t>Increasing private sector participation</w:t>
      </w:r>
      <w:r w:rsidRPr="00662906">
        <w:t xml:space="preserve"> in investments through blended finance programs and increased access to de-risking support.</w:t>
      </w:r>
    </w:p>
    <w:p w14:paraId="0EB41D80" w14:textId="77777777" w:rsidR="008B050B" w:rsidRPr="00662906" w:rsidRDefault="008B050B" w:rsidP="008B050B">
      <w:r w:rsidRPr="00662906">
        <w:t xml:space="preserve">There is a mixture of financing instruments/sources that can be used to fund the implementation of ETSAP; therefore, it will be important to match funding sources and strategies with specific ETSAP actions. </w:t>
      </w:r>
    </w:p>
    <w:p w14:paraId="2EDC78D7" w14:textId="77777777" w:rsidR="008B050B" w:rsidRPr="00662906" w:rsidRDefault="008B050B" w:rsidP="008B050B">
      <w:r w:rsidRPr="00662906">
        <w:t>Particularly, advisory services at ministries’ level, capacity building for implementing agencies and actions that entail developing enabling environment (policies, institutions, capacity building, information systems and planning) are amenable to DFIs grant funding. For projects type actions, both public and private sector funding can be deployed. Public funding will be a combination of government budgets, DFIs grants and concessional loans. Private sources will play an increasingly important role in financing clean energy projects when the investment environment is more attractive, secure, and mature, with the help of de-risking tools from DFIs.</w:t>
      </w:r>
    </w:p>
    <w:p w14:paraId="5B149291" w14:textId="77777777" w:rsidR="008B050B" w:rsidRPr="00662906" w:rsidRDefault="008B050B" w:rsidP="008B050B">
      <w:r w:rsidRPr="00662906">
        <w:t xml:space="preserve">There are various sources of financing that can be obtained by project developers with facilitation of both RECs and MS by providing the necessary support such as guarantees and letters of support and creating conducive policy environments. The role of </w:t>
      </w:r>
      <w:r w:rsidRPr="00662906">
        <w:rPr>
          <w:rFonts w:cs="Arial"/>
        </w:rPr>
        <w:t>Multilateral Development Banks (</w:t>
      </w:r>
      <w:r w:rsidRPr="00662906">
        <w:t>MDBs) is also central, particularly in project development, preparation, and implementation. In addition to applying their own financing mechanisms, these institutions facilitate large-scale regional sustainable energy projects, by catalysing public and private funds and mobilizing additional concessional and innovative finance. Climate Finance is another interesting source of funding for these projects – using different frameworks such as the Global Climate Fund.</w:t>
      </w:r>
    </w:p>
    <w:p w14:paraId="3F47A2F0" w14:textId="77777777" w:rsidR="008B050B" w:rsidRPr="00662906" w:rsidRDefault="008B050B" w:rsidP="008B050B">
      <w:r w:rsidRPr="00662906">
        <w:t xml:space="preserve">Both MS and RECs can also create special purpose investment funds particularly for small projects (currently without adequate access to financing, due to their inherent high transaction costs) involving both national and regional development banks. </w:t>
      </w:r>
    </w:p>
    <w:p w14:paraId="3A4297FF" w14:textId="77777777" w:rsidR="008B050B" w:rsidRPr="00662906" w:rsidRDefault="008B050B" w:rsidP="008B050B">
      <w:r w:rsidRPr="00662906">
        <w:t xml:space="preserve">Also worth mentioning is the use of procurement tools to establish new markets for new technologies, especially in the EE and access to energy sectors. MS could lead the negotiation/dialogue between buyers and manufacturers for bulk procurement of efficient appliances and equipment to introduce and </w:t>
      </w:r>
      <w:r w:rsidRPr="00662906">
        <w:lastRenderedPageBreak/>
        <w:t>accelerate their adoption by the end-users. These innovative procurement tools would improve the confidence of manufacturers to enter and adapt their technologies to the new markets.</w:t>
      </w:r>
    </w:p>
    <w:p w14:paraId="27CDDE11" w14:textId="4AF418EE" w:rsidR="008B050B" w:rsidRPr="00662906" w:rsidRDefault="008B050B" w:rsidP="008B050B">
      <w:r w:rsidRPr="00662906">
        <w:t>A</w:t>
      </w:r>
      <w:r w:rsidR="002122E5" w:rsidRPr="00662906">
        <w:t>FREC</w:t>
      </w:r>
      <w:r w:rsidRPr="00662906">
        <w:t xml:space="preserve"> will have the responsibility to coordinate resource mobilization, also giving endorsement support to RECS and MS to ensure implementation of the ETSAP. The actual amounts of financial resources required to implement ETSAP at both regional and MS level will be determined on a case-by-case basis as the identified actions will need to be further developed into the DDP. </w:t>
      </w:r>
    </w:p>
    <w:p w14:paraId="1FCCF025" w14:textId="4E2B7721" w:rsidR="008B050B" w:rsidRPr="00662906" w:rsidRDefault="008B050B" w:rsidP="008B050B">
      <w:pPr>
        <w:rPr>
          <w:rFonts w:eastAsia="Arial" w:cs="Arial"/>
        </w:rPr>
      </w:pPr>
      <w:r w:rsidRPr="00662906">
        <w:rPr>
          <w:rFonts w:eastAsia="Arial" w:cs="Arial"/>
        </w:rPr>
        <w:t>Budgeting can be done for each proposed Action</w:t>
      </w:r>
      <w:r w:rsidR="00B4701B" w:rsidRPr="00662906">
        <w:rPr>
          <w:rFonts w:eastAsia="Arial" w:cs="Arial"/>
        </w:rPr>
        <w:t xml:space="preserve"> in the Action Plan</w:t>
      </w:r>
      <w:r w:rsidRPr="00662906">
        <w:rPr>
          <w:rFonts w:eastAsia="Arial" w:cs="Arial"/>
        </w:rPr>
        <w:t>, but</w:t>
      </w:r>
      <w:r w:rsidR="00AC3271" w:rsidRPr="00662906">
        <w:rPr>
          <w:rFonts w:eastAsia="Arial" w:cs="Arial"/>
        </w:rPr>
        <w:t xml:space="preserve"> </w:t>
      </w:r>
      <w:r w:rsidRPr="00662906">
        <w:rPr>
          <w:rFonts w:eastAsia="Arial" w:cs="Arial"/>
        </w:rPr>
        <w:t>the estimates can only be indicative as both costs and timeframes will change over time. Actual budgets will also be derived when Terms of Reference are prepared for the implementation of these Actions. What the budget presents is a size of magnitude of what resources will be expected to implement the ETSAP.</w:t>
      </w:r>
    </w:p>
    <w:p w14:paraId="1425773D" w14:textId="1CE9DEB3" w:rsidR="008B050B" w:rsidRPr="00662906" w:rsidRDefault="008B050B" w:rsidP="008B050B">
      <w:pPr>
        <w:rPr>
          <w:rFonts w:eastAsia="Arial" w:cs="Arial"/>
        </w:rPr>
      </w:pPr>
      <w:r w:rsidRPr="00662906">
        <w:rPr>
          <w:rFonts w:eastAsia="Arial" w:cs="Arial"/>
        </w:rPr>
        <w:t>The Actions have been divided into continental, regional and national. Continental and Regional Actions were estimated from previous assignments of similar type e.g., studies, policy/strategy/master plan development, training/capacity building, awareness raising. In the case of national action plans, a set of pilot AU Member States most relevant to the subsector are proposed e.g., 5 pilot AU Member States each representing each of the 5 AU regions or oil producing countries or those heavily reliant on traditional biomass etc. In terms of mobilizing resources at AU level, AFREC can then support the pilot AU Member States similar to what is being done for the DDPs. Lessons from these pilot national actions can then be replicated in other AU Member States with similar characteristics e.g., resources, socio-economies. Costing national Actions for 55 AU Member States will be a challenge and cannot not take into consideration the socio-economic, environmental resource endowment etc. disparities in all the AU Member States. Budgeting has been done only for the “Quick Wins” in the Guidelines as these are short term actions that can be implemented at National level.</w:t>
      </w:r>
    </w:p>
    <w:p w14:paraId="7C5C10AF" w14:textId="77777777" w:rsidR="008B050B" w:rsidRPr="00662906" w:rsidRDefault="008B050B" w:rsidP="008B050B">
      <w:pPr>
        <w:pStyle w:val="Heading3"/>
      </w:pPr>
      <w:bookmarkStart w:id="804" w:name="_Toc197433872"/>
      <w:r w:rsidRPr="00662906">
        <w:t>Budgeting Assumptions and Estimation</w:t>
      </w:r>
      <w:bookmarkEnd w:id="804"/>
    </w:p>
    <w:p w14:paraId="72F90C3F" w14:textId="53114348" w:rsidR="008B050B" w:rsidRPr="00662906" w:rsidRDefault="008B050B" w:rsidP="008B050B">
      <w:r w:rsidRPr="00662906">
        <w:t xml:space="preserve">Budgeting for each Strategic Intervention and related actions are only indicative as both costs and timeframes </w:t>
      </w:r>
      <w:r w:rsidR="00AE7D1F" w:rsidRPr="00662906">
        <w:t>may</w:t>
      </w:r>
      <w:r w:rsidRPr="00662906">
        <w:t xml:space="preserve"> change over time. Actual budgets will also be derived when Terms of Reference are prepared for the implementation of the Strategic Actions</w:t>
      </w:r>
      <w:r w:rsidR="002122E5" w:rsidRPr="00662906">
        <w:t xml:space="preserve"> and their related Activities</w:t>
      </w:r>
      <w:r w:rsidRPr="00662906">
        <w:t>. What the budget presents is a size of magnitude of what resources will be expected to implement the ETSAP hence assisting the relevant stakeholders to have an idea of how much resources to mobilize from funders.</w:t>
      </w:r>
    </w:p>
    <w:p w14:paraId="5757C4B2" w14:textId="77777777" w:rsidR="008B050B" w:rsidRPr="00662906" w:rsidRDefault="008B050B" w:rsidP="008B050B">
      <w:r w:rsidRPr="00662906">
        <w:t xml:space="preserve">In developing current budget estimates for the Action Plans, the focus was primarily on short-term assignments implemented at the continental level. This decision is based on several pragmatic considerations. First, providing budgets for medium- and long-term activities leads to an increased level of uncertainties. Planning for activities beyond five years introduces significant variability in costs—such as inflation rates, technological advancements, and political or economic shifts, highly determined by the DDP at national level—that cannot be accurately predicted at this stage. </w:t>
      </w:r>
    </w:p>
    <w:p w14:paraId="5D21CB96" w14:textId="77777777" w:rsidR="008B050B" w:rsidRPr="00662906" w:rsidRDefault="008B050B" w:rsidP="008B050B">
      <w:r w:rsidRPr="00662906">
        <w:t>At the continental level, short-term activities are largely consulting-based, involving expert work, stakeholder consultations, and technical assistance. This makes them relatively straightforward to estimate, as they primarily consist of professional services with predictable costs, such as daily consulting rates and incidental expenses. These estimations can be derived with reasonable accuracy and without the need for complex assumptions.</w:t>
      </w:r>
    </w:p>
    <w:p w14:paraId="748C1B0C" w14:textId="14E45EFC" w:rsidR="008B050B" w:rsidRPr="00662906" w:rsidRDefault="008B050B" w:rsidP="008B050B">
      <w:r w:rsidRPr="00662906">
        <w:t>Table 4</w:t>
      </w:r>
      <w:r w:rsidR="003C4B5B" w:rsidRPr="00662906">
        <w:t>5</w:t>
      </w:r>
      <w:r w:rsidRPr="00662906">
        <w:t xml:space="preserve"> hence only presents budgets that will be needed to implement only short-term continental Actions by subsector, and Strategic Interventions.</w:t>
      </w:r>
      <w:r w:rsidR="00AC3271" w:rsidRPr="00662906">
        <w:t xml:space="preserve"> </w:t>
      </w:r>
      <w:r w:rsidRPr="00662906">
        <w:t xml:space="preserve">The total budget between 2025 and 2030 for the short-term continental subsector Actions was estimated to be about </w:t>
      </w:r>
      <w:r w:rsidR="00CD30D5" w:rsidRPr="00662906">
        <w:t xml:space="preserve">USD </w:t>
      </w:r>
      <w:r w:rsidRPr="00662906">
        <w:t>11 million.</w:t>
      </w:r>
    </w:p>
    <w:p w14:paraId="3DF6883B" w14:textId="6E689F91" w:rsidR="008B050B" w:rsidRPr="00662906" w:rsidRDefault="008B050B" w:rsidP="008B050B">
      <w:pPr>
        <w:pStyle w:val="Caption"/>
      </w:pPr>
      <w:bookmarkStart w:id="805" w:name="_Toc197433933"/>
      <w:r w:rsidRPr="00662906">
        <w:t xml:space="preserve">Table </w:t>
      </w:r>
      <w:fldSimple w:instr=" SEQ Table \* ARABIC ">
        <w:r w:rsidR="00610F61">
          <w:rPr>
            <w:noProof/>
          </w:rPr>
          <w:t>45</w:t>
        </w:r>
      </w:fldSimple>
      <w:r w:rsidRPr="00662906">
        <w:t>: Budget estimates for implementing short term (up to 2030) continental Actions of the ETSAP subsectors</w:t>
      </w:r>
      <w:bookmarkEnd w:id="8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
        <w:gridCol w:w="1195"/>
        <w:gridCol w:w="1484"/>
        <w:gridCol w:w="2873"/>
        <w:gridCol w:w="1619"/>
        <w:gridCol w:w="1306"/>
      </w:tblGrid>
      <w:tr w:rsidR="00D72DE6" w:rsidRPr="00662906" w14:paraId="3677BA15" w14:textId="77777777" w:rsidTr="00561F4E">
        <w:trPr>
          <w:trHeight w:val="454"/>
        </w:trPr>
        <w:tc>
          <w:tcPr>
            <w:tcW w:w="539" w:type="dxa"/>
            <w:shd w:val="clear" w:color="auto" w:fill="B4A269" w:themeFill="text2"/>
            <w:vAlign w:val="center"/>
          </w:tcPr>
          <w:p w14:paraId="35D5166D" w14:textId="77777777" w:rsidR="008B050B" w:rsidRPr="00662906" w:rsidRDefault="008B050B"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No.</w:t>
            </w:r>
          </w:p>
        </w:tc>
        <w:tc>
          <w:tcPr>
            <w:tcW w:w="1195" w:type="dxa"/>
            <w:shd w:val="clear" w:color="auto" w:fill="B4A269" w:themeFill="text2"/>
            <w:vAlign w:val="center"/>
          </w:tcPr>
          <w:p w14:paraId="4ACA2904" w14:textId="77777777" w:rsidR="008B050B" w:rsidRPr="00662906" w:rsidRDefault="008B050B"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Subsector</w:t>
            </w:r>
          </w:p>
        </w:tc>
        <w:tc>
          <w:tcPr>
            <w:tcW w:w="1484" w:type="dxa"/>
            <w:shd w:val="clear" w:color="auto" w:fill="B4A269" w:themeFill="text2"/>
            <w:vAlign w:val="center"/>
          </w:tcPr>
          <w:p w14:paraId="48945AFD" w14:textId="77777777" w:rsidR="008B050B" w:rsidRPr="00662906" w:rsidRDefault="008B050B"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Objective</w:t>
            </w:r>
          </w:p>
        </w:tc>
        <w:tc>
          <w:tcPr>
            <w:tcW w:w="2873" w:type="dxa"/>
            <w:shd w:val="clear" w:color="auto" w:fill="B4A269" w:themeFill="text2"/>
            <w:vAlign w:val="center"/>
          </w:tcPr>
          <w:p w14:paraId="7E738242" w14:textId="77777777" w:rsidR="008B050B" w:rsidRPr="00662906" w:rsidRDefault="008B050B"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Interventions</w:t>
            </w:r>
          </w:p>
        </w:tc>
        <w:tc>
          <w:tcPr>
            <w:tcW w:w="1619" w:type="dxa"/>
            <w:shd w:val="clear" w:color="auto" w:fill="B4A269" w:themeFill="text2"/>
            <w:vAlign w:val="center"/>
          </w:tcPr>
          <w:p w14:paraId="305922D3" w14:textId="116D33E9"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Estimated Budget. (</w:t>
            </w:r>
            <w:r w:rsidR="002122E5" w:rsidRPr="00662906">
              <w:rPr>
                <w:rFonts w:eastAsia="Arial" w:cs="Arial"/>
                <w:b/>
                <w:bCs/>
                <w:color w:val="FFFFFF" w:themeColor="background2"/>
                <w:sz w:val="18"/>
                <w:szCs w:val="18"/>
              </w:rPr>
              <w:t>USD</w:t>
            </w:r>
            <w:r w:rsidRPr="00662906">
              <w:rPr>
                <w:rFonts w:eastAsia="Arial" w:cs="Arial"/>
                <w:b/>
                <w:bCs/>
                <w:color w:val="FFFFFF" w:themeColor="background2"/>
                <w:sz w:val="18"/>
                <w:szCs w:val="18"/>
              </w:rPr>
              <w:t>)</w:t>
            </w:r>
          </w:p>
        </w:tc>
        <w:tc>
          <w:tcPr>
            <w:tcW w:w="1306" w:type="dxa"/>
            <w:shd w:val="clear" w:color="auto" w:fill="B4A269" w:themeFill="text2"/>
            <w:vAlign w:val="center"/>
          </w:tcPr>
          <w:p w14:paraId="6699D470" w14:textId="1EAAA62C"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Subsector Total</w:t>
            </w:r>
            <w:r w:rsidR="007D27F1" w:rsidRPr="00662906">
              <w:rPr>
                <w:rFonts w:eastAsia="Arial" w:cs="Arial"/>
                <w:b/>
                <w:bCs/>
                <w:color w:val="FFFFFF" w:themeColor="background2"/>
                <w:sz w:val="18"/>
                <w:szCs w:val="18"/>
              </w:rPr>
              <w:t xml:space="preserve"> (USD)</w:t>
            </w:r>
          </w:p>
        </w:tc>
      </w:tr>
      <w:tr w:rsidR="00D72DE6" w:rsidRPr="00662906" w14:paraId="591C1875" w14:textId="77777777" w:rsidTr="00561F4E">
        <w:trPr>
          <w:trHeight w:val="435"/>
        </w:trPr>
        <w:tc>
          <w:tcPr>
            <w:tcW w:w="539" w:type="dxa"/>
            <w:vMerge w:val="restart"/>
            <w:vAlign w:val="center"/>
          </w:tcPr>
          <w:p w14:paraId="2A2A98F6"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1</w:t>
            </w:r>
          </w:p>
        </w:tc>
        <w:tc>
          <w:tcPr>
            <w:tcW w:w="1195" w:type="dxa"/>
            <w:vMerge w:val="restart"/>
            <w:vAlign w:val="center"/>
          </w:tcPr>
          <w:p w14:paraId="3F3AED55"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Electricity subsector</w:t>
            </w:r>
          </w:p>
        </w:tc>
        <w:tc>
          <w:tcPr>
            <w:tcW w:w="1484" w:type="dxa"/>
            <w:vMerge w:val="restart"/>
            <w:vAlign w:val="center"/>
          </w:tcPr>
          <w:p w14:paraId="52AFB928"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Strengthen and Modernize Energy Infrastructure and Systems in the Electricity Supply Industry</w:t>
            </w:r>
          </w:p>
        </w:tc>
        <w:tc>
          <w:tcPr>
            <w:tcW w:w="2873" w:type="dxa"/>
            <w:vAlign w:val="center"/>
          </w:tcPr>
          <w:p w14:paraId="3A5F2739" w14:textId="584EFB38" w:rsidR="008B050B" w:rsidRPr="00662906" w:rsidRDefault="008B050B" w:rsidP="00561F4E">
            <w:pPr>
              <w:spacing w:before="40" w:after="40" w:line="214" w:lineRule="auto"/>
              <w:jc w:val="center"/>
              <w:rPr>
                <w:rFonts w:eastAsia="Arial" w:cs="Arial"/>
                <w:b/>
                <w:bCs/>
                <w:color w:val="156082"/>
                <w:sz w:val="18"/>
                <w:szCs w:val="18"/>
              </w:rPr>
            </w:pPr>
            <w:r w:rsidRPr="00662906">
              <w:rPr>
                <w:rFonts w:eastAsia="Arial" w:cs="Arial"/>
                <w:color w:val="394A58"/>
                <w:sz w:val="18"/>
                <w:szCs w:val="18"/>
              </w:rPr>
              <w:t xml:space="preserve">Strategic Intervention 1.1: </w:t>
            </w:r>
            <w:r w:rsidRPr="00662906">
              <w:rPr>
                <w:rFonts w:eastAsiaTheme="minorEastAsia" w:cs="Arial"/>
                <w:color w:val="394A58"/>
                <w:sz w:val="18"/>
                <w:szCs w:val="18"/>
              </w:rPr>
              <w:t>Accelerate the deployment of RE</w:t>
            </w:r>
          </w:p>
          <w:p w14:paraId="6F707A90" w14:textId="77777777" w:rsidR="008B050B" w:rsidRPr="00662906" w:rsidRDefault="008B050B" w:rsidP="00561F4E">
            <w:pPr>
              <w:spacing w:before="40" w:after="40" w:line="240" w:lineRule="auto"/>
              <w:jc w:val="center"/>
              <w:rPr>
                <w:rFonts w:cs="Arial"/>
                <w:sz w:val="18"/>
                <w:szCs w:val="18"/>
              </w:rPr>
            </w:pPr>
          </w:p>
          <w:p w14:paraId="491AE3BE" w14:textId="77777777" w:rsidR="008B050B" w:rsidRPr="00662906" w:rsidRDefault="008B050B" w:rsidP="00561F4E">
            <w:pPr>
              <w:spacing w:before="40" w:after="40" w:line="240" w:lineRule="auto"/>
              <w:jc w:val="center"/>
              <w:rPr>
                <w:rFonts w:eastAsia="Arial" w:cs="Arial"/>
                <w:color w:val="394A58"/>
                <w:sz w:val="18"/>
                <w:szCs w:val="18"/>
              </w:rPr>
            </w:pPr>
          </w:p>
        </w:tc>
        <w:tc>
          <w:tcPr>
            <w:tcW w:w="1619" w:type="dxa"/>
            <w:vAlign w:val="center"/>
          </w:tcPr>
          <w:p w14:paraId="279FCC90" w14:textId="181CB1B5"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lastRenderedPageBreak/>
              <w:t>997</w:t>
            </w:r>
            <w:r w:rsidR="008B050B" w:rsidRPr="00662906">
              <w:rPr>
                <w:rFonts w:eastAsia="Arial" w:cs="Arial"/>
                <w:color w:val="394A58"/>
                <w:sz w:val="18"/>
                <w:szCs w:val="18"/>
              </w:rPr>
              <w:t>,500</w:t>
            </w:r>
          </w:p>
        </w:tc>
        <w:tc>
          <w:tcPr>
            <w:tcW w:w="1306" w:type="dxa"/>
            <w:vMerge w:val="restart"/>
            <w:vAlign w:val="center"/>
          </w:tcPr>
          <w:p w14:paraId="3877704D" w14:textId="1FDA1D29"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1,199,</w:t>
            </w:r>
            <w:r w:rsidR="008B050B" w:rsidRPr="00662906">
              <w:rPr>
                <w:rFonts w:eastAsia="Arial" w:cs="Arial"/>
                <w:color w:val="394A58"/>
                <w:sz w:val="18"/>
                <w:szCs w:val="18"/>
              </w:rPr>
              <w:t>000</w:t>
            </w:r>
            <w:r w:rsidR="008B050B" w:rsidRPr="00662906">
              <w:rPr>
                <w:rStyle w:val="FootnoteReference"/>
                <w:rFonts w:eastAsia="Arial" w:cs="Arial"/>
                <w:color w:val="394A58"/>
                <w:sz w:val="18"/>
                <w:szCs w:val="18"/>
              </w:rPr>
              <w:footnoteReference w:id="41"/>
            </w:r>
          </w:p>
        </w:tc>
      </w:tr>
      <w:tr w:rsidR="00D72DE6" w:rsidRPr="00662906" w14:paraId="11C306B8" w14:textId="77777777" w:rsidTr="00561F4E">
        <w:trPr>
          <w:trHeight w:val="495"/>
        </w:trPr>
        <w:tc>
          <w:tcPr>
            <w:tcW w:w="539" w:type="dxa"/>
            <w:vMerge/>
            <w:vAlign w:val="center"/>
          </w:tcPr>
          <w:p w14:paraId="25E31C38" w14:textId="77777777" w:rsidR="008B050B" w:rsidRPr="00662906" w:rsidRDefault="008B050B" w:rsidP="00561F4E">
            <w:pPr>
              <w:jc w:val="center"/>
              <w:rPr>
                <w:rFonts w:cs="Arial"/>
                <w:sz w:val="18"/>
                <w:szCs w:val="18"/>
              </w:rPr>
            </w:pPr>
          </w:p>
        </w:tc>
        <w:tc>
          <w:tcPr>
            <w:tcW w:w="1195" w:type="dxa"/>
            <w:vMerge/>
            <w:vAlign w:val="center"/>
          </w:tcPr>
          <w:p w14:paraId="14BE5069" w14:textId="77777777" w:rsidR="008B050B" w:rsidRPr="00662906" w:rsidRDefault="008B050B" w:rsidP="00561F4E">
            <w:pPr>
              <w:jc w:val="center"/>
              <w:rPr>
                <w:rFonts w:cs="Arial"/>
                <w:sz w:val="18"/>
                <w:szCs w:val="18"/>
              </w:rPr>
            </w:pPr>
          </w:p>
        </w:tc>
        <w:tc>
          <w:tcPr>
            <w:tcW w:w="1484" w:type="dxa"/>
            <w:vMerge/>
            <w:vAlign w:val="center"/>
          </w:tcPr>
          <w:p w14:paraId="641F8B3B" w14:textId="77777777" w:rsidR="008B050B" w:rsidRPr="00662906" w:rsidRDefault="008B050B" w:rsidP="00561F4E">
            <w:pPr>
              <w:jc w:val="center"/>
              <w:rPr>
                <w:rFonts w:cs="Arial"/>
                <w:sz w:val="18"/>
                <w:szCs w:val="18"/>
              </w:rPr>
            </w:pPr>
          </w:p>
        </w:tc>
        <w:tc>
          <w:tcPr>
            <w:tcW w:w="2873" w:type="dxa"/>
            <w:vAlign w:val="center"/>
          </w:tcPr>
          <w:p w14:paraId="292D5464" w14:textId="77777777" w:rsidR="008B050B" w:rsidRPr="00662906" w:rsidRDefault="008B050B" w:rsidP="00561F4E">
            <w:pPr>
              <w:spacing w:before="40" w:after="40" w:line="214" w:lineRule="auto"/>
              <w:jc w:val="center"/>
              <w:rPr>
                <w:rFonts w:eastAsia="Arial" w:cs="Arial"/>
                <w:b/>
                <w:bCs/>
                <w:color w:val="156082"/>
                <w:sz w:val="18"/>
                <w:szCs w:val="18"/>
              </w:rPr>
            </w:pPr>
            <w:r w:rsidRPr="00662906">
              <w:rPr>
                <w:rFonts w:eastAsia="Arial" w:cs="Arial"/>
                <w:color w:val="394A58"/>
                <w:sz w:val="18"/>
                <w:szCs w:val="18"/>
              </w:rPr>
              <w:t xml:space="preserve">Strategic Intervention 1.2: </w:t>
            </w:r>
            <w:r w:rsidRPr="00662906">
              <w:rPr>
                <w:rFonts w:eastAsiaTheme="minorEastAsia" w:cs="Arial"/>
                <w:color w:val="394A58"/>
                <w:sz w:val="18"/>
                <w:szCs w:val="18"/>
              </w:rPr>
              <w:t xml:space="preserve"> Foster and Accelerate development of resilient Transmission and Distribution networks to support deployment and trade of clean and RE power</w:t>
            </w:r>
          </w:p>
          <w:p w14:paraId="4B0B40C4" w14:textId="77777777" w:rsidR="008B050B" w:rsidRPr="00662906" w:rsidRDefault="008B050B" w:rsidP="00561F4E">
            <w:pPr>
              <w:spacing w:before="40" w:after="40" w:line="240" w:lineRule="auto"/>
              <w:jc w:val="center"/>
              <w:rPr>
                <w:rFonts w:cs="Arial"/>
                <w:sz w:val="18"/>
                <w:szCs w:val="18"/>
              </w:rPr>
            </w:pPr>
          </w:p>
          <w:p w14:paraId="09C08123" w14:textId="77777777" w:rsidR="008B050B" w:rsidRPr="00662906" w:rsidRDefault="008B050B" w:rsidP="00561F4E">
            <w:pPr>
              <w:spacing w:before="40" w:after="40" w:line="240" w:lineRule="auto"/>
              <w:jc w:val="center"/>
              <w:rPr>
                <w:rFonts w:eastAsia="Arial" w:cs="Arial"/>
                <w:color w:val="394A58"/>
                <w:sz w:val="18"/>
                <w:szCs w:val="18"/>
              </w:rPr>
            </w:pPr>
          </w:p>
        </w:tc>
        <w:tc>
          <w:tcPr>
            <w:tcW w:w="1619" w:type="dxa"/>
            <w:vAlign w:val="center"/>
          </w:tcPr>
          <w:p w14:paraId="3926DEB4" w14:textId="0D9D6E69"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201,</w:t>
            </w:r>
            <w:r w:rsidR="00D12DD6" w:rsidRPr="00662906">
              <w:rPr>
                <w:rFonts w:eastAsia="Arial" w:cs="Arial"/>
                <w:color w:val="394A58"/>
                <w:sz w:val="18"/>
                <w:szCs w:val="18"/>
              </w:rPr>
              <w:t>500</w:t>
            </w:r>
          </w:p>
        </w:tc>
        <w:tc>
          <w:tcPr>
            <w:tcW w:w="1306" w:type="dxa"/>
            <w:vMerge/>
            <w:vAlign w:val="center"/>
          </w:tcPr>
          <w:p w14:paraId="233A61B4"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4935DC01" w14:textId="77777777" w:rsidTr="00561F4E">
        <w:trPr>
          <w:trHeight w:val="617"/>
        </w:trPr>
        <w:tc>
          <w:tcPr>
            <w:tcW w:w="539" w:type="dxa"/>
            <w:vMerge w:val="restart"/>
            <w:vAlign w:val="center"/>
          </w:tcPr>
          <w:p w14:paraId="01E56989"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2</w:t>
            </w:r>
          </w:p>
        </w:tc>
        <w:tc>
          <w:tcPr>
            <w:tcW w:w="1195" w:type="dxa"/>
            <w:vMerge w:val="restart"/>
            <w:vAlign w:val="center"/>
          </w:tcPr>
          <w:p w14:paraId="590E5215"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Transport</w:t>
            </w:r>
          </w:p>
        </w:tc>
        <w:tc>
          <w:tcPr>
            <w:tcW w:w="1484" w:type="dxa"/>
            <w:vMerge w:val="restart"/>
            <w:vAlign w:val="center"/>
          </w:tcPr>
          <w:p w14:paraId="156FDB02"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Advance Sustainable Transport Solutions</w:t>
            </w:r>
          </w:p>
        </w:tc>
        <w:tc>
          <w:tcPr>
            <w:tcW w:w="2873" w:type="dxa"/>
            <w:vAlign w:val="center"/>
          </w:tcPr>
          <w:p w14:paraId="7F318B01" w14:textId="27C6F87E"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2.1. Promoting introduction of various NEVs and clean fuels in various sub sectors of the transport sector.</w:t>
            </w:r>
          </w:p>
        </w:tc>
        <w:tc>
          <w:tcPr>
            <w:tcW w:w="1619" w:type="dxa"/>
            <w:vAlign w:val="center"/>
          </w:tcPr>
          <w:p w14:paraId="2AAE96CE"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2,300,000</w:t>
            </w:r>
          </w:p>
        </w:tc>
        <w:tc>
          <w:tcPr>
            <w:tcW w:w="1306" w:type="dxa"/>
            <w:vMerge w:val="restart"/>
            <w:vAlign w:val="center"/>
          </w:tcPr>
          <w:p w14:paraId="06DC36FA" w14:textId="2C061C71"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4</w:t>
            </w:r>
            <w:r w:rsidR="00D12DD6" w:rsidRPr="00662906">
              <w:rPr>
                <w:rFonts w:eastAsia="Arial" w:cs="Arial"/>
                <w:color w:val="394A58"/>
                <w:sz w:val="18"/>
                <w:szCs w:val="18"/>
              </w:rPr>
              <w:t>,</w:t>
            </w:r>
            <w:r w:rsidRPr="00662906">
              <w:rPr>
                <w:rFonts w:eastAsia="Arial" w:cs="Arial"/>
                <w:color w:val="394A58"/>
                <w:sz w:val="18"/>
                <w:szCs w:val="18"/>
              </w:rPr>
              <w:t>150</w:t>
            </w:r>
            <w:r w:rsidR="00D12DD6" w:rsidRPr="00662906">
              <w:rPr>
                <w:rFonts w:eastAsia="Arial" w:cs="Arial"/>
                <w:color w:val="394A58"/>
                <w:sz w:val="18"/>
                <w:szCs w:val="18"/>
              </w:rPr>
              <w:t>,</w:t>
            </w:r>
            <w:r w:rsidRPr="00662906">
              <w:rPr>
                <w:rFonts w:eastAsia="Arial" w:cs="Arial"/>
                <w:color w:val="394A58"/>
                <w:sz w:val="18"/>
                <w:szCs w:val="18"/>
              </w:rPr>
              <w:t>000</w:t>
            </w:r>
          </w:p>
        </w:tc>
      </w:tr>
      <w:tr w:rsidR="00D72DE6" w:rsidRPr="00662906" w14:paraId="6343B66A" w14:textId="77777777" w:rsidTr="00561F4E">
        <w:trPr>
          <w:trHeight w:val="525"/>
        </w:trPr>
        <w:tc>
          <w:tcPr>
            <w:tcW w:w="539" w:type="dxa"/>
            <w:vMerge/>
            <w:vAlign w:val="center"/>
          </w:tcPr>
          <w:p w14:paraId="3245DB45" w14:textId="77777777" w:rsidR="008B050B" w:rsidRPr="00662906" w:rsidRDefault="008B050B" w:rsidP="00561F4E">
            <w:pPr>
              <w:jc w:val="center"/>
              <w:rPr>
                <w:rFonts w:cs="Arial"/>
                <w:sz w:val="18"/>
                <w:szCs w:val="18"/>
              </w:rPr>
            </w:pPr>
          </w:p>
        </w:tc>
        <w:tc>
          <w:tcPr>
            <w:tcW w:w="1195" w:type="dxa"/>
            <w:vMerge/>
            <w:vAlign w:val="center"/>
          </w:tcPr>
          <w:p w14:paraId="3CF9B5CA" w14:textId="77777777" w:rsidR="008B050B" w:rsidRPr="00662906" w:rsidRDefault="008B050B" w:rsidP="00561F4E">
            <w:pPr>
              <w:jc w:val="center"/>
              <w:rPr>
                <w:rFonts w:cs="Arial"/>
                <w:sz w:val="18"/>
                <w:szCs w:val="18"/>
              </w:rPr>
            </w:pPr>
          </w:p>
        </w:tc>
        <w:tc>
          <w:tcPr>
            <w:tcW w:w="1484" w:type="dxa"/>
            <w:vMerge/>
            <w:vAlign w:val="center"/>
          </w:tcPr>
          <w:p w14:paraId="52BFEA69" w14:textId="77777777" w:rsidR="008B050B" w:rsidRPr="00662906" w:rsidRDefault="008B050B" w:rsidP="00561F4E">
            <w:pPr>
              <w:jc w:val="center"/>
              <w:rPr>
                <w:rFonts w:cs="Arial"/>
                <w:sz w:val="18"/>
                <w:szCs w:val="18"/>
              </w:rPr>
            </w:pPr>
          </w:p>
        </w:tc>
        <w:tc>
          <w:tcPr>
            <w:tcW w:w="2873" w:type="dxa"/>
            <w:vAlign w:val="center"/>
          </w:tcPr>
          <w:p w14:paraId="2790AACB"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2.2: Transitioning the conventional transport systems to multi-modal transport systems for efficient use and energy demand reduction.</w:t>
            </w:r>
          </w:p>
        </w:tc>
        <w:tc>
          <w:tcPr>
            <w:tcW w:w="1619" w:type="dxa"/>
            <w:vAlign w:val="center"/>
          </w:tcPr>
          <w:p w14:paraId="73F4EFC1"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1,850,000</w:t>
            </w:r>
          </w:p>
        </w:tc>
        <w:tc>
          <w:tcPr>
            <w:tcW w:w="1306" w:type="dxa"/>
            <w:vMerge/>
            <w:vAlign w:val="center"/>
          </w:tcPr>
          <w:p w14:paraId="169EC04B"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167483A2" w14:textId="77777777" w:rsidTr="00561F4E">
        <w:trPr>
          <w:trHeight w:val="465"/>
        </w:trPr>
        <w:tc>
          <w:tcPr>
            <w:tcW w:w="539" w:type="dxa"/>
            <w:vMerge w:val="restart"/>
            <w:vAlign w:val="center"/>
          </w:tcPr>
          <w:p w14:paraId="37B9F10D"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3</w:t>
            </w:r>
          </w:p>
        </w:tc>
        <w:tc>
          <w:tcPr>
            <w:tcW w:w="1195" w:type="dxa"/>
            <w:vMerge w:val="restart"/>
            <w:vAlign w:val="center"/>
          </w:tcPr>
          <w:p w14:paraId="736152D1"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Buildings</w:t>
            </w:r>
          </w:p>
        </w:tc>
        <w:tc>
          <w:tcPr>
            <w:tcW w:w="1484" w:type="dxa"/>
            <w:vMerge w:val="restart"/>
            <w:vAlign w:val="center"/>
          </w:tcPr>
          <w:p w14:paraId="77B3069F"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Elevate Building Standards for Energy</w:t>
            </w:r>
          </w:p>
        </w:tc>
        <w:tc>
          <w:tcPr>
            <w:tcW w:w="2873" w:type="dxa"/>
            <w:vAlign w:val="center"/>
          </w:tcPr>
          <w:p w14:paraId="2A11F4C7" w14:textId="53B83FF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3.1: Strengthen and adopt compliance with building energy codes</w:t>
            </w:r>
          </w:p>
        </w:tc>
        <w:tc>
          <w:tcPr>
            <w:tcW w:w="1619" w:type="dxa"/>
            <w:vAlign w:val="center"/>
          </w:tcPr>
          <w:p w14:paraId="0DE8493E" w14:textId="017DDDD1"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4</w:t>
            </w:r>
            <w:r w:rsidR="008B050B" w:rsidRPr="00662906">
              <w:rPr>
                <w:rFonts w:eastAsia="Arial" w:cs="Arial"/>
                <w:color w:val="394A58"/>
                <w:sz w:val="18"/>
                <w:szCs w:val="18"/>
              </w:rPr>
              <w:t>50,000</w:t>
            </w:r>
          </w:p>
        </w:tc>
        <w:tc>
          <w:tcPr>
            <w:tcW w:w="1306" w:type="dxa"/>
            <w:vMerge w:val="restart"/>
            <w:vAlign w:val="center"/>
          </w:tcPr>
          <w:p w14:paraId="234E85EC" w14:textId="54B34855"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650,</w:t>
            </w:r>
            <w:r w:rsidR="008B050B" w:rsidRPr="00662906">
              <w:rPr>
                <w:rFonts w:eastAsia="Arial" w:cs="Arial"/>
                <w:color w:val="394A58"/>
                <w:sz w:val="18"/>
                <w:szCs w:val="18"/>
              </w:rPr>
              <w:t>000</w:t>
            </w:r>
          </w:p>
        </w:tc>
      </w:tr>
      <w:tr w:rsidR="00D72DE6" w:rsidRPr="00662906" w14:paraId="6404C26B" w14:textId="77777777" w:rsidTr="00561F4E">
        <w:trPr>
          <w:trHeight w:val="555"/>
        </w:trPr>
        <w:tc>
          <w:tcPr>
            <w:tcW w:w="539" w:type="dxa"/>
            <w:vMerge/>
            <w:vAlign w:val="center"/>
          </w:tcPr>
          <w:p w14:paraId="0EEA899D" w14:textId="77777777" w:rsidR="008B050B" w:rsidRPr="00662906" w:rsidRDefault="008B050B" w:rsidP="00561F4E">
            <w:pPr>
              <w:jc w:val="center"/>
              <w:rPr>
                <w:rFonts w:cs="Arial"/>
                <w:sz w:val="18"/>
                <w:szCs w:val="18"/>
              </w:rPr>
            </w:pPr>
          </w:p>
        </w:tc>
        <w:tc>
          <w:tcPr>
            <w:tcW w:w="1195" w:type="dxa"/>
            <w:vMerge/>
            <w:vAlign w:val="center"/>
          </w:tcPr>
          <w:p w14:paraId="56AE0282" w14:textId="77777777" w:rsidR="008B050B" w:rsidRPr="00662906" w:rsidRDefault="008B050B" w:rsidP="00561F4E">
            <w:pPr>
              <w:jc w:val="center"/>
              <w:rPr>
                <w:rFonts w:cs="Arial"/>
                <w:sz w:val="18"/>
                <w:szCs w:val="18"/>
              </w:rPr>
            </w:pPr>
          </w:p>
        </w:tc>
        <w:tc>
          <w:tcPr>
            <w:tcW w:w="1484" w:type="dxa"/>
            <w:vMerge/>
            <w:vAlign w:val="center"/>
          </w:tcPr>
          <w:p w14:paraId="6CA31116" w14:textId="77777777" w:rsidR="008B050B" w:rsidRPr="00662906" w:rsidRDefault="008B050B" w:rsidP="00561F4E">
            <w:pPr>
              <w:jc w:val="center"/>
              <w:rPr>
                <w:rFonts w:cs="Arial"/>
                <w:sz w:val="18"/>
                <w:szCs w:val="18"/>
              </w:rPr>
            </w:pPr>
          </w:p>
        </w:tc>
        <w:tc>
          <w:tcPr>
            <w:tcW w:w="2873" w:type="dxa"/>
            <w:vAlign w:val="center"/>
          </w:tcPr>
          <w:p w14:paraId="46D36D5B" w14:textId="5E7AC85C"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3.2: Boost market demand for Energy Efficient buildings</w:t>
            </w:r>
          </w:p>
        </w:tc>
        <w:tc>
          <w:tcPr>
            <w:tcW w:w="1619" w:type="dxa"/>
            <w:vAlign w:val="center"/>
          </w:tcPr>
          <w:p w14:paraId="38171958"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200,000</w:t>
            </w:r>
          </w:p>
          <w:p w14:paraId="69342446" w14:textId="77777777" w:rsidR="008B050B" w:rsidRPr="00662906" w:rsidRDefault="008B050B" w:rsidP="00561F4E">
            <w:pPr>
              <w:spacing w:line="240" w:lineRule="auto"/>
              <w:jc w:val="center"/>
              <w:rPr>
                <w:rFonts w:eastAsia="Arial" w:cs="Arial"/>
                <w:color w:val="394A58"/>
                <w:sz w:val="18"/>
                <w:szCs w:val="18"/>
              </w:rPr>
            </w:pPr>
          </w:p>
        </w:tc>
        <w:tc>
          <w:tcPr>
            <w:tcW w:w="1306" w:type="dxa"/>
            <w:vMerge/>
            <w:vAlign w:val="center"/>
          </w:tcPr>
          <w:p w14:paraId="1060936F"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3DAE9675" w14:textId="77777777" w:rsidTr="00561F4E">
        <w:trPr>
          <w:trHeight w:val="420"/>
        </w:trPr>
        <w:tc>
          <w:tcPr>
            <w:tcW w:w="539" w:type="dxa"/>
            <w:vMerge/>
            <w:vAlign w:val="center"/>
          </w:tcPr>
          <w:p w14:paraId="25A36C72" w14:textId="77777777" w:rsidR="008B050B" w:rsidRPr="00662906" w:rsidRDefault="008B050B" w:rsidP="00561F4E">
            <w:pPr>
              <w:jc w:val="center"/>
              <w:rPr>
                <w:rFonts w:cs="Arial"/>
                <w:sz w:val="18"/>
                <w:szCs w:val="18"/>
              </w:rPr>
            </w:pPr>
          </w:p>
        </w:tc>
        <w:tc>
          <w:tcPr>
            <w:tcW w:w="1195" w:type="dxa"/>
            <w:vMerge/>
            <w:vAlign w:val="center"/>
          </w:tcPr>
          <w:p w14:paraId="098428A2" w14:textId="77777777" w:rsidR="008B050B" w:rsidRPr="00662906" w:rsidRDefault="008B050B" w:rsidP="00561F4E">
            <w:pPr>
              <w:jc w:val="center"/>
              <w:rPr>
                <w:rFonts w:cs="Arial"/>
                <w:sz w:val="18"/>
                <w:szCs w:val="18"/>
              </w:rPr>
            </w:pPr>
          </w:p>
        </w:tc>
        <w:tc>
          <w:tcPr>
            <w:tcW w:w="1484" w:type="dxa"/>
            <w:vMerge/>
            <w:vAlign w:val="center"/>
          </w:tcPr>
          <w:p w14:paraId="2E1792D0" w14:textId="77777777" w:rsidR="008B050B" w:rsidRPr="00662906" w:rsidRDefault="008B050B" w:rsidP="00561F4E">
            <w:pPr>
              <w:jc w:val="center"/>
              <w:rPr>
                <w:rFonts w:cs="Arial"/>
                <w:sz w:val="18"/>
                <w:szCs w:val="18"/>
              </w:rPr>
            </w:pPr>
          </w:p>
        </w:tc>
        <w:tc>
          <w:tcPr>
            <w:tcW w:w="2873" w:type="dxa"/>
            <w:vAlign w:val="center"/>
          </w:tcPr>
          <w:p w14:paraId="596805BC" w14:textId="27656543"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3.3: Boost capacity for delivering energy efficient buildings</w:t>
            </w:r>
          </w:p>
        </w:tc>
        <w:tc>
          <w:tcPr>
            <w:tcW w:w="1619" w:type="dxa"/>
            <w:vAlign w:val="center"/>
          </w:tcPr>
          <w:p w14:paraId="06B0E4C7"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N/A</w:t>
            </w:r>
            <w:r w:rsidRPr="00662906">
              <w:rPr>
                <w:rStyle w:val="FootnoteReference"/>
                <w:rFonts w:eastAsia="Arial" w:cs="Arial"/>
                <w:color w:val="394A58"/>
                <w:sz w:val="18"/>
                <w:szCs w:val="18"/>
              </w:rPr>
              <w:footnoteReference w:id="42"/>
            </w:r>
          </w:p>
        </w:tc>
        <w:tc>
          <w:tcPr>
            <w:tcW w:w="1306" w:type="dxa"/>
            <w:vMerge/>
            <w:vAlign w:val="center"/>
          </w:tcPr>
          <w:p w14:paraId="4B4553D9"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5E4BD708" w14:textId="77777777" w:rsidTr="00561F4E">
        <w:trPr>
          <w:trHeight w:val="465"/>
        </w:trPr>
        <w:tc>
          <w:tcPr>
            <w:tcW w:w="539" w:type="dxa"/>
            <w:vMerge w:val="restart"/>
            <w:vAlign w:val="center"/>
          </w:tcPr>
          <w:p w14:paraId="6DCECC2F"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4</w:t>
            </w:r>
          </w:p>
        </w:tc>
        <w:tc>
          <w:tcPr>
            <w:tcW w:w="1195" w:type="dxa"/>
            <w:vMerge w:val="restart"/>
            <w:vAlign w:val="center"/>
          </w:tcPr>
          <w:p w14:paraId="317C246E"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Industry</w:t>
            </w:r>
          </w:p>
        </w:tc>
        <w:tc>
          <w:tcPr>
            <w:tcW w:w="1484" w:type="dxa"/>
            <w:vMerge w:val="restart"/>
            <w:vAlign w:val="center"/>
          </w:tcPr>
          <w:p w14:paraId="028E6575" w14:textId="77EA8E22"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Foster Sustainable and transformative Industrial Development:</w:t>
            </w:r>
          </w:p>
        </w:tc>
        <w:tc>
          <w:tcPr>
            <w:tcW w:w="2873" w:type="dxa"/>
            <w:vAlign w:val="center"/>
          </w:tcPr>
          <w:p w14:paraId="2BD6F6A6"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4.1:  Target reduction of fossil fuel demand in industry through fuel substitution, RE supply and EE Practices</w:t>
            </w:r>
          </w:p>
        </w:tc>
        <w:tc>
          <w:tcPr>
            <w:tcW w:w="1619" w:type="dxa"/>
            <w:vAlign w:val="center"/>
          </w:tcPr>
          <w:p w14:paraId="70C0FA2C"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1,173,000</w:t>
            </w:r>
          </w:p>
        </w:tc>
        <w:tc>
          <w:tcPr>
            <w:tcW w:w="1306" w:type="dxa"/>
            <w:vMerge w:val="restart"/>
            <w:vAlign w:val="center"/>
          </w:tcPr>
          <w:p w14:paraId="364A5FD9" w14:textId="5510B110"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1,653,</w:t>
            </w:r>
            <w:r w:rsidR="008B050B" w:rsidRPr="00662906">
              <w:rPr>
                <w:rFonts w:eastAsia="Arial" w:cs="Arial"/>
                <w:color w:val="394A58"/>
                <w:sz w:val="18"/>
                <w:szCs w:val="18"/>
              </w:rPr>
              <w:t>000</w:t>
            </w:r>
            <w:r w:rsidR="008B050B" w:rsidRPr="00662906">
              <w:rPr>
                <w:rStyle w:val="FootnoteReference"/>
                <w:rFonts w:eastAsia="Arial" w:cs="Arial"/>
                <w:color w:val="394A58"/>
                <w:sz w:val="18"/>
                <w:szCs w:val="18"/>
              </w:rPr>
              <w:footnoteReference w:id="43"/>
            </w:r>
          </w:p>
        </w:tc>
      </w:tr>
      <w:tr w:rsidR="00D72DE6" w:rsidRPr="00662906" w14:paraId="46B479D7" w14:textId="77777777" w:rsidTr="00561F4E">
        <w:trPr>
          <w:trHeight w:val="300"/>
        </w:trPr>
        <w:tc>
          <w:tcPr>
            <w:tcW w:w="539" w:type="dxa"/>
            <w:vMerge/>
            <w:vAlign w:val="center"/>
          </w:tcPr>
          <w:p w14:paraId="1E852786" w14:textId="77777777" w:rsidR="008B050B" w:rsidRPr="00662906" w:rsidRDefault="008B050B" w:rsidP="00561F4E">
            <w:pPr>
              <w:jc w:val="center"/>
              <w:rPr>
                <w:rFonts w:cs="Arial"/>
                <w:sz w:val="18"/>
                <w:szCs w:val="18"/>
              </w:rPr>
            </w:pPr>
          </w:p>
        </w:tc>
        <w:tc>
          <w:tcPr>
            <w:tcW w:w="1195" w:type="dxa"/>
            <w:vMerge/>
            <w:vAlign w:val="center"/>
          </w:tcPr>
          <w:p w14:paraId="7549FC72" w14:textId="77777777" w:rsidR="008B050B" w:rsidRPr="00662906" w:rsidRDefault="008B050B" w:rsidP="00561F4E">
            <w:pPr>
              <w:jc w:val="center"/>
              <w:rPr>
                <w:rFonts w:cs="Arial"/>
                <w:sz w:val="18"/>
                <w:szCs w:val="18"/>
              </w:rPr>
            </w:pPr>
          </w:p>
        </w:tc>
        <w:tc>
          <w:tcPr>
            <w:tcW w:w="1484" w:type="dxa"/>
            <w:vMerge/>
            <w:vAlign w:val="center"/>
          </w:tcPr>
          <w:p w14:paraId="3266872B" w14:textId="77777777" w:rsidR="008B050B" w:rsidRPr="00662906" w:rsidRDefault="008B050B" w:rsidP="00561F4E">
            <w:pPr>
              <w:jc w:val="center"/>
              <w:rPr>
                <w:rFonts w:cs="Arial"/>
                <w:sz w:val="18"/>
                <w:szCs w:val="18"/>
              </w:rPr>
            </w:pPr>
          </w:p>
        </w:tc>
        <w:tc>
          <w:tcPr>
            <w:tcW w:w="2873" w:type="dxa"/>
            <w:vAlign w:val="center"/>
          </w:tcPr>
          <w:p w14:paraId="225C49E0"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4.2. Transformative industrialization to leverage Africa’s comparative advantage</w:t>
            </w:r>
          </w:p>
        </w:tc>
        <w:tc>
          <w:tcPr>
            <w:tcW w:w="1619" w:type="dxa"/>
            <w:vAlign w:val="center"/>
          </w:tcPr>
          <w:p w14:paraId="498AD444" w14:textId="7C65A779"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480</w:t>
            </w:r>
            <w:r w:rsidR="008B050B" w:rsidRPr="00662906">
              <w:rPr>
                <w:rFonts w:eastAsia="Arial" w:cs="Arial"/>
                <w:color w:val="394A58"/>
                <w:sz w:val="18"/>
                <w:szCs w:val="18"/>
              </w:rPr>
              <w:t>,000</w:t>
            </w:r>
          </w:p>
        </w:tc>
        <w:tc>
          <w:tcPr>
            <w:tcW w:w="1306" w:type="dxa"/>
            <w:vMerge/>
            <w:vAlign w:val="center"/>
          </w:tcPr>
          <w:p w14:paraId="6DFE0FE3"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10F25A35" w14:textId="77777777" w:rsidTr="00561F4E">
        <w:trPr>
          <w:trHeight w:val="250"/>
        </w:trPr>
        <w:tc>
          <w:tcPr>
            <w:tcW w:w="539" w:type="dxa"/>
            <w:vMerge w:val="restart"/>
            <w:vAlign w:val="center"/>
          </w:tcPr>
          <w:p w14:paraId="14B3090C"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5</w:t>
            </w:r>
          </w:p>
        </w:tc>
        <w:tc>
          <w:tcPr>
            <w:tcW w:w="1195" w:type="dxa"/>
            <w:vMerge w:val="restart"/>
            <w:vAlign w:val="center"/>
          </w:tcPr>
          <w:p w14:paraId="336EBFF7"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Oil and gas</w:t>
            </w:r>
          </w:p>
        </w:tc>
        <w:tc>
          <w:tcPr>
            <w:tcW w:w="1484" w:type="dxa"/>
            <w:vMerge w:val="restart"/>
            <w:vAlign w:val="center"/>
          </w:tcPr>
          <w:p w14:paraId="3AC73FD2"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Optimize Oil and Gas Sector Transition</w:t>
            </w:r>
          </w:p>
        </w:tc>
        <w:tc>
          <w:tcPr>
            <w:tcW w:w="2873" w:type="dxa"/>
            <w:vAlign w:val="center"/>
          </w:tcPr>
          <w:p w14:paraId="08E83402"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5.1: Sustainable supply and utilization of natural gas on the continent</w:t>
            </w:r>
          </w:p>
        </w:tc>
        <w:tc>
          <w:tcPr>
            <w:tcW w:w="1619" w:type="dxa"/>
            <w:vAlign w:val="center"/>
          </w:tcPr>
          <w:p w14:paraId="4F1FE699" w14:textId="62D6C60A"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9</w:t>
            </w:r>
            <w:r w:rsidR="00D12DD6" w:rsidRPr="00662906">
              <w:rPr>
                <w:rFonts w:eastAsia="Arial" w:cs="Arial"/>
                <w:color w:val="394A58"/>
                <w:sz w:val="18"/>
                <w:szCs w:val="18"/>
              </w:rPr>
              <w:t>63,500</w:t>
            </w:r>
          </w:p>
        </w:tc>
        <w:tc>
          <w:tcPr>
            <w:tcW w:w="1306" w:type="dxa"/>
            <w:vMerge w:val="restart"/>
            <w:vAlign w:val="center"/>
          </w:tcPr>
          <w:p w14:paraId="15DE6C6D" w14:textId="64785BDA"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1</w:t>
            </w:r>
            <w:r w:rsidR="00D12DD6" w:rsidRPr="00662906">
              <w:rPr>
                <w:rFonts w:eastAsia="Arial" w:cs="Arial"/>
                <w:color w:val="394A58"/>
                <w:sz w:val="18"/>
                <w:szCs w:val="18"/>
              </w:rPr>
              <w:t>,667,500</w:t>
            </w:r>
          </w:p>
        </w:tc>
      </w:tr>
      <w:tr w:rsidR="00D72DE6" w:rsidRPr="00662906" w14:paraId="44E5315B" w14:textId="77777777" w:rsidTr="00561F4E">
        <w:trPr>
          <w:trHeight w:val="315"/>
        </w:trPr>
        <w:tc>
          <w:tcPr>
            <w:tcW w:w="539" w:type="dxa"/>
            <w:vMerge/>
            <w:vAlign w:val="center"/>
          </w:tcPr>
          <w:p w14:paraId="3C7B571B" w14:textId="77777777" w:rsidR="008B050B" w:rsidRPr="00662906" w:rsidRDefault="008B050B" w:rsidP="00561F4E">
            <w:pPr>
              <w:jc w:val="center"/>
              <w:rPr>
                <w:rFonts w:cs="Arial"/>
                <w:sz w:val="18"/>
                <w:szCs w:val="18"/>
              </w:rPr>
            </w:pPr>
          </w:p>
        </w:tc>
        <w:tc>
          <w:tcPr>
            <w:tcW w:w="1195" w:type="dxa"/>
            <w:vMerge/>
            <w:vAlign w:val="center"/>
          </w:tcPr>
          <w:p w14:paraId="62C974F5" w14:textId="77777777" w:rsidR="008B050B" w:rsidRPr="00662906" w:rsidRDefault="008B050B" w:rsidP="00561F4E">
            <w:pPr>
              <w:jc w:val="center"/>
              <w:rPr>
                <w:rFonts w:cs="Arial"/>
                <w:sz w:val="18"/>
                <w:szCs w:val="18"/>
              </w:rPr>
            </w:pPr>
          </w:p>
        </w:tc>
        <w:tc>
          <w:tcPr>
            <w:tcW w:w="1484" w:type="dxa"/>
            <w:vMerge/>
            <w:vAlign w:val="center"/>
          </w:tcPr>
          <w:p w14:paraId="6598C626" w14:textId="77777777" w:rsidR="008B050B" w:rsidRPr="00662906" w:rsidRDefault="008B050B" w:rsidP="00561F4E">
            <w:pPr>
              <w:jc w:val="center"/>
              <w:rPr>
                <w:rFonts w:cs="Arial"/>
                <w:sz w:val="18"/>
                <w:szCs w:val="18"/>
              </w:rPr>
            </w:pPr>
          </w:p>
        </w:tc>
        <w:tc>
          <w:tcPr>
            <w:tcW w:w="2873" w:type="dxa"/>
            <w:vAlign w:val="center"/>
          </w:tcPr>
          <w:p w14:paraId="30F69644"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5.2: Promote economic and technical efficiency in the production, transport, and use of oil and gas</w:t>
            </w:r>
          </w:p>
        </w:tc>
        <w:tc>
          <w:tcPr>
            <w:tcW w:w="1619" w:type="dxa"/>
            <w:vAlign w:val="center"/>
          </w:tcPr>
          <w:p w14:paraId="7EEF8F35"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53,500</w:t>
            </w:r>
          </w:p>
        </w:tc>
        <w:tc>
          <w:tcPr>
            <w:tcW w:w="1306" w:type="dxa"/>
            <w:vMerge/>
            <w:vAlign w:val="center"/>
          </w:tcPr>
          <w:p w14:paraId="4755E2A8"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5DD94BC8" w14:textId="77777777" w:rsidTr="00561F4E">
        <w:trPr>
          <w:trHeight w:val="435"/>
        </w:trPr>
        <w:tc>
          <w:tcPr>
            <w:tcW w:w="539" w:type="dxa"/>
            <w:vMerge/>
            <w:vAlign w:val="center"/>
          </w:tcPr>
          <w:p w14:paraId="27A3403C" w14:textId="77777777" w:rsidR="008B050B" w:rsidRPr="00662906" w:rsidRDefault="008B050B" w:rsidP="00561F4E">
            <w:pPr>
              <w:jc w:val="center"/>
              <w:rPr>
                <w:rFonts w:cs="Arial"/>
                <w:sz w:val="18"/>
                <w:szCs w:val="18"/>
              </w:rPr>
            </w:pPr>
          </w:p>
        </w:tc>
        <w:tc>
          <w:tcPr>
            <w:tcW w:w="1195" w:type="dxa"/>
            <w:vMerge/>
            <w:vAlign w:val="center"/>
          </w:tcPr>
          <w:p w14:paraId="3CE3FEE9" w14:textId="77777777" w:rsidR="008B050B" w:rsidRPr="00662906" w:rsidRDefault="008B050B" w:rsidP="00561F4E">
            <w:pPr>
              <w:jc w:val="center"/>
              <w:rPr>
                <w:rFonts w:cs="Arial"/>
                <w:sz w:val="18"/>
                <w:szCs w:val="18"/>
              </w:rPr>
            </w:pPr>
          </w:p>
        </w:tc>
        <w:tc>
          <w:tcPr>
            <w:tcW w:w="1484" w:type="dxa"/>
            <w:vMerge/>
            <w:vAlign w:val="center"/>
          </w:tcPr>
          <w:p w14:paraId="11B70491" w14:textId="77777777" w:rsidR="008B050B" w:rsidRPr="00662906" w:rsidRDefault="008B050B" w:rsidP="00561F4E">
            <w:pPr>
              <w:jc w:val="center"/>
              <w:rPr>
                <w:rFonts w:cs="Arial"/>
                <w:sz w:val="18"/>
                <w:szCs w:val="18"/>
              </w:rPr>
            </w:pPr>
          </w:p>
        </w:tc>
        <w:tc>
          <w:tcPr>
            <w:tcW w:w="2873" w:type="dxa"/>
            <w:vAlign w:val="center"/>
          </w:tcPr>
          <w:p w14:paraId="3536F2F0"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5.3 ESG sustainability enhanced</w:t>
            </w:r>
          </w:p>
        </w:tc>
        <w:tc>
          <w:tcPr>
            <w:tcW w:w="1619" w:type="dxa"/>
            <w:vAlign w:val="center"/>
          </w:tcPr>
          <w:p w14:paraId="1812A6E0" w14:textId="78689B73" w:rsidR="008B050B" w:rsidRPr="00662906" w:rsidRDefault="00D12DD6" w:rsidP="00561F4E">
            <w:pPr>
              <w:spacing w:line="240" w:lineRule="auto"/>
              <w:jc w:val="center"/>
              <w:rPr>
                <w:rFonts w:eastAsia="Arial" w:cs="Arial"/>
                <w:color w:val="394A58"/>
                <w:sz w:val="18"/>
                <w:szCs w:val="18"/>
              </w:rPr>
            </w:pPr>
            <w:r w:rsidRPr="00662906">
              <w:rPr>
                <w:rFonts w:eastAsia="Arial" w:cs="Arial"/>
                <w:color w:val="394A58"/>
                <w:sz w:val="18"/>
                <w:szCs w:val="18"/>
              </w:rPr>
              <w:t>6</w:t>
            </w:r>
            <w:r w:rsidR="008B050B" w:rsidRPr="00662906">
              <w:rPr>
                <w:rFonts w:eastAsia="Arial" w:cs="Arial"/>
                <w:color w:val="394A58"/>
                <w:sz w:val="18"/>
                <w:szCs w:val="18"/>
              </w:rPr>
              <w:t>50,500</w:t>
            </w:r>
          </w:p>
        </w:tc>
        <w:tc>
          <w:tcPr>
            <w:tcW w:w="1306" w:type="dxa"/>
            <w:vMerge/>
            <w:vAlign w:val="center"/>
          </w:tcPr>
          <w:p w14:paraId="1E989001"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4B28A1F2" w14:textId="77777777" w:rsidTr="00561F4E">
        <w:trPr>
          <w:trHeight w:val="480"/>
        </w:trPr>
        <w:tc>
          <w:tcPr>
            <w:tcW w:w="539" w:type="dxa"/>
            <w:vMerge w:val="restart"/>
            <w:vAlign w:val="center"/>
          </w:tcPr>
          <w:p w14:paraId="743D1431"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6</w:t>
            </w:r>
          </w:p>
        </w:tc>
        <w:tc>
          <w:tcPr>
            <w:tcW w:w="1195" w:type="dxa"/>
            <w:vMerge w:val="restart"/>
            <w:vAlign w:val="center"/>
          </w:tcPr>
          <w:p w14:paraId="663C8227"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Agriculture</w:t>
            </w:r>
          </w:p>
        </w:tc>
        <w:tc>
          <w:tcPr>
            <w:tcW w:w="1484" w:type="dxa"/>
            <w:vMerge w:val="restart"/>
            <w:vAlign w:val="center"/>
          </w:tcPr>
          <w:p w14:paraId="3A59F0CE" w14:textId="7C5BA389"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Increase the Use of Modern and Efficient Energy Technologies in Agriculture</w:t>
            </w:r>
          </w:p>
        </w:tc>
        <w:tc>
          <w:tcPr>
            <w:tcW w:w="2873" w:type="dxa"/>
            <w:vAlign w:val="center"/>
          </w:tcPr>
          <w:p w14:paraId="2777D220" w14:textId="629DC244"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6.1: Modernization of Agricultural Equipment</w:t>
            </w:r>
          </w:p>
        </w:tc>
        <w:tc>
          <w:tcPr>
            <w:tcW w:w="1619" w:type="dxa"/>
            <w:vAlign w:val="center"/>
          </w:tcPr>
          <w:p w14:paraId="3AC4CD72"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345,000</w:t>
            </w:r>
          </w:p>
        </w:tc>
        <w:tc>
          <w:tcPr>
            <w:tcW w:w="1306" w:type="dxa"/>
            <w:vMerge w:val="restart"/>
            <w:vAlign w:val="center"/>
          </w:tcPr>
          <w:p w14:paraId="2B0A749E" w14:textId="60208223"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345</w:t>
            </w:r>
            <w:r w:rsidR="00D12DD6" w:rsidRPr="00662906">
              <w:rPr>
                <w:rFonts w:eastAsia="Arial" w:cs="Arial"/>
                <w:color w:val="394A58"/>
                <w:sz w:val="18"/>
                <w:szCs w:val="18"/>
              </w:rPr>
              <w:t>,</w:t>
            </w:r>
            <w:r w:rsidRPr="00662906">
              <w:rPr>
                <w:rFonts w:eastAsia="Arial" w:cs="Arial"/>
                <w:color w:val="394A58"/>
                <w:sz w:val="18"/>
                <w:szCs w:val="18"/>
              </w:rPr>
              <w:t>000</w:t>
            </w:r>
          </w:p>
        </w:tc>
      </w:tr>
      <w:tr w:rsidR="00D72DE6" w:rsidRPr="00662906" w14:paraId="1FA72151" w14:textId="77777777" w:rsidTr="00561F4E">
        <w:trPr>
          <w:trHeight w:val="495"/>
        </w:trPr>
        <w:tc>
          <w:tcPr>
            <w:tcW w:w="539" w:type="dxa"/>
            <w:vMerge/>
            <w:vAlign w:val="center"/>
          </w:tcPr>
          <w:p w14:paraId="70D9A4DE" w14:textId="77777777" w:rsidR="008B050B" w:rsidRPr="00662906" w:rsidRDefault="008B050B" w:rsidP="00561F4E">
            <w:pPr>
              <w:jc w:val="center"/>
              <w:rPr>
                <w:rFonts w:cs="Arial"/>
                <w:sz w:val="18"/>
                <w:szCs w:val="18"/>
              </w:rPr>
            </w:pPr>
          </w:p>
        </w:tc>
        <w:tc>
          <w:tcPr>
            <w:tcW w:w="1195" w:type="dxa"/>
            <w:vMerge/>
            <w:vAlign w:val="center"/>
          </w:tcPr>
          <w:p w14:paraId="6896BE53" w14:textId="77777777" w:rsidR="008B050B" w:rsidRPr="00662906" w:rsidRDefault="008B050B" w:rsidP="00561F4E">
            <w:pPr>
              <w:jc w:val="center"/>
              <w:rPr>
                <w:rFonts w:cs="Arial"/>
                <w:sz w:val="18"/>
                <w:szCs w:val="18"/>
              </w:rPr>
            </w:pPr>
          </w:p>
        </w:tc>
        <w:tc>
          <w:tcPr>
            <w:tcW w:w="1484" w:type="dxa"/>
            <w:vMerge/>
            <w:vAlign w:val="center"/>
          </w:tcPr>
          <w:p w14:paraId="7A1062B8" w14:textId="77777777" w:rsidR="008B050B" w:rsidRPr="00662906" w:rsidRDefault="008B050B" w:rsidP="00561F4E">
            <w:pPr>
              <w:jc w:val="center"/>
              <w:rPr>
                <w:rFonts w:cs="Arial"/>
                <w:sz w:val="18"/>
                <w:szCs w:val="18"/>
              </w:rPr>
            </w:pPr>
          </w:p>
        </w:tc>
        <w:tc>
          <w:tcPr>
            <w:tcW w:w="2873" w:type="dxa"/>
            <w:vAlign w:val="center"/>
          </w:tcPr>
          <w:p w14:paraId="61A8349D" w14:textId="5932A283"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6.2: Promotion of Renewable Energy in Agriculture</w:t>
            </w:r>
          </w:p>
        </w:tc>
        <w:tc>
          <w:tcPr>
            <w:tcW w:w="1619" w:type="dxa"/>
            <w:vAlign w:val="center"/>
          </w:tcPr>
          <w:p w14:paraId="0CF749F9"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N/A</w:t>
            </w:r>
          </w:p>
        </w:tc>
        <w:tc>
          <w:tcPr>
            <w:tcW w:w="1306" w:type="dxa"/>
            <w:vMerge/>
            <w:vAlign w:val="center"/>
          </w:tcPr>
          <w:p w14:paraId="05DD8E42"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3FD78FA7" w14:textId="77777777" w:rsidTr="00561F4E">
        <w:trPr>
          <w:trHeight w:val="375"/>
        </w:trPr>
        <w:tc>
          <w:tcPr>
            <w:tcW w:w="539" w:type="dxa"/>
            <w:vMerge/>
            <w:vAlign w:val="center"/>
          </w:tcPr>
          <w:p w14:paraId="69B5E1C3" w14:textId="77777777" w:rsidR="008B050B" w:rsidRPr="00662906" w:rsidRDefault="008B050B" w:rsidP="00561F4E">
            <w:pPr>
              <w:jc w:val="center"/>
              <w:rPr>
                <w:rFonts w:cs="Arial"/>
                <w:sz w:val="18"/>
                <w:szCs w:val="18"/>
              </w:rPr>
            </w:pPr>
          </w:p>
        </w:tc>
        <w:tc>
          <w:tcPr>
            <w:tcW w:w="1195" w:type="dxa"/>
            <w:vMerge/>
            <w:vAlign w:val="center"/>
          </w:tcPr>
          <w:p w14:paraId="01A2DEAB" w14:textId="77777777" w:rsidR="008B050B" w:rsidRPr="00662906" w:rsidRDefault="008B050B" w:rsidP="00561F4E">
            <w:pPr>
              <w:jc w:val="center"/>
              <w:rPr>
                <w:rFonts w:cs="Arial"/>
                <w:sz w:val="18"/>
                <w:szCs w:val="18"/>
              </w:rPr>
            </w:pPr>
          </w:p>
        </w:tc>
        <w:tc>
          <w:tcPr>
            <w:tcW w:w="1484" w:type="dxa"/>
            <w:vMerge/>
            <w:vAlign w:val="center"/>
          </w:tcPr>
          <w:p w14:paraId="6044FE04" w14:textId="77777777" w:rsidR="008B050B" w:rsidRPr="00662906" w:rsidRDefault="008B050B" w:rsidP="00561F4E">
            <w:pPr>
              <w:jc w:val="center"/>
              <w:rPr>
                <w:rFonts w:cs="Arial"/>
                <w:sz w:val="18"/>
                <w:szCs w:val="18"/>
              </w:rPr>
            </w:pPr>
          </w:p>
        </w:tc>
        <w:tc>
          <w:tcPr>
            <w:tcW w:w="2873" w:type="dxa"/>
            <w:vAlign w:val="center"/>
          </w:tcPr>
          <w:p w14:paraId="51D1CCA0" w14:textId="1313B14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6.3: Advance Carbon Farming</w:t>
            </w:r>
          </w:p>
        </w:tc>
        <w:tc>
          <w:tcPr>
            <w:tcW w:w="1619" w:type="dxa"/>
            <w:vAlign w:val="center"/>
          </w:tcPr>
          <w:p w14:paraId="78A3EE03"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N/A</w:t>
            </w:r>
          </w:p>
        </w:tc>
        <w:tc>
          <w:tcPr>
            <w:tcW w:w="1306" w:type="dxa"/>
            <w:vMerge/>
            <w:vAlign w:val="center"/>
          </w:tcPr>
          <w:p w14:paraId="43EEEBC4"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102F63ED" w14:textId="77777777" w:rsidTr="00561F4E">
        <w:trPr>
          <w:trHeight w:val="60"/>
        </w:trPr>
        <w:tc>
          <w:tcPr>
            <w:tcW w:w="539" w:type="dxa"/>
            <w:vMerge/>
            <w:vAlign w:val="center"/>
          </w:tcPr>
          <w:p w14:paraId="4BAEBE27" w14:textId="77777777" w:rsidR="008B050B" w:rsidRPr="00662906" w:rsidRDefault="008B050B" w:rsidP="00561F4E">
            <w:pPr>
              <w:jc w:val="center"/>
              <w:rPr>
                <w:rFonts w:cs="Arial"/>
                <w:sz w:val="18"/>
                <w:szCs w:val="18"/>
              </w:rPr>
            </w:pPr>
          </w:p>
        </w:tc>
        <w:tc>
          <w:tcPr>
            <w:tcW w:w="1195" w:type="dxa"/>
            <w:vMerge/>
            <w:vAlign w:val="center"/>
          </w:tcPr>
          <w:p w14:paraId="09C1B8C3" w14:textId="77777777" w:rsidR="008B050B" w:rsidRPr="00662906" w:rsidRDefault="008B050B" w:rsidP="00561F4E">
            <w:pPr>
              <w:jc w:val="center"/>
              <w:rPr>
                <w:rFonts w:cs="Arial"/>
                <w:sz w:val="18"/>
                <w:szCs w:val="18"/>
              </w:rPr>
            </w:pPr>
          </w:p>
        </w:tc>
        <w:tc>
          <w:tcPr>
            <w:tcW w:w="1484" w:type="dxa"/>
            <w:vMerge/>
            <w:vAlign w:val="center"/>
          </w:tcPr>
          <w:p w14:paraId="67D9B51A" w14:textId="77777777" w:rsidR="008B050B" w:rsidRPr="00662906" w:rsidRDefault="008B050B" w:rsidP="00561F4E">
            <w:pPr>
              <w:jc w:val="center"/>
              <w:rPr>
                <w:rFonts w:cs="Arial"/>
                <w:sz w:val="18"/>
                <w:szCs w:val="18"/>
              </w:rPr>
            </w:pPr>
          </w:p>
        </w:tc>
        <w:tc>
          <w:tcPr>
            <w:tcW w:w="2873" w:type="dxa"/>
            <w:vAlign w:val="center"/>
          </w:tcPr>
          <w:p w14:paraId="2605A35A" w14:textId="0016F4C8"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6.4: Enhancement of Agricultural Extension Services</w:t>
            </w:r>
          </w:p>
        </w:tc>
        <w:tc>
          <w:tcPr>
            <w:tcW w:w="1619" w:type="dxa"/>
            <w:vAlign w:val="center"/>
          </w:tcPr>
          <w:p w14:paraId="415885AB"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N/A</w:t>
            </w:r>
          </w:p>
        </w:tc>
        <w:tc>
          <w:tcPr>
            <w:tcW w:w="1306" w:type="dxa"/>
            <w:vMerge/>
            <w:vAlign w:val="center"/>
          </w:tcPr>
          <w:p w14:paraId="7C0CC004"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31E0EACE" w14:textId="77777777" w:rsidTr="00561F4E">
        <w:trPr>
          <w:trHeight w:val="465"/>
        </w:trPr>
        <w:tc>
          <w:tcPr>
            <w:tcW w:w="539" w:type="dxa"/>
            <w:vMerge w:val="restart"/>
            <w:vAlign w:val="center"/>
          </w:tcPr>
          <w:p w14:paraId="051921FD"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7</w:t>
            </w:r>
          </w:p>
        </w:tc>
        <w:tc>
          <w:tcPr>
            <w:tcW w:w="1195" w:type="dxa"/>
            <w:vMerge w:val="restart"/>
            <w:vAlign w:val="center"/>
          </w:tcPr>
          <w:p w14:paraId="3039A4CD"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Clean cooking</w:t>
            </w:r>
          </w:p>
        </w:tc>
        <w:tc>
          <w:tcPr>
            <w:tcW w:w="1484" w:type="dxa"/>
            <w:vMerge w:val="restart"/>
            <w:vAlign w:val="center"/>
          </w:tcPr>
          <w:p w14:paraId="2E7427A9"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Promote the adoption of clean cooking technologies</w:t>
            </w:r>
          </w:p>
        </w:tc>
        <w:tc>
          <w:tcPr>
            <w:tcW w:w="2873" w:type="dxa"/>
            <w:vAlign w:val="center"/>
          </w:tcPr>
          <w:p w14:paraId="39225A68" w14:textId="5E190779"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7.1: Development and Deployment of Advanced Cooking Technologies</w:t>
            </w:r>
          </w:p>
        </w:tc>
        <w:tc>
          <w:tcPr>
            <w:tcW w:w="1619" w:type="dxa"/>
            <w:vAlign w:val="center"/>
          </w:tcPr>
          <w:p w14:paraId="75F323B7"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345,000</w:t>
            </w:r>
          </w:p>
        </w:tc>
        <w:tc>
          <w:tcPr>
            <w:tcW w:w="1306" w:type="dxa"/>
            <w:vMerge w:val="restart"/>
            <w:vAlign w:val="center"/>
          </w:tcPr>
          <w:p w14:paraId="0BAE1ED1" w14:textId="19D00BB9"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1</w:t>
            </w:r>
            <w:r w:rsidR="00E50F5C" w:rsidRPr="00662906">
              <w:rPr>
                <w:rFonts w:eastAsia="Arial" w:cs="Arial"/>
                <w:color w:val="394A58"/>
                <w:sz w:val="18"/>
                <w:szCs w:val="18"/>
              </w:rPr>
              <w:t>,</w:t>
            </w:r>
            <w:r w:rsidRPr="00662906">
              <w:rPr>
                <w:rFonts w:eastAsia="Arial" w:cs="Arial"/>
                <w:color w:val="394A58"/>
                <w:sz w:val="18"/>
                <w:szCs w:val="18"/>
              </w:rPr>
              <w:t>437</w:t>
            </w:r>
            <w:r w:rsidR="00E50F5C" w:rsidRPr="00662906">
              <w:rPr>
                <w:rFonts w:eastAsia="Arial" w:cs="Arial"/>
                <w:color w:val="394A58"/>
                <w:sz w:val="18"/>
                <w:szCs w:val="18"/>
              </w:rPr>
              <w:t>,</w:t>
            </w:r>
            <w:r w:rsidRPr="00662906">
              <w:rPr>
                <w:rFonts w:eastAsia="Arial" w:cs="Arial"/>
                <w:color w:val="394A58"/>
                <w:sz w:val="18"/>
                <w:szCs w:val="18"/>
              </w:rPr>
              <w:t>500</w:t>
            </w:r>
          </w:p>
        </w:tc>
      </w:tr>
      <w:tr w:rsidR="00D72DE6" w:rsidRPr="00662906" w14:paraId="34109E36" w14:textId="77777777" w:rsidTr="00561F4E">
        <w:trPr>
          <w:trHeight w:val="540"/>
        </w:trPr>
        <w:tc>
          <w:tcPr>
            <w:tcW w:w="539" w:type="dxa"/>
            <w:vMerge/>
            <w:vAlign w:val="center"/>
          </w:tcPr>
          <w:p w14:paraId="1C9CA120" w14:textId="77777777" w:rsidR="008B050B" w:rsidRPr="00662906" w:rsidRDefault="008B050B" w:rsidP="00561F4E">
            <w:pPr>
              <w:jc w:val="center"/>
              <w:rPr>
                <w:rFonts w:cs="Arial"/>
                <w:sz w:val="18"/>
                <w:szCs w:val="18"/>
              </w:rPr>
            </w:pPr>
          </w:p>
        </w:tc>
        <w:tc>
          <w:tcPr>
            <w:tcW w:w="1195" w:type="dxa"/>
            <w:vMerge/>
            <w:vAlign w:val="center"/>
          </w:tcPr>
          <w:p w14:paraId="3FDE1C9F" w14:textId="77777777" w:rsidR="008B050B" w:rsidRPr="00662906" w:rsidRDefault="008B050B" w:rsidP="00561F4E">
            <w:pPr>
              <w:jc w:val="center"/>
              <w:rPr>
                <w:rFonts w:cs="Arial"/>
                <w:sz w:val="18"/>
                <w:szCs w:val="18"/>
              </w:rPr>
            </w:pPr>
          </w:p>
        </w:tc>
        <w:tc>
          <w:tcPr>
            <w:tcW w:w="1484" w:type="dxa"/>
            <w:vMerge/>
            <w:vAlign w:val="center"/>
          </w:tcPr>
          <w:p w14:paraId="46FCCAFD" w14:textId="77777777" w:rsidR="008B050B" w:rsidRPr="00662906" w:rsidRDefault="008B050B" w:rsidP="00561F4E">
            <w:pPr>
              <w:jc w:val="center"/>
              <w:rPr>
                <w:rFonts w:cs="Arial"/>
                <w:sz w:val="18"/>
                <w:szCs w:val="18"/>
              </w:rPr>
            </w:pPr>
          </w:p>
        </w:tc>
        <w:tc>
          <w:tcPr>
            <w:tcW w:w="2873" w:type="dxa"/>
            <w:vAlign w:val="center"/>
          </w:tcPr>
          <w:p w14:paraId="6B0433D5" w14:textId="2677A79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7.2: Enhancing Market Structures and Supply Chains:</w:t>
            </w:r>
          </w:p>
        </w:tc>
        <w:tc>
          <w:tcPr>
            <w:tcW w:w="1619" w:type="dxa"/>
            <w:vAlign w:val="center"/>
          </w:tcPr>
          <w:p w14:paraId="1B45701C"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287,500</w:t>
            </w:r>
          </w:p>
        </w:tc>
        <w:tc>
          <w:tcPr>
            <w:tcW w:w="1306" w:type="dxa"/>
            <w:vMerge/>
            <w:vAlign w:val="center"/>
          </w:tcPr>
          <w:p w14:paraId="51EAB438"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559B2F56" w14:textId="77777777" w:rsidTr="00561F4E">
        <w:trPr>
          <w:trHeight w:val="540"/>
        </w:trPr>
        <w:tc>
          <w:tcPr>
            <w:tcW w:w="539" w:type="dxa"/>
            <w:vMerge/>
            <w:vAlign w:val="center"/>
          </w:tcPr>
          <w:p w14:paraId="7C925D99" w14:textId="77777777" w:rsidR="008B050B" w:rsidRPr="00662906" w:rsidRDefault="008B050B" w:rsidP="00561F4E">
            <w:pPr>
              <w:jc w:val="center"/>
              <w:rPr>
                <w:rFonts w:cs="Arial"/>
                <w:sz w:val="18"/>
                <w:szCs w:val="18"/>
              </w:rPr>
            </w:pPr>
          </w:p>
        </w:tc>
        <w:tc>
          <w:tcPr>
            <w:tcW w:w="1195" w:type="dxa"/>
            <w:vMerge/>
            <w:vAlign w:val="center"/>
          </w:tcPr>
          <w:p w14:paraId="161DAA93" w14:textId="77777777" w:rsidR="008B050B" w:rsidRPr="00662906" w:rsidRDefault="008B050B" w:rsidP="00561F4E">
            <w:pPr>
              <w:jc w:val="center"/>
              <w:rPr>
                <w:rFonts w:cs="Arial"/>
                <w:sz w:val="18"/>
                <w:szCs w:val="18"/>
              </w:rPr>
            </w:pPr>
          </w:p>
        </w:tc>
        <w:tc>
          <w:tcPr>
            <w:tcW w:w="1484" w:type="dxa"/>
            <w:vMerge/>
            <w:vAlign w:val="center"/>
          </w:tcPr>
          <w:p w14:paraId="0B2583C6" w14:textId="77777777" w:rsidR="008B050B" w:rsidRPr="00662906" w:rsidRDefault="008B050B" w:rsidP="00561F4E">
            <w:pPr>
              <w:jc w:val="center"/>
              <w:rPr>
                <w:rFonts w:cs="Arial"/>
                <w:sz w:val="18"/>
                <w:szCs w:val="18"/>
              </w:rPr>
            </w:pPr>
          </w:p>
        </w:tc>
        <w:tc>
          <w:tcPr>
            <w:tcW w:w="2873" w:type="dxa"/>
            <w:vAlign w:val="center"/>
          </w:tcPr>
          <w:p w14:paraId="393D0983" w14:textId="576514B0"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7.3: Policy Development and Regulatory Support</w:t>
            </w:r>
          </w:p>
        </w:tc>
        <w:tc>
          <w:tcPr>
            <w:tcW w:w="1619" w:type="dxa"/>
            <w:vAlign w:val="center"/>
          </w:tcPr>
          <w:p w14:paraId="75A2C479"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517,500</w:t>
            </w:r>
          </w:p>
        </w:tc>
        <w:tc>
          <w:tcPr>
            <w:tcW w:w="1306" w:type="dxa"/>
            <w:vMerge/>
            <w:vAlign w:val="center"/>
          </w:tcPr>
          <w:p w14:paraId="005846A7" w14:textId="77777777" w:rsidR="008B050B" w:rsidRPr="00662906" w:rsidRDefault="008B050B" w:rsidP="00561F4E">
            <w:pPr>
              <w:spacing w:line="240" w:lineRule="auto"/>
              <w:jc w:val="center"/>
              <w:rPr>
                <w:rFonts w:eastAsia="Arial" w:cs="Arial"/>
                <w:color w:val="394A58"/>
                <w:sz w:val="18"/>
                <w:szCs w:val="18"/>
              </w:rPr>
            </w:pPr>
          </w:p>
        </w:tc>
      </w:tr>
      <w:tr w:rsidR="00D72DE6" w:rsidRPr="00662906" w14:paraId="3320EA19" w14:textId="77777777" w:rsidTr="00561F4E">
        <w:trPr>
          <w:trHeight w:val="540"/>
        </w:trPr>
        <w:tc>
          <w:tcPr>
            <w:tcW w:w="539" w:type="dxa"/>
            <w:vMerge/>
            <w:vAlign w:val="center"/>
          </w:tcPr>
          <w:p w14:paraId="3D73D8B3" w14:textId="77777777" w:rsidR="008B050B" w:rsidRPr="00662906" w:rsidRDefault="008B050B" w:rsidP="00561F4E">
            <w:pPr>
              <w:jc w:val="center"/>
              <w:rPr>
                <w:rFonts w:cs="Arial"/>
                <w:sz w:val="18"/>
                <w:szCs w:val="18"/>
              </w:rPr>
            </w:pPr>
          </w:p>
        </w:tc>
        <w:tc>
          <w:tcPr>
            <w:tcW w:w="1195" w:type="dxa"/>
            <w:vMerge/>
            <w:vAlign w:val="center"/>
          </w:tcPr>
          <w:p w14:paraId="204D26D1" w14:textId="77777777" w:rsidR="008B050B" w:rsidRPr="00662906" w:rsidRDefault="008B050B" w:rsidP="00561F4E">
            <w:pPr>
              <w:jc w:val="center"/>
              <w:rPr>
                <w:rFonts w:cs="Arial"/>
                <w:sz w:val="18"/>
                <w:szCs w:val="18"/>
              </w:rPr>
            </w:pPr>
          </w:p>
        </w:tc>
        <w:tc>
          <w:tcPr>
            <w:tcW w:w="1484" w:type="dxa"/>
            <w:vMerge/>
            <w:vAlign w:val="center"/>
          </w:tcPr>
          <w:p w14:paraId="4AD6E6F5" w14:textId="77777777" w:rsidR="008B050B" w:rsidRPr="00662906" w:rsidRDefault="008B050B" w:rsidP="00561F4E">
            <w:pPr>
              <w:jc w:val="center"/>
              <w:rPr>
                <w:rFonts w:cs="Arial"/>
                <w:sz w:val="18"/>
                <w:szCs w:val="18"/>
              </w:rPr>
            </w:pPr>
          </w:p>
        </w:tc>
        <w:tc>
          <w:tcPr>
            <w:tcW w:w="2873" w:type="dxa"/>
            <w:vAlign w:val="center"/>
          </w:tcPr>
          <w:p w14:paraId="31672656" w14:textId="77777777" w:rsidR="008B050B" w:rsidRPr="00662906" w:rsidRDefault="008B050B" w:rsidP="00561F4E">
            <w:pPr>
              <w:spacing w:before="40" w:after="40" w:line="240" w:lineRule="auto"/>
              <w:jc w:val="center"/>
              <w:rPr>
                <w:rFonts w:eastAsia="Arial" w:cs="Arial"/>
                <w:color w:val="394A58"/>
                <w:sz w:val="18"/>
                <w:szCs w:val="18"/>
              </w:rPr>
            </w:pPr>
            <w:r w:rsidRPr="00662906">
              <w:rPr>
                <w:rFonts w:eastAsia="Arial" w:cs="Arial"/>
                <w:color w:val="394A58"/>
                <w:sz w:val="18"/>
                <w:szCs w:val="18"/>
              </w:rPr>
              <w:t>Strategic Intervention 7.4: Public Awareness Campaigns and Education</w:t>
            </w:r>
          </w:p>
        </w:tc>
        <w:tc>
          <w:tcPr>
            <w:tcW w:w="1619" w:type="dxa"/>
            <w:vAlign w:val="center"/>
          </w:tcPr>
          <w:p w14:paraId="5D368935" w14:textId="77777777" w:rsidR="008B050B" w:rsidRPr="00662906" w:rsidRDefault="008B050B" w:rsidP="00561F4E">
            <w:pPr>
              <w:spacing w:line="240" w:lineRule="auto"/>
              <w:jc w:val="center"/>
              <w:rPr>
                <w:rFonts w:eastAsia="Arial" w:cs="Arial"/>
                <w:color w:val="394A58"/>
                <w:sz w:val="18"/>
                <w:szCs w:val="18"/>
              </w:rPr>
            </w:pPr>
            <w:r w:rsidRPr="00662906">
              <w:rPr>
                <w:rFonts w:eastAsia="Arial" w:cs="Arial"/>
                <w:color w:val="394A58"/>
                <w:sz w:val="18"/>
                <w:szCs w:val="18"/>
              </w:rPr>
              <w:t>287,500</w:t>
            </w:r>
          </w:p>
        </w:tc>
        <w:tc>
          <w:tcPr>
            <w:tcW w:w="1306" w:type="dxa"/>
            <w:vMerge/>
            <w:vAlign w:val="center"/>
          </w:tcPr>
          <w:p w14:paraId="103A998A" w14:textId="77777777" w:rsidR="008B050B" w:rsidRPr="00662906" w:rsidRDefault="008B050B" w:rsidP="00561F4E">
            <w:pPr>
              <w:spacing w:line="240" w:lineRule="auto"/>
              <w:jc w:val="center"/>
              <w:rPr>
                <w:rFonts w:eastAsia="Arial" w:cs="Arial"/>
                <w:color w:val="394A58"/>
                <w:sz w:val="18"/>
                <w:szCs w:val="18"/>
              </w:rPr>
            </w:pPr>
          </w:p>
        </w:tc>
      </w:tr>
      <w:tr w:rsidR="008B050B" w:rsidRPr="00662906" w14:paraId="02479ACA" w14:textId="77777777" w:rsidTr="00561F4E">
        <w:trPr>
          <w:trHeight w:val="540"/>
        </w:trPr>
        <w:tc>
          <w:tcPr>
            <w:tcW w:w="7710" w:type="dxa"/>
            <w:gridSpan w:val="5"/>
            <w:vAlign w:val="center"/>
          </w:tcPr>
          <w:p w14:paraId="10C185F2" w14:textId="77777777" w:rsidR="008B050B" w:rsidRPr="00662906" w:rsidRDefault="008B050B" w:rsidP="00561F4E">
            <w:pPr>
              <w:spacing w:line="240" w:lineRule="auto"/>
              <w:jc w:val="center"/>
              <w:rPr>
                <w:rFonts w:eastAsia="Arial" w:cs="Arial"/>
                <w:b/>
                <w:bCs/>
                <w:color w:val="394A58"/>
                <w:sz w:val="18"/>
                <w:szCs w:val="18"/>
              </w:rPr>
            </w:pPr>
            <w:r w:rsidRPr="00662906">
              <w:rPr>
                <w:rFonts w:eastAsia="Arial" w:cs="Arial"/>
                <w:b/>
                <w:bCs/>
                <w:color w:val="394A58"/>
                <w:sz w:val="18"/>
                <w:szCs w:val="18"/>
              </w:rPr>
              <w:t>Grand subsector Total</w:t>
            </w:r>
          </w:p>
        </w:tc>
        <w:tc>
          <w:tcPr>
            <w:tcW w:w="1306" w:type="dxa"/>
            <w:vAlign w:val="center"/>
          </w:tcPr>
          <w:p w14:paraId="6B3C459D" w14:textId="5D5E7C77" w:rsidR="008B050B" w:rsidRPr="00662906" w:rsidRDefault="008B050B" w:rsidP="00561F4E">
            <w:pPr>
              <w:spacing w:line="240" w:lineRule="auto"/>
              <w:jc w:val="center"/>
              <w:rPr>
                <w:rFonts w:eastAsia="Arial" w:cs="Arial"/>
                <w:b/>
                <w:bCs/>
                <w:color w:val="394A58"/>
                <w:sz w:val="18"/>
                <w:szCs w:val="18"/>
              </w:rPr>
            </w:pPr>
            <w:r w:rsidRPr="00662906">
              <w:rPr>
                <w:rFonts w:eastAsia="Arial" w:cs="Arial"/>
                <w:b/>
                <w:bCs/>
                <w:color w:val="394A58"/>
                <w:sz w:val="18"/>
                <w:szCs w:val="18"/>
              </w:rPr>
              <w:t>11</w:t>
            </w:r>
            <w:r w:rsidR="00E50F5C" w:rsidRPr="00662906">
              <w:rPr>
                <w:rFonts w:eastAsia="Arial" w:cs="Arial"/>
                <w:b/>
                <w:bCs/>
                <w:color w:val="394A58"/>
                <w:sz w:val="18"/>
                <w:szCs w:val="18"/>
              </w:rPr>
              <w:t>,102,000</w:t>
            </w:r>
          </w:p>
        </w:tc>
      </w:tr>
    </w:tbl>
    <w:p w14:paraId="3BA383FF" w14:textId="77777777" w:rsidR="004833A3" w:rsidRPr="00662906" w:rsidRDefault="004833A3" w:rsidP="004833A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1009E983" w14:textId="1E46B510" w:rsidR="008B050B" w:rsidRPr="00662906" w:rsidRDefault="008B050B" w:rsidP="008B050B">
      <w:r w:rsidRPr="00662906">
        <w:t xml:space="preserve">The budget estimate for implementing actions for horizontal </w:t>
      </w:r>
      <w:r w:rsidR="00E50F5C" w:rsidRPr="00662906">
        <w:t>p</w:t>
      </w:r>
      <w:r w:rsidRPr="00662906">
        <w:t xml:space="preserve">lanning is presented in Table </w:t>
      </w:r>
      <w:r w:rsidR="00E50F5C" w:rsidRPr="00662906">
        <w:t xml:space="preserve">46 </w:t>
      </w:r>
      <w:r w:rsidRPr="00662906">
        <w:t xml:space="preserve">and the total short-term budget for implementing the horizontal planning Actions is </w:t>
      </w:r>
      <w:r w:rsidR="00CD30D5" w:rsidRPr="00662906">
        <w:t xml:space="preserve">USD </w:t>
      </w:r>
      <w:r w:rsidRPr="00662906">
        <w:t>900</w:t>
      </w:r>
      <w:r w:rsidR="00E50F5C" w:rsidRPr="00662906">
        <w:t>,</w:t>
      </w:r>
      <w:r w:rsidRPr="00662906">
        <w:t>000</w:t>
      </w:r>
      <w:r w:rsidR="00E50F5C" w:rsidRPr="00662906">
        <w:t>.</w:t>
      </w:r>
    </w:p>
    <w:p w14:paraId="67500DEC" w14:textId="01244E11" w:rsidR="008B050B" w:rsidRPr="00662906" w:rsidRDefault="008B050B" w:rsidP="008B050B">
      <w:pPr>
        <w:pStyle w:val="Caption"/>
      </w:pPr>
      <w:bookmarkStart w:id="806" w:name="_Toc197433934"/>
      <w:r w:rsidRPr="00662906">
        <w:t xml:space="preserve">Table </w:t>
      </w:r>
      <w:fldSimple w:instr=" SEQ Table \* ARABIC ">
        <w:r w:rsidR="00610F61">
          <w:rPr>
            <w:noProof/>
          </w:rPr>
          <w:t>46</w:t>
        </w:r>
      </w:fldSimple>
      <w:r w:rsidRPr="00662906">
        <w:t>: Estimated Short Term budget for implementing Horizontal Planning ETSAP Actions</w:t>
      </w:r>
      <w:bookmarkEnd w:id="806"/>
    </w:p>
    <w:tbl>
      <w:tblPr>
        <w:tblStyle w:val="TableGrid"/>
        <w:tblW w:w="5000" w:type="pct"/>
        <w:tblLook w:val="06A0" w:firstRow="1" w:lastRow="0" w:firstColumn="1" w:lastColumn="0" w:noHBand="1" w:noVBand="1"/>
      </w:tblPr>
      <w:tblGrid>
        <w:gridCol w:w="1362"/>
        <w:gridCol w:w="1361"/>
        <w:gridCol w:w="2741"/>
        <w:gridCol w:w="1316"/>
        <w:gridCol w:w="2236"/>
      </w:tblGrid>
      <w:tr w:rsidR="00D72DE6" w:rsidRPr="00662906" w14:paraId="6FC2691D" w14:textId="77777777" w:rsidTr="00561F4E">
        <w:trPr>
          <w:trHeight w:val="300"/>
        </w:trPr>
        <w:tc>
          <w:tcPr>
            <w:tcW w:w="755" w:type="pct"/>
            <w:shd w:val="clear" w:color="auto" w:fill="B4A269" w:themeFill="text2"/>
            <w:vAlign w:val="center"/>
          </w:tcPr>
          <w:p w14:paraId="05330495" w14:textId="77777777" w:rsidR="008B050B" w:rsidRPr="00662906" w:rsidRDefault="008B050B" w:rsidP="00561F4E">
            <w:pPr>
              <w:pStyle w:val="Caption"/>
              <w:jc w:val="center"/>
              <w:rPr>
                <w:rFonts w:cs="Arial"/>
                <w:color w:val="FFFFFF" w:themeColor="background2"/>
              </w:rPr>
            </w:pPr>
            <w:r w:rsidRPr="00662906">
              <w:rPr>
                <w:rFonts w:eastAsia="Arial" w:cs="Arial"/>
                <w:b/>
                <w:bCs/>
                <w:color w:val="FFFFFF" w:themeColor="background2"/>
              </w:rPr>
              <w:t>Strategic Intervention</w:t>
            </w:r>
          </w:p>
        </w:tc>
        <w:tc>
          <w:tcPr>
            <w:tcW w:w="755" w:type="pct"/>
            <w:shd w:val="clear" w:color="auto" w:fill="B4A269" w:themeFill="text2"/>
            <w:vAlign w:val="center"/>
          </w:tcPr>
          <w:p w14:paraId="1143868C" w14:textId="77777777"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Actions</w:t>
            </w:r>
          </w:p>
        </w:tc>
        <w:tc>
          <w:tcPr>
            <w:tcW w:w="1520" w:type="pct"/>
            <w:shd w:val="clear" w:color="auto" w:fill="B4A269" w:themeFill="text2"/>
            <w:vAlign w:val="center"/>
          </w:tcPr>
          <w:p w14:paraId="668D6819" w14:textId="77777777"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Activities</w:t>
            </w:r>
          </w:p>
        </w:tc>
        <w:tc>
          <w:tcPr>
            <w:tcW w:w="730" w:type="pct"/>
            <w:shd w:val="clear" w:color="auto" w:fill="B4A269" w:themeFill="text2"/>
            <w:vAlign w:val="center"/>
          </w:tcPr>
          <w:p w14:paraId="59DF6C9C" w14:textId="199CDEF0"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 xml:space="preserve">Estimated Budget (2025-2030) </w:t>
            </w:r>
            <w:r w:rsidR="00C50B31" w:rsidRPr="00662906">
              <w:rPr>
                <w:rFonts w:eastAsia="Arial" w:cs="Arial"/>
                <w:b/>
                <w:bCs/>
                <w:color w:val="FFFFFF" w:themeColor="background2"/>
                <w:sz w:val="18"/>
                <w:szCs w:val="18"/>
              </w:rPr>
              <w:t>(USD)</w:t>
            </w:r>
          </w:p>
        </w:tc>
        <w:tc>
          <w:tcPr>
            <w:tcW w:w="1240" w:type="pct"/>
            <w:shd w:val="clear" w:color="auto" w:fill="B4A269" w:themeFill="text2"/>
            <w:vAlign w:val="center"/>
          </w:tcPr>
          <w:p w14:paraId="6B567B3B" w14:textId="3221528A" w:rsidR="008B050B" w:rsidRPr="00662906" w:rsidRDefault="008B050B" w:rsidP="00561F4E">
            <w:pPr>
              <w:jc w:val="center"/>
              <w:rPr>
                <w:rFonts w:eastAsia="Arial" w:cs="Arial"/>
                <w:b/>
                <w:bCs/>
                <w:color w:val="FFFFFF" w:themeColor="background2"/>
                <w:sz w:val="18"/>
                <w:szCs w:val="18"/>
              </w:rPr>
            </w:pPr>
            <w:r w:rsidRPr="00662906">
              <w:rPr>
                <w:rFonts w:eastAsia="Arial" w:cs="Arial"/>
                <w:b/>
                <w:bCs/>
                <w:color w:val="FFFFFF" w:themeColor="background2"/>
                <w:sz w:val="18"/>
                <w:szCs w:val="18"/>
              </w:rPr>
              <w:t>TOTAL (</w:t>
            </w:r>
            <w:r w:rsidR="00C50B31" w:rsidRPr="00662906">
              <w:rPr>
                <w:rFonts w:eastAsia="Arial" w:cs="Arial"/>
                <w:b/>
                <w:bCs/>
                <w:color w:val="FFFFFF" w:themeColor="background2"/>
                <w:sz w:val="18"/>
                <w:szCs w:val="18"/>
              </w:rPr>
              <w:t>USD</w:t>
            </w:r>
            <w:r w:rsidRPr="00662906">
              <w:rPr>
                <w:rFonts w:eastAsia="Arial" w:cs="Arial"/>
                <w:b/>
                <w:bCs/>
                <w:color w:val="FFFFFF" w:themeColor="background2"/>
                <w:sz w:val="18"/>
                <w:szCs w:val="18"/>
              </w:rPr>
              <w:t>)</w:t>
            </w:r>
          </w:p>
        </w:tc>
      </w:tr>
      <w:tr w:rsidR="008B050B" w:rsidRPr="00662906" w14:paraId="2F1D09E0" w14:textId="77777777" w:rsidTr="00561F4E">
        <w:trPr>
          <w:trHeight w:val="300"/>
        </w:trPr>
        <w:tc>
          <w:tcPr>
            <w:tcW w:w="755" w:type="pct"/>
            <w:vMerge w:val="restart"/>
            <w:vAlign w:val="center"/>
          </w:tcPr>
          <w:p w14:paraId="10475FEB"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Supporting AU-MS to develop their national DDPs</w:t>
            </w:r>
          </w:p>
        </w:tc>
        <w:tc>
          <w:tcPr>
            <w:tcW w:w="755" w:type="pct"/>
            <w:vAlign w:val="center"/>
          </w:tcPr>
          <w:p w14:paraId="1D3780E2"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Train MS on designing development of DDP and related data collection</w:t>
            </w:r>
          </w:p>
        </w:tc>
        <w:tc>
          <w:tcPr>
            <w:tcW w:w="1520" w:type="pct"/>
            <w:vAlign w:val="center"/>
          </w:tcPr>
          <w:p w14:paraId="75580EA7" w14:textId="5BD77831" w:rsidR="008B050B" w:rsidRPr="00662906" w:rsidRDefault="008B050B" w:rsidP="00561F4E">
            <w:pPr>
              <w:jc w:val="center"/>
              <w:rPr>
                <w:rFonts w:eastAsia="Arial" w:cs="Arial"/>
                <w:sz w:val="18"/>
                <w:szCs w:val="18"/>
              </w:rPr>
            </w:pPr>
            <w:r w:rsidRPr="00662906">
              <w:rPr>
                <w:rFonts w:eastAsia="Arial" w:cs="Arial"/>
                <w:sz w:val="18"/>
                <w:szCs w:val="18"/>
              </w:rPr>
              <w:t>Create a tool with data checklist.</w:t>
            </w:r>
          </w:p>
          <w:p w14:paraId="4E37117B" w14:textId="77777777" w:rsidR="008B050B" w:rsidRPr="00662906" w:rsidRDefault="008B050B" w:rsidP="00561F4E">
            <w:pPr>
              <w:jc w:val="center"/>
              <w:rPr>
                <w:rFonts w:eastAsia="Arial" w:cs="Arial"/>
                <w:sz w:val="18"/>
                <w:szCs w:val="18"/>
              </w:rPr>
            </w:pPr>
            <w:r w:rsidRPr="00662906">
              <w:rPr>
                <w:rFonts w:eastAsia="Arial" w:cs="Arial"/>
                <w:sz w:val="18"/>
                <w:szCs w:val="18"/>
              </w:rPr>
              <w:t>Stakeholder engagement.</w:t>
            </w:r>
          </w:p>
          <w:p w14:paraId="31A67C6B" w14:textId="77777777" w:rsidR="008B050B" w:rsidRPr="00662906" w:rsidRDefault="008B050B" w:rsidP="00561F4E">
            <w:pPr>
              <w:jc w:val="center"/>
              <w:rPr>
                <w:rFonts w:eastAsia="Arial" w:cs="Arial"/>
                <w:sz w:val="18"/>
                <w:szCs w:val="18"/>
              </w:rPr>
            </w:pPr>
            <w:r w:rsidRPr="00662906">
              <w:rPr>
                <w:rFonts w:eastAsia="Arial" w:cs="Arial"/>
                <w:sz w:val="18"/>
                <w:szCs w:val="18"/>
              </w:rPr>
              <w:t>Survey for data collection.</w:t>
            </w:r>
          </w:p>
        </w:tc>
        <w:tc>
          <w:tcPr>
            <w:tcW w:w="730" w:type="pct"/>
            <w:vAlign w:val="center"/>
          </w:tcPr>
          <w:p w14:paraId="5AFFDB74" w14:textId="77777777" w:rsidR="008B050B" w:rsidRPr="00662906" w:rsidRDefault="008B050B" w:rsidP="00561F4E">
            <w:pPr>
              <w:jc w:val="center"/>
              <w:rPr>
                <w:rFonts w:eastAsia="Arial" w:cs="Arial"/>
                <w:sz w:val="18"/>
                <w:szCs w:val="18"/>
              </w:rPr>
            </w:pPr>
            <w:r w:rsidRPr="00662906">
              <w:rPr>
                <w:rFonts w:eastAsia="Arial" w:cs="Arial"/>
                <w:sz w:val="18"/>
                <w:szCs w:val="18"/>
              </w:rPr>
              <w:t>100,000</w:t>
            </w:r>
          </w:p>
        </w:tc>
        <w:tc>
          <w:tcPr>
            <w:tcW w:w="1240" w:type="pct"/>
            <w:vMerge w:val="restart"/>
            <w:vAlign w:val="center"/>
          </w:tcPr>
          <w:p w14:paraId="2492CF07" w14:textId="77777777" w:rsidR="008B050B" w:rsidRPr="00662906" w:rsidRDefault="008B050B" w:rsidP="00561F4E">
            <w:pPr>
              <w:jc w:val="center"/>
              <w:rPr>
                <w:rFonts w:eastAsia="Arial" w:cs="Arial"/>
                <w:sz w:val="18"/>
                <w:szCs w:val="18"/>
              </w:rPr>
            </w:pPr>
            <w:r w:rsidRPr="00662906">
              <w:rPr>
                <w:rFonts w:eastAsia="Arial" w:cs="Arial"/>
                <w:sz w:val="18"/>
                <w:szCs w:val="18"/>
              </w:rPr>
              <w:t>900 000</w:t>
            </w:r>
          </w:p>
        </w:tc>
      </w:tr>
      <w:tr w:rsidR="008B050B" w:rsidRPr="00662906" w14:paraId="66C7FDA3" w14:textId="77777777" w:rsidTr="00561F4E">
        <w:trPr>
          <w:trHeight w:val="300"/>
        </w:trPr>
        <w:tc>
          <w:tcPr>
            <w:tcW w:w="755" w:type="pct"/>
            <w:vMerge/>
            <w:vAlign w:val="center"/>
          </w:tcPr>
          <w:p w14:paraId="0810910C" w14:textId="77777777" w:rsidR="008B050B" w:rsidRPr="00662906" w:rsidRDefault="008B050B" w:rsidP="00561F4E">
            <w:pPr>
              <w:jc w:val="center"/>
              <w:rPr>
                <w:rFonts w:cs="Arial"/>
                <w:sz w:val="18"/>
                <w:szCs w:val="18"/>
              </w:rPr>
            </w:pPr>
          </w:p>
        </w:tc>
        <w:tc>
          <w:tcPr>
            <w:tcW w:w="755" w:type="pct"/>
            <w:vAlign w:val="center"/>
          </w:tcPr>
          <w:p w14:paraId="7E993573"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Train MS on Scenario modelling</w:t>
            </w:r>
          </w:p>
        </w:tc>
        <w:tc>
          <w:tcPr>
            <w:tcW w:w="1520" w:type="pct"/>
            <w:vAlign w:val="center"/>
          </w:tcPr>
          <w:p w14:paraId="56A4708A" w14:textId="77777777" w:rsidR="008B050B" w:rsidRPr="00662906" w:rsidRDefault="008B050B" w:rsidP="00561F4E">
            <w:pPr>
              <w:jc w:val="center"/>
              <w:rPr>
                <w:rFonts w:eastAsia="Arial" w:cs="Arial"/>
                <w:sz w:val="18"/>
                <w:szCs w:val="18"/>
              </w:rPr>
            </w:pPr>
            <w:r w:rsidRPr="00662906">
              <w:rPr>
                <w:rFonts w:eastAsia="Arial" w:cs="Arial"/>
                <w:sz w:val="18"/>
                <w:szCs w:val="18"/>
              </w:rPr>
              <w:t>Identify suitable type of model</w:t>
            </w:r>
          </w:p>
          <w:p w14:paraId="7D7E5065" w14:textId="77777777" w:rsidR="008B050B" w:rsidRPr="00662906" w:rsidRDefault="008B050B" w:rsidP="00561F4E">
            <w:pPr>
              <w:jc w:val="center"/>
              <w:rPr>
                <w:rFonts w:eastAsia="Arial" w:cs="Arial"/>
                <w:sz w:val="18"/>
                <w:szCs w:val="18"/>
              </w:rPr>
            </w:pPr>
            <w:r w:rsidRPr="00662906">
              <w:rPr>
                <w:rFonts w:eastAsia="Arial" w:cs="Arial"/>
                <w:sz w:val="18"/>
                <w:szCs w:val="18"/>
              </w:rPr>
              <w:t>Organize Group training workshops on selected model.</w:t>
            </w:r>
          </w:p>
        </w:tc>
        <w:tc>
          <w:tcPr>
            <w:tcW w:w="730" w:type="pct"/>
            <w:vAlign w:val="center"/>
          </w:tcPr>
          <w:p w14:paraId="71DF32F7" w14:textId="77777777" w:rsidR="008B050B" w:rsidRPr="00662906" w:rsidRDefault="008B050B" w:rsidP="00561F4E">
            <w:pPr>
              <w:jc w:val="center"/>
              <w:rPr>
                <w:rFonts w:eastAsia="Arial" w:cs="Arial"/>
                <w:sz w:val="18"/>
                <w:szCs w:val="18"/>
              </w:rPr>
            </w:pPr>
            <w:r w:rsidRPr="00662906">
              <w:rPr>
                <w:rFonts w:eastAsia="Arial" w:cs="Arial"/>
                <w:sz w:val="18"/>
                <w:szCs w:val="18"/>
              </w:rPr>
              <w:t>225,000</w:t>
            </w:r>
          </w:p>
        </w:tc>
        <w:tc>
          <w:tcPr>
            <w:tcW w:w="1240" w:type="pct"/>
            <w:vMerge/>
            <w:vAlign w:val="center"/>
          </w:tcPr>
          <w:p w14:paraId="1AB32CBD" w14:textId="77777777" w:rsidR="008B050B" w:rsidRPr="00662906" w:rsidRDefault="008B050B" w:rsidP="00561F4E">
            <w:pPr>
              <w:jc w:val="center"/>
              <w:rPr>
                <w:rFonts w:eastAsia="Arial" w:cs="Arial"/>
                <w:sz w:val="18"/>
                <w:szCs w:val="18"/>
              </w:rPr>
            </w:pPr>
          </w:p>
        </w:tc>
      </w:tr>
      <w:tr w:rsidR="008B050B" w:rsidRPr="00662906" w14:paraId="1906C892" w14:textId="77777777" w:rsidTr="00561F4E">
        <w:trPr>
          <w:trHeight w:val="300"/>
        </w:trPr>
        <w:tc>
          <w:tcPr>
            <w:tcW w:w="755" w:type="pct"/>
            <w:vMerge w:val="restart"/>
            <w:vAlign w:val="center"/>
          </w:tcPr>
          <w:p w14:paraId="215A5226" w14:textId="77777777" w:rsidR="008B050B" w:rsidRPr="00662906" w:rsidRDefault="008B050B" w:rsidP="00561F4E">
            <w:pPr>
              <w:jc w:val="center"/>
              <w:rPr>
                <w:rFonts w:eastAsia="Arial" w:cs="Arial"/>
                <w:sz w:val="18"/>
                <w:szCs w:val="18"/>
              </w:rPr>
            </w:pPr>
            <w:r w:rsidRPr="00662906">
              <w:rPr>
                <w:rFonts w:eastAsia="Arial" w:cs="Arial"/>
                <w:sz w:val="18"/>
                <w:szCs w:val="18"/>
              </w:rPr>
              <w:t>Energy Transition Information system</w:t>
            </w:r>
          </w:p>
          <w:p w14:paraId="210E3FEB"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Capacity Building</w:t>
            </w:r>
          </w:p>
          <w:p w14:paraId="3AB6D21E" w14:textId="77777777" w:rsidR="008B050B" w:rsidRPr="00662906" w:rsidRDefault="008B050B" w:rsidP="00561F4E">
            <w:pPr>
              <w:spacing w:line="259" w:lineRule="auto"/>
              <w:jc w:val="center"/>
              <w:rPr>
                <w:rFonts w:eastAsia="Arial" w:cs="Arial"/>
                <w:sz w:val="18"/>
                <w:szCs w:val="18"/>
              </w:rPr>
            </w:pPr>
          </w:p>
        </w:tc>
        <w:tc>
          <w:tcPr>
            <w:tcW w:w="755" w:type="pct"/>
            <w:vAlign w:val="center"/>
          </w:tcPr>
          <w:p w14:paraId="12A7A823"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Develop a check list of data sets used for ET</w:t>
            </w:r>
          </w:p>
        </w:tc>
        <w:tc>
          <w:tcPr>
            <w:tcW w:w="1520" w:type="pct"/>
            <w:vAlign w:val="center"/>
          </w:tcPr>
          <w:p w14:paraId="44E9F505" w14:textId="77777777" w:rsidR="008B050B" w:rsidRPr="00662906" w:rsidRDefault="008B050B" w:rsidP="00561F4E">
            <w:pPr>
              <w:jc w:val="center"/>
              <w:rPr>
                <w:rFonts w:eastAsia="Arial" w:cs="Arial"/>
                <w:sz w:val="18"/>
                <w:szCs w:val="18"/>
              </w:rPr>
            </w:pPr>
            <w:r w:rsidRPr="00662906">
              <w:rPr>
                <w:rFonts w:eastAsia="Arial" w:cs="Arial"/>
                <w:sz w:val="18"/>
                <w:szCs w:val="18"/>
              </w:rPr>
              <w:t>Consultant to review ET data sets from other organizations that are used in best practice</w:t>
            </w:r>
          </w:p>
        </w:tc>
        <w:tc>
          <w:tcPr>
            <w:tcW w:w="730" w:type="pct"/>
            <w:vAlign w:val="center"/>
          </w:tcPr>
          <w:p w14:paraId="5E69A465" w14:textId="77777777" w:rsidR="008B050B" w:rsidRPr="00662906" w:rsidRDefault="008B050B" w:rsidP="00561F4E">
            <w:pPr>
              <w:jc w:val="center"/>
              <w:rPr>
                <w:rFonts w:eastAsia="Arial" w:cs="Arial"/>
                <w:sz w:val="18"/>
                <w:szCs w:val="18"/>
              </w:rPr>
            </w:pPr>
            <w:r w:rsidRPr="00662906">
              <w:rPr>
                <w:rFonts w:eastAsia="Arial" w:cs="Arial"/>
                <w:sz w:val="18"/>
                <w:szCs w:val="18"/>
              </w:rPr>
              <w:t>25,000</w:t>
            </w:r>
          </w:p>
        </w:tc>
        <w:tc>
          <w:tcPr>
            <w:tcW w:w="1240" w:type="pct"/>
            <w:vMerge/>
            <w:vAlign w:val="center"/>
          </w:tcPr>
          <w:p w14:paraId="15D49FE5" w14:textId="77777777" w:rsidR="008B050B" w:rsidRPr="00662906" w:rsidRDefault="008B050B" w:rsidP="00561F4E">
            <w:pPr>
              <w:jc w:val="center"/>
              <w:rPr>
                <w:rFonts w:eastAsia="Arial" w:cs="Arial"/>
                <w:sz w:val="18"/>
                <w:szCs w:val="18"/>
              </w:rPr>
            </w:pPr>
          </w:p>
        </w:tc>
      </w:tr>
      <w:tr w:rsidR="008B050B" w:rsidRPr="00662906" w14:paraId="648779F2" w14:textId="77777777" w:rsidTr="00561F4E">
        <w:trPr>
          <w:trHeight w:val="300"/>
        </w:trPr>
        <w:tc>
          <w:tcPr>
            <w:tcW w:w="755" w:type="pct"/>
            <w:vMerge/>
            <w:vAlign w:val="center"/>
          </w:tcPr>
          <w:p w14:paraId="34493B3E" w14:textId="77777777" w:rsidR="008B050B" w:rsidRPr="00662906" w:rsidRDefault="008B050B" w:rsidP="00561F4E">
            <w:pPr>
              <w:jc w:val="center"/>
              <w:rPr>
                <w:rFonts w:cs="Arial"/>
                <w:sz w:val="18"/>
                <w:szCs w:val="18"/>
              </w:rPr>
            </w:pPr>
          </w:p>
        </w:tc>
        <w:tc>
          <w:tcPr>
            <w:tcW w:w="755" w:type="pct"/>
            <w:vAlign w:val="center"/>
          </w:tcPr>
          <w:p w14:paraId="787287D2"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Create a database for ET information</w:t>
            </w:r>
          </w:p>
        </w:tc>
        <w:tc>
          <w:tcPr>
            <w:tcW w:w="1520" w:type="pct"/>
            <w:vAlign w:val="center"/>
          </w:tcPr>
          <w:p w14:paraId="5CD17C5F" w14:textId="77777777" w:rsidR="008B050B" w:rsidRPr="00662906" w:rsidRDefault="008B050B" w:rsidP="00561F4E">
            <w:pPr>
              <w:jc w:val="center"/>
              <w:rPr>
                <w:rFonts w:eastAsia="Arial" w:cs="Arial"/>
                <w:sz w:val="18"/>
                <w:szCs w:val="18"/>
              </w:rPr>
            </w:pPr>
            <w:r w:rsidRPr="00662906">
              <w:rPr>
                <w:rFonts w:eastAsia="Arial" w:cs="Arial"/>
                <w:sz w:val="18"/>
                <w:szCs w:val="18"/>
              </w:rPr>
              <w:t>Include as part of AFREC Information System a sub database for ET information</w:t>
            </w:r>
          </w:p>
        </w:tc>
        <w:tc>
          <w:tcPr>
            <w:tcW w:w="730" w:type="pct"/>
            <w:vAlign w:val="center"/>
          </w:tcPr>
          <w:p w14:paraId="6B9D36BB" w14:textId="77777777" w:rsidR="008B050B" w:rsidRPr="00662906" w:rsidRDefault="008B050B" w:rsidP="00561F4E">
            <w:pPr>
              <w:jc w:val="center"/>
              <w:rPr>
                <w:rFonts w:eastAsia="Arial" w:cs="Arial"/>
                <w:sz w:val="18"/>
                <w:szCs w:val="18"/>
              </w:rPr>
            </w:pPr>
            <w:r w:rsidRPr="00662906">
              <w:rPr>
                <w:rFonts w:eastAsia="Arial" w:cs="Arial"/>
                <w:sz w:val="18"/>
                <w:szCs w:val="18"/>
              </w:rPr>
              <w:t>20,000</w:t>
            </w:r>
          </w:p>
        </w:tc>
        <w:tc>
          <w:tcPr>
            <w:tcW w:w="1240" w:type="pct"/>
            <w:vMerge/>
            <w:vAlign w:val="center"/>
          </w:tcPr>
          <w:p w14:paraId="09498532" w14:textId="77777777" w:rsidR="008B050B" w:rsidRPr="00662906" w:rsidRDefault="008B050B" w:rsidP="00561F4E">
            <w:pPr>
              <w:jc w:val="center"/>
              <w:rPr>
                <w:rFonts w:eastAsia="Arial" w:cs="Arial"/>
                <w:sz w:val="18"/>
                <w:szCs w:val="18"/>
              </w:rPr>
            </w:pPr>
          </w:p>
        </w:tc>
      </w:tr>
      <w:tr w:rsidR="008B050B" w:rsidRPr="00662906" w14:paraId="6100F858" w14:textId="77777777" w:rsidTr="00561F4E">
        <w:trPr>
          <w:trHeight w:val="840"/>
        </w:trPr>
        <w:tc>
          <w:tcPr>
            <w:tcW w:w="755" w:type="pct"/>
            <w:vMerge/>
            <w:vAlign w:val="center"/>
          </w:tcPr>
          <w:p w14:paraId="3C5E2E41" w14:textId="77777777" w:rsidR="008B050B" w:rsidRPr="00662906" w:rsidRDefault="008B050B" w:rsidP="00561F4E">
            <w:pPr>
              <w:jc w:val="center"/>
              <w:rPr>
                <w:rFonts w:cs="Arial"/>
                <w:sz w:val="18"/>
                <w:szCs w:val="18"/>
              </w:rPr>
            </w:pPr>
          </w:p>
        </w:tc>
        <w:tc>
          <w:tcPr>
            <w:tcW w:w="755" w:type="pct"/>
            <w:vAlign w:val="center"/>
          </w:tcPr>
          <w:p w14:paraId="04213854"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Establish a Data collection and processing system</w:t>
            </w:r>
          </w:p>
        </w:tc>
        <w:tc>
          <w:tcPr>
            <w:tcW w:w="1520" w:type="pct"/>
            <w:vAlign w:val="center"/>
          </w:tcPr>
          <w:p w14:paraId="097A9149" w14:textId="77777777" w:rsidR="008B050B" w:rsidRPr="00662906" w:rsidRDefault="008B050B" w:rsidP="00561F4E">
            <w:pPr>
              <w:jc w:val="center"/>
              <w:rPr>
                <w:rFonts w:eastAsia="Arial" w:cs="Arial"/>
                <w:sz w:val="18"/>
                <w:szCs w:val="18"/>
              </w:rPr>
            </w:pPr>
            <w:r w:rsidRPr="00662906">
              <w:rPr>
                <w:rFonts w:eastAsia="Arial" w:cs="Arial"/>
                <w:sz w:val="18"/>
                <w:szCs w:val="18"/>
              </w:rPr>
              <w:t>Develop data collection tools and needed processing needed from the different sources.</w:t>
            </w:r>
          </w:p>
        </w:tc>
        <w:tc>
          <w:tcPr>
            <w:tcW w:w="730" w:type="pct"/>
            <w:vAlign w:val="center"/>
          </w:tcPr>
          <w:p w14:paraId="3E245BC9" w14:textId="77777777" w:rsidR="008B050B" w:rsidRPr="00662906" w:rsidRDefault="008B050B" w:rsidP="00561F4E">
            <w:pPr>
              <w:jc w:val="center"/>
              <w:rPr>
                <w:rFonts w:eastAsia="Arial" w:cs="Arial"/>
                <w:sz w:val="18"/>
                <w:szCs w:val="18"/>
              </w:rPr>
            </w:pPr>
            <w:r w:rsidRPr="00662906">
              <w:rPr>
                <w:rFonts w:eastAsia="Arial" w:cs="Arial"/>
                <w:sz w:val="18"/>
                <w:szCs w:val="18"/>
              </w:rPr>
              <w:t>20,000</w:t>
            </w:r>
          </w:p>
        </w:tc>
        <w:tc>
          <w:tcPr>
            <w:tcW w:w="1240" w:type="pct"/>
            <w:vMerge/>
            <w:vAlign w:val="center"/>
          </w:tcPr>
          <w:p w14:paraId="13E205B0" w14:textId="77777777" w:rsidR="008B050B" w:rsidRPr="00662906" w:rsidRDefault="008B050B" w:rsidP="00561F4E">
            <w:pPr>
              <w:jc w:val="center"/>
              <w:rPr>
                <w:rFonts w:eastAsia="Arial" w:cs="Arial"/>
                <w:sz w:val="18"/>
                <w:szCs w:val="18"/>
              </w:rPr>
            </w:pPr>
          </w:p>
        </w:tc>
      </w:tr>
      <w:tr w:rsidR="008B050B" w:rsidRPr="00662906" w14:paraId="496A2504" w14:textId="77777777" w:rsidTr="00561F4E">
        <w:trPr>
          <w:trHeight w:val="300"/>
        </w:trPr>
        <w:tc>
          <w:tcPr>
            <w:tcW w:w="755" w:type="pct"/>
            <w:vMerge w:val="restart"/>
            <w:vAlign w:val="center"/>
          </w:tcPr>
          <w:p w14:paraId="7D4425C7" w14:textId="77777777" w:rsidR="008B050B" w:rsidRPr="00662906" w:rsidRDefault="008B050B" w:rsidP="00561F4E">
            <w:pPr>
              <w:jc w:val="center"/>
              <w:rPr>
                <w:rFonts w:eastAsia="Arial" w:cs="Arial"/>
                <w:sz w:val="18"/>
                <w:szCs w:val="18"/>
              </w:rPr>
            </w:pPr>
            <w:r w:rsidRPr="00662906">
              <w:rPr>
                <w:rFonts w:eastAsia="Arial" w:cs="Arial"/>
                <w:sz w:val="18"/>
                <w:szCs w:val="18"/>
              </w:rPr>
              <w:lastRenderedPageBreak/>
              <w:t>Capacity Building</w:t>
            </w:r>
          </w:p>
          <w:p w14:paraId="3A6A2D04" w14:textId="77777777" w:rsidR="008B050B" w:rsidRPr="00662906" w:rsidRDefault="008B050B" w:rsidP="00561F4E">
            <w:pPr>
              <w:jc w:val="center"/>
              <w:rPr>
                <w:rFonts w:eastAsia="Arial" w:cs="Arial"/>
                <w:sz w:val="18"/>
                <w:szCs w:val="18"/>
              </w:rPr>
            </w:pPr>
          </w:p>
        </w:tc>
        <w:tc>
          <w:tcPr>
            <w:tcW w:w="755" w:type="pct"/>
            <w:vAlign w:val="center"/>
          </w:tcPr>
          <w:p w14:paraId="164DD7AF"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Capacity Building of continental agencies</w:t>
            </w:r>
          </w:p>
        </w:tc>
        <w:tc>
          <w:tcPr>
            <w:tcW w:w="1520" w:type="pct"/>
            <w:vAlign w:val="center"/>
          </w:tcPr>
          <w:p w14:paraId="43581743" w14:textId="167BDA41" w:rsidR="008B050B" w:rsidRPr="00662906" w:rsidRDefault="008B050B" w:rsidP="00561F4E">
            <w:pPr>
              <w:jc w:val="center"/>
              <w:rPr>
                <w:rFonts w:eastAsia="Arial" w:cs="Arial"/>
                <w:sz w:val="18"/>
                <w:szCs w:val="18"/>
              </w:rPr>
            </w:pPr>
            <w:r w:rsidRPr="00662906">
              <w:rPr>
                <w:rFonts w:eastAsia="Arial" w:cs="Arial"/>
                <w:sz w:val="18"/>
                <w:szCs w:val="18"/>
              </w:rPr>
              <w:t>Capacitate AU agencies on project designs, developing T</w:t>
            </w:r>
            <w:r w:rsidR="00F44162" w:rsidRPr="00662906">
              <w:rPr>
                <w:rFonts w:eastAsia="Arial" w:cs="Arial"/>
                <w:sz w:val="18"/>
                <w:szCs w:val="18"/>
              </w:rPr>
              <w:t>o</w:t>
            </w:r>
            <w:r w:rsidRPr="00662906">
              <w:rPr>
                <w:rFonts w:eastAsia="Arial" w:cs="Arial"/>
                <w:sz w:val="18"/>
                <w:szCs w:val="18"/>
              </w:rPr>
              <w:t>Rs, Resource mobilization, Project Management; Monitoring and Evaluation of projects/programmes</w:t>
            </w:r>
          </w:p>
        </w:tc>
        <w:tc>
          <w:tcPr>
            <w:tcW w:w="730" w:type="pct"/>
            <w:vAlign w:val="center"/>
          </w:tcPr>
          <w:p w14:paraId="25813225" w14:textId="77777777" w:rsidR="008B050B" w:rsidRPr="00662906" w:rsidRDefault="008B050B" w:rsidP="00561F4E">
            <w:pPr>
              <w:jc w:val="center"/>
              <w:rPr>
                <w:rFonts w:eastAsia="Arial" w:cs="Arial"/>
                <w:sz w:val="18"/>
                <w:szCs w:val="18"/>
              </w:rPr>
            </w:pPr>
            <w:r w:rsidRPr="00662906">
              <w:rPr>
                <w:rFonts w:eastAsia="Arial" w:cs="Arial"/>
                <w:sz w:val="18"/>
                <w:szCs w:val="18"/>
              </w:rPr>
              <w:t>60,000</w:t>
            </w:r>
          </w:p>
        </w:tc>
        <w:tc>
          <w:tcPr>
            <w:tcW w:w="1240" w:type="pct"/>
            <w:vMerge/>
            <w:vAlign w:val="center"/>
          </w:tcPr>
          <w:p w14:paraId="686D6FE2" w14:textId="77777777" w:rsidR="008B050B" w:rsidRPr="00662906" w:rsidRDefault="008B050B" w:rsidP="00561F4E">
            <w:pPr>
              <w:jc w:val="center"/>
              <w:rPr>
                <w:rFonts w:eastAsia="Arial" w:cs="Arial"/>
                <w:sz w:val="18"/>
                <w:szCs w:val="18"/>
              </w:rPr>
            </w:pPr>
          </w:p>
        </w:tc>
      </w:tr>
      <w:tr w:rsidR="008B050B" w:rsidRPr="00662906" w14:paraId="2E085FA3" w14:textId="77777777" w:rsidTr="00561F4E">
        <w:trPr>
          <w:trHeight w:val="300"/>
        </w:trPr>
        <w:tc>
          <w:tcPr>
            <w:tcW w:w="755" w:type="pct"/>
            <w:vMerge/>
            <w:vAlign w:val="center"/>
          </w:tcPr>
          <w:p w14:paraId="081AE439" w14:textId="77777777" w:rsidR="008B050B" w:rsidRPr="00662906" w:rsidRDefault="008B050B" w:rsidP="00561F4E">
            <w:pPr>
              <w:jc w:val="center"/>
              <w:rPr>
                <w:rFonts w:cs="Arial"/>
                <w:sz w:val="18"/>
                <w:szCs w:val="18"/>
              </w:rPr>
            </w:pPr>
          </w:p>
        </w:tc>
        <w:tc>
          <w:tcPr>
            <w:tcW w:w="755" w:type="pct"/>
            <w:vAlign w:val="center"/>
          </w:tcPr>
          <w:p w14:paraId="0AB2030D" w14:textId="77777777" w:rsidR="008B050B" w:rsidRPr="00662906" w:rsidRDefault="008B050B" w:rsidP="00561F4E">
            <w:pPr>
              <w:jc w:val="center"/>
              <w:rPr>
                <w:rFonts w:eastAsia="Arial" w:cs="Arial"/>
                <w:sz w:val="18"/>
                <w:szCs w:val="18"/>
              </w:rPr>
            </w:pPr>
            <w:r w:rsidRPr="00662906">
              <w:rPr>
                <w:rFonts w:eastAsia="Arial" w:cs="Arial"/>
                <w:sz w:val="18"/>
                <w:szCs w:val="18"/>
              </w:rPr>
              <w:t>Capacity building of regional bodies</w:t>
            </w:r>
          </w:p>
          <w:p w14:paraId="6A2BC0DE" w14:textId="77777777" w:rsidR="008B050B" w:rsidRPr="00662906" w:rsidRDefault="008B050B" w:rsidP="00561F4E">
            <w:pPr>
              <w:spacing w:line="259" w:lineRule="auto"/>
              <w:jc w:val="center"/>
              <w:rPr>
                <w:rFonts w:eastAsia="Arial" w:cs="Arial"/>
                <w:sz w:val="18"/>
                <w:szCs w:val="18"/>
              </w:rPr>
            </w:pPr>
          </w:p>
        </w:tc>
        <w:tc>
          <w:tcPr>
            <w:tcW w:w="1520" w:type="pct"/>
            <w:vAlign w:val="center"/>
          </w:tcPr>
          <w:p w14:paraId="2B92F8DD"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Coordination skills for regional initiatives</w:t>
            </w:r>
          </w:p>
          <w:p w14:paraId="4062058F"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Resource mobilization for regional initiatives</w:t>
            </w:r>
          </w:p>
        </w:tc>
        <w:tc>
          <w:tcPr>
            <w:tcW w:w="730" w:type="pct"/>
            <w:vAlign w:val="center"/>
          </w:tcPr>
          <w:p w14:paraId="0B7C1F89"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225,000</w:t>
            </w:r>
          </w:p>
        </w:tc>
        <w:tc>
          <w:tcPr>
            <w:tcW w:w="1240" w:type="pct"/>
            <w:vMerge/>
            <w:vAlign w:val="center"/>
          </w:tcPr>
          <w:p w14:paraId="33D2836B" w14:textId="77777777" w:rsidR="008B050B" w:rsidRPr="00662906" w:rsidRDefault="008B050B" w:rsidP="00561F4E">
            <w:pPr>
              <w:jc w:val="center"/>
              <w:rPr>
                <w:rFonts w:eastAsia="Arial" w:cs="Arial"/>
                <w:sz w:val="18"/>
                <w:szCs w:val="18"/>
              </w:rPr>
            </w:pPr>
          </w:p>
        </w:tc>
      </w:tr>
      <w:tr w:rsidR="008B050B" w:rsidRPr="00662906" w14:paraId="35E24219" w14:textId="77777777" w:rsidTr="00561F4E">
        <w:trPr>
          <w:trHeight w:val="300"/>
        </w:trPr>
        <w:tc>
          <w:tcPr>
            <w:tcW w:w="755" w:type="pct"/>
            <w:vMerge/>
            <w:vAlign w:val="center"/>
          </w:tcPr>
          <w:p w14:paraId="1249B9CC" w14:textId="77777777" w:rsidR="008B050B" w:rsidRPr="00662906" w:rsidRDefault="008B050B" w:rsidP="00561F4E">
            <w:pPr>
              <w:jc w:val="center"/>
              <w:rPr>
                <w:rFonts w:cs="Arial"/>
                <w:sz w:val="18"/>
                <w:szCs w:val="18"/>
              </w:rPr>
            </w:pPr>
          </w:p>
        </w:tc>
        <w:tc>
          <w:tcPr>
            <w:tcW w:w="755" w:type="pct"/>
            <w:vAlign w:val="center"/>
          </w:tcPr>
          <w:p w14:paraId="316988D3" w14:textId="77777777" w:rsidR="008B050B" w:rsidRPr="00662906" w:rsidRDefault="008B050B" w:rsidP="00561F4E">
            <w:pPr>
              <w:spacing w:line="259" w:lineRule="auto"/>
              <w:jc w:val="center"/>
              <w:rPr>
                <w:rFonts w:eastAsia="Arial" w:cs="Arial"/>
                <w:sz w:val="18"/>
                <w:szCs w:val="18"/>
                <w:u w:val="single"/>
              </w:rPr>
            </w:pPr>
            <w:r w:rsidRPr="00662906">
              <w:rPr>
                <w:rFonts w:eastAsia="Arial" w:cs="Arial"/>
                <w:sz w:val="18"/>
                <w:szCs w:val="18"/>
                <w:u w:val="single"/>
              </w:rPr>
              <w:t>National Capacity building</w:t>
            </w:r>
          </w:p>
        </w:tc>
        <w:tc>
          <w:tcPr>
            <w:tcW w:w="1520" w:type="pct"/>
            <w:vAlign w:val="center"/>
          </w:tcPr>
          <w:p w14:paraId="38B2C598"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M&amp;E systems and data collection systems</w:t>
            </w:r>
          </w:p>
          <w:p w14:paraId="3D5321E0"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Strengthen development and implementation/enforcement of national policies/regulatory frameworks and standards</w:t>
            </w:r>
          </w:p>
        </w:tc>
        <w:tc>
          <w:tcPr>
            <w:tcW w:w="730" w:type="pct"/>
            <w:vAlign w:val="center"/>
          </w:tcPr>
          <w:p w14:paraId="3947570E" w14:textId="77777777" w:rsidR="008B050B" w:rsidRPr="00662906" w:rsidRDefault="008B050B" w:rsidP="00561F4E">
            <w:pPr>
              <w:spacing w:line="259" w:lineRule="auto"/>
              <w:jc w:val="center"/>
              <w:rPr>
                <w:rFonts w:eastAsia="Arial" w:cs="Arial"/>
                <w:sz w:val="18"/>
                <w:szCs w:val="18"/>
              </w:rPr>
            </w:pPr>
            <w:r w:rsidRPr="00662906">
              <w:rPr>
                <w:rFonts w:eastAsia="Arial" w:cs="Arial"/>
                <w:sz w:val="18"/>
                <w:szCs w:val="18"/>
              </w:rPr>
              <w:t>22,500</w:t>
            </w:r>
          </w:p>
        </w:tc>
        <w:tc>
          <w:tcPr>
            <w:tcW w:w="1240" w:type="pct"/>
            <w:vMerge/>
            <w:vAlign w:val="center"/>
          </w:tcPr>
          <w:p w14:paraId="00E39546" w14:textId="77777777" w:rsidR="008B050B" w:rsidRPr="00662906" w:rsidRDefault="008B050B" w:rsidP="00561F4E">
            <w:pPr>
              <w:jc w:val="center"/>
              <w:rPr>
                <w:rFonts w:eastAsia="Arial" w:cs="Arial"/>
                <w:sz w:val="18"/>
                <w:szCs w:val="18"/>
              </w:rPr>
            </w:pPr>
          </w:p>
        </w:tc>
      </w:tr>
    </w:tbl>
    <w:p w14:paraId="6E599100" w14:textId="77777777" w:rsidR="004833A3" w:rsidRPr="00662906" w:rsidRDefault="004833A3" w:rsidP="004833A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440E7E3E" w14:textId="1E6A73FE" w:rsidR="008B050B" w:rsidRPr="00662906" w:rsidRDefault="008B050B" w:rsidP="008B050B">
      <w:r w:rsidRPr="00662906">
        <w:t xml:space="preserve">The budget estimated for implementing short term continental Cross Cutting and Cross Sectoral ETSAP actions is presented in Table </w:t>
      </w:r>
      <w:r w:rsidR="00E50F5C" w:rsidRPr="00662906">
        <w:t xml:space="preserve">47 </w:t>
      </w:r>
      <w:r w:rsidRPr="00662906">
        <w:t xml:space="preserve">amount to </w:t>
      </w:r>
      <w:r w:rsidR="00CD30D5" w:rsidRPr="00662906">
        <w:t xml:space="preserve">USD </w:t>
      </w:r>
      <w:r w:rsidRPr="00662906">
        <w:t xml:space="preserve">220 000 and </w:t>
      </w:r>
      <w:r w:rsidR="00CD30D5" w:rsidRPr="00662906">
        <w:t xml:space="preserve">USD </w:t>
      </w:r>
      <w:r w:rsidRPr="00662906">
        <w:t>126 000 for cross cutting and Cross sectoral short term continental actions.</w:t>
      </w:r>
    </w:p>
    <w:p w14:paraId="7B0DE890" w14:textId="18289F28" w:rsidR="008B050B" w:rsidRPr="00662906" w:rsidRDefault="008B050B" w:rsidP="008B050B">
      <w:pPr>
        <w:pStyle w:val="Caption"/>
      </w:pPr>
      <w:bookmarkStart w:id="807" w:name="_Toc197433935"/>
      <w:r w:rsidRPr="00662906">
        <w:t xml:space="preserve">Table </w:t>
      </w:r>
      <w:fldSimple w:instr=" SEQ Table \* ARABIC ">
        <w:r w:rsidR="00610F61">
          <w:rPr>
            <w:noProof/>
          </w:rPr>
          <w:t>47</w:t>
        </w:r>
      </w:fldSimple>
      <w:r w:rsidRPr="00662906">
        <w:t>: Cross cutting and Cross sectoral budgets for short continental actions (2025-2030)</w:t>
      </w:r>
      <w:bookmarkEnd w:id="807"/>
    </w:p>
    <w:tbl>
      <w:tblPr>
        <w:tblStyle w:val="TableGrid"/>
        <w:tblW w:w="9285" w:type="dxa"/>
        <w:tblLayout w:type="fixed"/>
        <w:tblLook w:val="06A0" w:firstRow="1" w:lastRow="0" w:firstColumn="1" w:lastColumn="0" w:noHBand="1" w:noVBand="1"/>
      </w:tblPr>
      <w:tblGrid>
        <w:gridCol w:w="1271"/>
        <w:gridCol w:w="1559"/>
        <w:gridCol w:w="1843"/>
        <w:gridCol w:w="1652"/>
        <w:gridCol w:w="1480"/>
        <w:gridCol w:w="1480"/>
      </w:tblGrid>
      <w:tr w:rsidR="008B050B" w:rsidRPr="00662906" w14:paraId="583B69B1" w14:textId="77777777" w:rsidTr="00561F4E">
        <w:trPr>
          <w:trHeight w:val="300"/>
        </w:trPr>
        <w:tc>
          <w:tcPr>
            <w:tcW w:w="1271" w:type="dxa"/>
            <w:shd w:val="clear" w:color="auto" w:fill="B4A269" w:themeFill="text2"/>
            <w:vAlign w:val="center"/>
          </w:tcPr>
          <w:p w14:paraId="5F9FC68F" w14:textId="77777777" w:rsidR="008B050B" w:rsidRPr="00662906" w:rsidRDefault="008B050B" w:rsidP="00561F4E">
            <w:pPr>
              <w:pStyle w:val="Caption"/>
              <w:spacing w:before="240" w:after="240"/>
              <w:jc w:val="center"/>
              <w:rPr>
                <w:rFonts w:cs="Arial"/>
                <w:b/>
                <w:bCs/>
                <w:color w:val="FFFFFF" w:themeColor="background2"/>
              </w:rPr>
            </w:pPr>
            <w:r w:rsidRPr="00662906">
              <w:rPr>
                <w:rFonts w:cs="Arial"/>
                <w:b/>
                <w:bCs/>
                <w:i w:val="0"/>
                <w:iCs w:val="0"/>
                <w:color w:val="FFFFFF" w:themeColor="background2"/>
              </w:rPr>
              <w:t>Cross Cutting</w:t>
            </w:r>
          </w:p>
        </w:tc>
        <w:tc>
          <w:tcPr>
            <w:tcW w:w="1559" w:type="dxa"/>
            <w:shd w:val="clear" w:color="auto" w:fill="B4A269" w:themeFill="text2"/>
            <w:vAlign w:val="center"/>
          </w:tcPr>
          <w:p w14:paraId="0F914BAC" w14:textId="77777777" w:rsidR="008B050B" w:rsidRPr="00662906" w:rsidRDefault="008B050B" w:rsidP="00561F4E">
            <w:pPr>
              <w:pStyle w:val="Caption"/>
              <w:spacing w:before="240" w:after="240"/>
              <w:jc w:val="center"/>
              <w:rPr>
                <w:rFonts w:cs="Arial"/>
                <w:b/>
                <w:bCs/>
                <w:color w:val="FFFFFF" w:themeColor="background2"/>
              </w:rPr>
            </w:pPr>
            <w:r w:rsidRPr="00662906">
              <w:rPr>
                <w:rFonts w:cs="Arial"/>
                <w:b/>
                <w:bCs/>
                <w:i w:val="0"/>
                <w:iCs w:val="0"/>
                <w:color w:val="FFFFFF" w:themeColor="background2"/>
              </w:rPr>
              <w:t>Strategic Intervention</w:t>
            </w:r>
          </w:p>
        </w:tc>
        <w:tc>
          <w:tcPr>
            <w:tcW w:w="1843" w:type="dxa"/>
            <w:shd w:val="clear" w:color="auto" w:fill="B4A269" w:themeFill="text2"/>
            <w:vAlign w:val="center"/>
          </w:tcPr>
          <w:p w14:paraId="5410B24A" w14:textId="77777777" w:rsidR="008B050B" w:rsidRPr="00662906" w:rsidRDefault="008B050B" w:rsidP="00561F4E">
            <w:pPr>
              <w:pStyle w:val="Caption"/>
              <w:spacing w:before="240" w:after="240"/>
              <w:jc w:val="center"/>
              <w:rPr>
                <w:rFonts w:cs="Arial"/>
                <w:b/>
                <w:bCs/>
                <w:color w:val="FFFFFF" w:themeColor="background2"/>
              </w:rPr>
            </w:pPr>
            <w:r w:rsidRPr="00662906">
              <w:rPr>
                <w:rFonts w:cs="Arial"/>
                <w:b/>
                <w:bCs/>
                <w:i w:val="0"/>
                <w:iCs w:val="0"/>
                <w:color w:val="FFFFFF" w:themeColor="background2"/>
              </w:rPr>
              <w:t>Action</w:t>
            </w:r>
          </w:p>
        </w:tc>
        <w:tc>
          <w:tcPr>
            <w:tcW w:w="1652" w:type="dxa"/>
            <w:shd w:val="clear" w:color="auto" w:fill="B4A269" w:themeFill="text2"/>
            <w:vAlign w:val="center"/>
          </w:tcPr>
          <w:p w14:paraId="1F94B28D" w14:textId="77777777" w:rsidR="008B050B" w:rsidRPr="00662906" w:rsidRDefault="008B050B" w:rsidP="00561F4E">
            <w:pPr>
              <w:pStyle w:val="Caption"/>
              <w:spacing w:before="240" w:after="240"/>
              <w:jc w:val="center"/>
              <w:rPr>
                <w:rFonts w:cs="Arial"/>
                <w:b/>
                <w:bCs/>
                <w:color w:val="FFFFFF" w:themeColor="background2"/>
              </w:rPr>
            </w:pPr>
            <w:r w:rsidRPr="00662906">
              <w:rPr>
                <w:rFonts w:cs="Arial"/>
                <w:b/>
                <w:bCs/>
                <w:i w:val="0"/>
                <w:iCs w:val="0"/>
                <w:color w:val="FFFFFF" w:themeColor="background2"/>
              </w:rPr>
              <w:t>Activities</w:t>
            </w:r>
          </w:p>
        </w:tc>
        <w:tc>
          <w:tcPr>
            <w:tcW w:w="1480" w:type="dxa"/>
            <w:shd w:val="clear" w:color="auto" w:fill="B4A269" w:themeFill="text2"/>
            <w:vAlign w:val="center"/>
          </w:tcPr>
          <w:p w14:paraId="269293C1" w14:textId="74F097B5" w:rsidR="008B050B" w:rsidRPr="00662906" w:rsidRDefault="008B050B" w:rsidP="00561F4E">
            <w:pPr>
              <w:pStyle w:val="Caption"/>
              <w:spacing w:before="240" w:after="240"/>
              <w:jc w:val="center"/>
              <w:rPr>
                <w:rFonts w:cs="Arial"/>
                <w:b/>
                <w:bCs/>
                <w:color w:val="FFFFFF" w:themeColor="background2"/>
              </w:rPr>
            </w:pPr>
            <w:r w:rsidRPr="00662906">
              <w:rPr>
                <w:rFonts w:cs="Arial"/>
                <w:b/>
                <w:bCs/>
                <w:i w:val="0"/>
                <w:iCs w:val="0"/>
                <w:color w:val="FFFFFF" w:themeColor="background2"/>
              </w:rPr>
              <w:t xml:space="preserve">Total </w:t>
            </w:r>
            <w:r w:rsidR="00C50B31" w:rsidRPr="00662906">
              <w:rPr>
                <w:rFonts w:cs="Arial"/>
                <w:b/>
                <w:bCs/>
                <w:i w:val="0"/>
                <w:iCs w:val="0"/>
                <w:color w:val="FFFFFF" w:themeColor="background2"/>
              </w:rPr>
              <w:t xml:space="preserve">USD </w:t>
            </w:r>
            <w:r w:rsidRPr="00662906">
              <w:rPr>
                <w:rFonts w:cs="Arial"/>
                <w:b/>
                <w:bCs/>
                <w:i w:val="0"/>
                <w:iCs w:val="0"/>
                <w:color w:val="FFFFFF" w:themeColor="background2"/>
              </w:rPr>
              <w:t>(2025-2025)</w:t>
            </w:r>
          </w:p>
        </w:tc>
        <w:tc>
          <w:tcPr>
            <w:tcW w:w="1480" w:type="dxa"/>
            <w:shd w:val="clear" w:color="auto" w:fill="B4A269" w:themeFill="text2"/>
            <w:vAlign w:val="center"/>
          </w:tcPr>
          <w:p w14:paraId="603B265B" w14:textId="07F6CCCA" w:rsidR="008B050B" w:rsidRPr="00662906" w:rsidRDefault="008B050B" w:rsidP="00561F4E">
            <w:pPr>
              <w:pStyle w:val="Caption"/>
              <w:spacing w:before="240" w:after="240"/>
              <w:jc w:val="center"/>
              <w:rPr>
                <w:rFonts w:cs="Arial"/>
                <w:b/>
                <w:bCs/>
                <w:i w:val="0"/>
                <w:iCs w:val="0"/>
                <w:color w:val="FFFFFF" w:themeColor="background2"/>
              </w:rPr>
            </w:pPr>
            <w:r w:rsidRPr="00662906">
              <w:rPr>
                <w:rFonts w:cs="Arial"/>
                <w:b/>
                <w:bCs/>
                <w:i w:val="0"/>
                <w:iCs w:val="0"/>
                <w:color w:val="FFFFFF" w:themeColor="background2"/>
              </w:rPr>
              <w:t>TOTAL (</w:t>
            </w:r>
            <w:r w:rsidR="00C50B31" w:rsidRPr="00662906">
              <w:rPr>
                <w:rFonts w:cs="Arial"/>
                <w:b/>
                <w:bCs/>
                <w:i w:val="0"/>
                <w:iCs w:val="0"/>
                <w:color w:val="FFFFFF" w:themeColor="background2"/>
              </w:rPr>
              <w:t>USD</w:t>
            </w:r>
            <w:r w:rsidRPr="00662906">
              <w:rPr>
                <w:rFonts w:cs="Arial"/>
                <w:b/>
                <w:bCs/>
                <w:i w:val="0"/>
                <w:iCs w:val="0"/>
                <w:color w:val="FFFFFF" w:themeColor="background2"/>
              </w:rPr>
              <w:t>)</w:t>
            </w:r>
          </w:p>
        </w:tc>
      </w:tr>
      <w:tr w:rsidR="008B050B" w:rsidRPr="00662906" w14:paraId="2E14EBAB" w14:textId="77777777" w:rsidTr="00561F4E">
        <w:trPr>
          <w:trHeight w:val="300"/>
        </w:trPr>
        <w:tc>
          <w:tcPr>
            <w:tcW w:w="1271" w:type="dxa"/>
            <w:vAlign w:val="center"/>
          </w:tcPr>
          <w:p w14:paraId="7A529612" w14:textId="77777777" w:rsidR="008B050B" w:rsidRPr="00662906" w:rsidRDefault="008B050B" w:rsidP="00561F4E">
            <w:pPr>
              <w:jc w:val="center"/>
              <w:rPr>
                <w:rFonts w:eastAsia="Arial" w:cs="Arial"/>
                <w:sz w:val="18"/>
                <w:szCs w:val="18"/>
              </w:rPr>
            </w:pPr>
          </w:p>
        </w:tc>
        <w:tc>
          <w:tcPr>
            <w:tcW w:w="1559" w:type="dxa"/>
            <w:vMerge w:val="restart"/>
            <w:vAlign w:val="center"/>
          </w:tcPr>
          <w:p w14:paraId="4D542A86" w14:textId="77777777" w:rsidR="008B050B" w:rsidRPr="00662906" w:rsidRDefault="008B050B" w:rsidP="00561F4E">
            <w:pPr>
              <w:jc w:val="center"/>
              <w:rPr>
                <w:rFonts w:eastAsia="Arial" w:cs="Arial"/>
                <w:b/>
                <w:bCs/>
                <w:sz w:val="18"/>
                <w:szCs w:val="18"/>
              </w:rPr>
            </w:pPr>
            <w:r w:rsidRPr="00662906">
              <w:rPr>
                <w:rFonts w:eastAsia="Arial" w:cs="Arial"/>
                <w:b/>
                <w:bCs/>
                <w:sz w:val="18"/>
                <w:szCs w:val="18"/>
              </w:rPr>
              <w:t>Gender- equitable distribution of energy benefits and the promotion of inclusive development</w:t>
            </w:r>
          </w:p>
        </w:tc>
        <w:tc>
          <w:tcPr>
            <w:tcW w:w="1843" w:type="dxa"/>
            <w:vAlign w:val="center"/>
          </w:tcPr>
          <w:p w14:paraId="30F0256E" w14:textId="77777777" w:rsidR="008B050B" w:rsidRPr="00662906" w:rsidRDefault="008B050B" w:rsidP="00561F4E">
            <w:pPr>
              <w:jc w:val="center"/>
              <w:rPr>
                <w:rFonts w:eastAsia="Arial" w:cs="Arial"/>
                <w:sz w:val="18"/>
                <w:szCs w:val="18"/>
              </w:rPr>
            </w:pPr>
            <w:r w:rsidRPr="00662906">
              <w:rPr>
                <w:rFonts w:eastAsia="Arial" w:cs="Arial"/>
                <w:sz w:val="18"/>
                <w:szCs w:val="18"/>
              </w:rPr>
              <w:t>Integrating gender perspectives and emphasizing the involvement of women at all stages of energy policies, programs, and projects,</w:t>
            </w:r>
          </w:p>
        </w:tc>
        <w:tc>
          <w:tcPr>
            <w:tcW w:w="1652" w:type="dxa"/>
            <w:vAlign w:val="center"/>
          </w:tcPr>
          <w:p w14:paraId="07D8C322" w14:textId="77777777" w:rsidR="008B050B" w:rsidRPr="00662906" w:rsidRDefault="008B050B" w:rsidP="00561F4E">
            <w:pPr>
              <w:jc w:val="center"/>
              <w:rPr>
                <w:rFonts w:eastAsia="Times New Roman" w:cs="Arial"/>
                <w:sz w:val="18"/>
                <w:szCs w:val="18"/>
              </w:rPr>
            </w:pPr>
            <w:r w:rsidRPr="00662906">
              <w:rPr>
                <w:rFonts w:eastAsia="Times New Roman" w:cs="Arial"/>
                <w:sz w:val="18"/>
                <w:szCs w:val="18"/>
              </w:rPr>
              <w:t>Develop a Guidebook on how best to engage youth and empower them to participate in the energy sector</w:t>
            </w:r>
          </w:p>
        </w:tc>
        <w:tc>
          <w:tcPr>
            <w:tcW w:w="1480" w:type="dxa"/>
            <w:vAlign w:val="center"/>
          </w:tcPr>
          <w:p w14:paraId="21C29E7C" w14:textId="77777777" w:rsidR="008B050B" w:rsidRPr="00662906" w:rsidRDefault="008B050B" w:rsidP="00561F4E">
            <w:pPr>
              <w:jc w:val="center"/>
              <w:rPr>
                <w:rFonts w:eastAsia="Arial" w:cs="Arial"/>
                <w:sz w:val="18"/>
                <w:szCs w:val="18"/>
              </w:rPr>
            </w:pPr>
            <w:r w:rsidRPr="00662906">
              <w:rPr>
                <w:rFonts w:eastAsia="Arial" w:cs="Arial"/>
                <w:sz w:val="18"/>
                <w:szCs w:val="18"/>
              </w:rPr>
              <w:t>70,000</w:t>
            </w:r>
          </w:p>
        </w:tc>
        <w:tc>
          <w:tcPr>
            <w:tcW w:w="1480" w:type="dxa"/>
            <w:vMerge w:val="restart"/>
            <w:vAlign w:val="center"/>
          </w:tcPr>
          <w:p w14:paraId="4246B830" w14:textId="77777777" w:rsidR="008B050B" w:rsidRPr="00662906" w:rsidRDefault="008B050B" w:rsidP="00561F4E">
            <w:pPr>
              <w:jc w:val="center"/>
              <w:rPr>
                <w:rFonts w:eastAsia="Arial" w:cs="Arial"/>
                <w:sz w:val="18"/>
                <w:szCs w:val="18"/>
              </w:rPr>
            </w:pPr>
            <w:r w:rsidRPr="00662906">
              <w:rPr>
                <w:rFonts w:eastAsia="Arial" w:cs="Arial"/>
                <w:sz w:val="18"/>
                <w:szCs w:val="18"/>
              </w:rPr>
              <w:t>220 000</w:t>
            </w:r>
          </w:p>
        </w:tc>
      </w:tr>
      <w:tr w:rsidR="008B050B" w:rsidRPr="00662906" w14:paraId="73C63A22" w14:textId="77777777" w:rsidTr="00561F4E">
        <w:trPr>
          <w:trHeight w:val="300"/>
        </w:trPr>
        <w:tc>
          <w:tcPr>
            <w:tcW w:w="1271" w:type="dxa"/>
            <w:vAlign w:val="center"/>
          </w:tcPr>
          <w:p w14:paraId="73A1DDFA" w14:textId="77777777" w:rsidR="008B050B" w:rsidRPr="00662906" w:rsidRDefault="008B050B" w:rsidP="00561F4E">
            <w:pPr>
              <w:jc w:val="center"/>
              <w:rPr>
                <w:rFonts w:eastAsia="Arial" w:cs="Arial"/>
                <w:sz w:val="18"/>
                <w:szCs w:val="18"/>
              </w:rPr>
            </w:pPr>
          </w:p>
        </w:tc>
        <w:tc>
          <w:tcPr>
            <w:tcW w:w="1559" w:type="dxa"/>
            <w:vMerge/>
            <w:vAlign w:val="center"/>
          </w:tcPr>
          <w:p w14:paraId="23CDBE60" w14:textId="77777777" w:rsidR="008B050B" w:rsidRPr="00662906" w:rsidRDefault="008B050B" w:rsidP="00561F4E">
            <w:pPr>
              <w:jc w:val="center"/>
              <w:rPr>
                <w:rFonts w:cs="Arial"/>
                <w:sz w:val="18"/>
                <w:szCs w:val="18"/>
              </w:rPr>
            </w:pPr>
          </w:p>
        </w:tc>
        <w:tc>
          <w:tcPr>
            <w:tcW w:w="1843" w:type="dxa"/>
            <w:vAlign w:val="center"/>
          </w:tcPr>
          <w:p w14:paraId="270D3AC6" w14:textId="77777777" w:rsidR="008B050B" w:rsidRPr="00662906" w:rsidRDefault="008B050B" w:rsidP="00561F4E">
            <w:pPr>
              <w:jc w:val="center"/>
              <w:rPr>
                <w:rFonts w:cs="Arial"/>
                <w:sz w:val="18"/>
                <w:szCs w:val="18"/>
              </w:rPr>
            </w:pPr>
            <w:r w:rsidRPr="00662906">
              <w:rPr>
                <w:rFonts w:eastAsia="Arial" w:cs="Arial"/>
                <w:sz w:val="18"/>
                <w:szCs w:val="18"/>
              </w:rPr>
              <w:t>Youth Engagement and Empowerment</w:t>
            </w:r>
          </w:p>
        </w:tc>
        <w:tc>
          <w:tcPr>
            <w:tcW w:w="1652" w:type="dxa"/>
            <w:vAlign w:val="center"/>
          </w:tcPr>
          <w:p w14:paraId="419485DC" w14:textId="77777777" w:rsidR="008B050B" w:rsidRPr="00662906" w:rsidRDefault="008B050B" w:rsidP="00561F4E">
            <w:pPr>
              <w:jc w:val="center"/>
              <w:rPr>
                <w:rFonts w:cs="Arial"/>
                <w:sz w:val="18"/>
                <w:szCs w:val="18"/>
              </w:rPr>
            </w:pPr>
            <w:r w:rsidRPr="00662906">
              <w:rPr>
                <w:rFonts w:eastAsia="Times New Roman" w:cs="Arial"/>
                <w:sz w:val="18"/>
                <w:szCs w:val="18"/>
              </w:rPr>
              <w:t>Develop a Guidebook on how best to engage youth and empower them to participate in the energy sector</w:t>
            </w:r>
          </w:p>
        </w:tc>
        <w:tc>
          <w:tcPr>
            <w:tcW w:w="1480" w:type="dxa"/>
            <w:vAlign w:val="center"/>
          </w:tcPr>
          <w:p w14:paraId="79E03125" w14:textId="77777777" w:rsidR="008B050B" w:rsidRPr="00662906" w:rsidRDefault="008B050B" w:rsidP="00561F4E">
            <w:pPr>
              <w:jc w:val="center"/>
              <w:rPr>
                <w:rFonts w:eastAsia="Arial" w:cs="Arial"/>
                <w:sz w:val="18"/>
                <w:szCs w:val="18"/>
              </w:rPr>
            </w:pPr>
            <w:r w:rsidRPr="00662906">
              <w:rPr>
                <w:rFonts w:eastAsia="Arial" w:cs="Arial"/>
                <w:sz w:val="18"/>
                <w:szCs w:val="18"/>
              </w:rPr>
              <w:t>52,000</w:t>
            </w:r>
          </w:p>
        </w:tc>
        <w:tc>
          <w:tcPr>
            <w:tcW w:w="1480" w:type="dxa"/>
            <w:vMerge/>
            <w:vAlign w:val="center"/>
          </w:tcPr>
          <w:p w14:paraId="28CA4BAF" w14:textId="77777777" w:rsidR="008B050B" w:rsidRPr="00662906" w:rsidRDefault="008B050B" w:rsidP="00561F4E">
            <w:pPr>
              <w:jc w:val="center"/>
              <w:rPr>
                <w:rFonts w:eastAsia="Arial" w:cs="Arial"/>
                <w:sz w:val="18"/>
                <w:szCs w:val="18"/>
              </w:rPr>
            </w:pPr>
          </w:p>
        </w:tc>
      </w:tr>
      <w:tr w:rsidR="008B050B" w:rsidRPr="00662906" w14:paraId="4C9950D4" w14:textId="77777777" w:rsidTr="00561F4E">
        <w:trPr>
          <w:trHeight w:val="300"/>
        </w:trPr>
        <w:tc>
          <w:tcPr>
            <w:tcW w:w="1271" w:type="dxa"/>
            <w:vAlign w:val="center"/>
          </w:tcPr>
          <w:p w14:paraId="16B12816" w14:textId="77777777" w:rsidR="008B050B" w:rsidRPr="00662906" w:rsidRDefault="008B050B" w:rsidP="00561F4E">
            <w:pPr>
              <w:jc w:val="center"/>
              <w:rPr>
                <w:rFonts w:eastAsia="Arial" w:cs="Arial"/>
                <w:sz w:val="18"/>
                <w:szCs w:val="18"/>
              </w:rPr>
            </w:pPr>
          </w:p>
        </w:tc>
        <w:tc>
          <w:tcPr>
            <w:tcW w:w="1559" w:type="dxa"/>
            <w:vMerge/>
            <w:vAlign w:val="center"/>
          </w:tcPr>
          <w:p w14:paraId="255B7FAD" w14:textId="77777777" w:rsidR="008B050B" w:rsidRPr="00662906" w:rsidRDefault="008B050B" w:rsidP="00561F4E">
            <w:pPr>
              <w:jc w:val="center"/>
              <w:rPr>
                <w:rFonts w:cs="Arial"/>
                <w:sz w:val="18"/>
                <w:szCs w:val="18"/>
              </w:rPr>
            </w:pPr>
          </w:p>
        </w:tc>
        <w:tc>
          <w:tcPr>
            <w:tcW w:w="1843" w:type="dxa"/>
            <w:vAlign w:val="center"/>
          </w:tcPr>
          <w:p w14:paraId="423DE5B7" w14:textId="77777777" w:rsidR="008B050B" w:rsidRPr="00662906" w:rsidRDefault="008B050B" w:rsidP="00561F4E">
            <w:pPr>
              <w:jc w:val="center"/>
              <w:rPr>
                <w:rFonts w:eastAsia="Arial" w:cs="Arial"/>
                <w:sz w:val="18"/>
                <w:szCs w:val="18"/>
              </w:rPr>
            </w:pPr>
            <w:r w:rsidRPr="00662906">
              <w:rPr>
                <w:rFonts w:eastAsia="Arial" w:cs="Arial"/>
                <w:sz w:val="18"/>
                <w:szCs w:val="18"/>
              </w:rPr>
              <w:t>Inclusivity and Standardization</w:t>
            </w:r>
          </w:p>
        </w:tc>
        <w:tc>
          <w:tcPr>
            <w:tcW w:w="1652" w:type="dxa"/>
            <w:vAlign w:val="center"/>
          </w:tcPr>
          <w:p w14:paraId="5BA27D76" w14:textId="77777777" w:rsidR="008B050B" w:rsidRPr="00662906" w:rsidRDefault="008B050B" w:rsidP="00561F4E">
            <w:pPr>
              <w:jc w:val="center"/>
              <w:rPr>
                <w:rFonts w:eastAsia="Times New Roman" w:cs="Arial"/>
                <w:sz w:val="18"/>
                <w:szCs w:val="18"/>
              </w:rPr>
            </w:pPr>
            <w:r w:rsidRPr="00662906">
              <w:rPr>
                <w:rFonts w:eastAsia="Times New Roman" w:cs="Arial"/>
                <w:sz w:val="18"/>
                <w:szCs w:val="18"/>
              </w:rPr>
              <w:t>Study to analyse and identify which AU standards are missing, outdated or under development, need upgrading and formulate a plan for updating the standardization system</w:t>
            </w:r>
          </w:p>
        </w:tc>
        <w:tc>
          <w:tcPr>
            <w:tcW w:w="1480" w:type="dxa"/>
            <w:vAlign w:val="center"/>
          </w:tcPr>
          <w:p w14:paraId="03B40BDC" w14:textId="77777777" w:rsidR="008B050B" w:rsidRPr="00662906" w:rsidRDefault="008B050B" w:rsidP="00561F4E">
            <w:pPr>
              <w:jc w:val="center"/>
              <w:rPr>
                <w:rFonts w:eastAsia="Arial" w:cs="Arial"/>
                <w:sz w:val="18"/>
                <w:szCs w:val="18"/>
              </w:rPr>
            </w:pPr>
            <w:r w:rsidRPr="00662906">
              <w:rPr>
                <w:rFonts w:eastAsia="Arial" w:cs="Arial"/>
                <w:sz w:val="18"/>
                <w:szCs w:val="18"/>
              </w:rPr>
              <w:t>98,000</w:t>
            </w:r>
          </w:p>
        </w:tc>
        <w:tc>
          <w:tcPr>
            <w:tcW w:w="1480" w:type="dxa"/>
            <w:vMerge/>
            <w:vAlign w:val="center"/>
          </w:tcPr>
          <w:p w14:paraId="2D37B14B" w14:textId="77777777" w:rsidR="008B050B" w:rsidRPr="00662906" w:rsidRDefault="008B050B" w:rsidP="00561F4E">
            <w:pPr>
              <w:jc w:val="center"/>
              <w:rPr>
                <w:rFonts w:eastAsia="Arial" w:cs="Arial"/>
                <w:sz w:val="18"/>
                <w:szCs w:val="18"/>
              </w:rPr>
            </w:pPr>
          </w:p>
        </w:tc>
      </w:tr>
      <w:tr w:rsidR="008B050B" w:rsidRPr="00662906" w14:paraId="2EAB93F9" w14:textId="77777777" w:rsidTr="00561F4E">
        <w:trPr>
          <w:trHeight w:val="300"/>
        </w:trPr>
        <w:tc>
          <w:tcPr>
            <w:tcW w:w="1271" w:type="dxa"/>
            <w:vAlign w:val="center"/>
          </w:tcPr>
          <w:p w14:paraId="30BEB2E7" w14:textId="77777777" w:rsidR="008B050B" w:rsidRPr="00662906" w:rsidRDefault="008B050B" w:rsidP="00561F4E">
            <w:pPr>
              <w:jc w:val="center"/>
              <w:rPr>
                <w:rFonts w:eastAsia="Arial" w:cs="Arial"/>
                <w:sz w:val="18"/>
                <w:szCs w:val="18"/>
              </w:rPr>
            </w:pPr>
            <w:r w:rsidRPr="00662906">
              <w:rPr>
                <w:rFonts w:eastAsia="Arial" w:cs="Arial"/>
                <w:sz w:val="18"/>
                <w:szCs w:val="18"/>
              </w:rPr>
              <w:lastRenderedPageBreak/>
              <w:t>Cross Sectoral Issues</w:t>
            </w:r>
          </w:p>
        </w:tc>
        <w:tc>
          <w:tcPr>
            <w:tcW w:w="1559" w:type="dxa"/>
            <w:vAlign w:val="center"/>
          </w:tcPr>
          <w:p w14:paraId="1EE21240" w14:textId="77777777" w:rsidR="008B050B" w:rsidRPr="00662906" w:rsidRDefault="008B050B" w:rsidP="00561F4E">
            <w:pPr>
              <w:jc w:val="center"/>
              <w:rPr>
                <w:rFonts w:eastAsia="Arial" w:cs="Arial"/>
                <w:b/>
                <w:bCs/>
                <w:sz w:val="18"/>
                <w:szCs w:val="18"/>
              </w:rPr>
            </w:pPr>
            <w:r w:rsidRPr="00662906">
              <w:rPr>
                <w:rFonts w:eastAsia="Arial" w:cs="Arial"/>
                <w:b/>
                <w:bCs/>
                <w:sz w:val="18"/>
                <w:szCs w:val="18"/>
              </w:rPr>
              <w:t>Integrated sub-sectoral planning</w:t>
            </w:r>
          </w:p>
        </w:tc>
        <w:tc>
          <w:tcPr>
            <w:tcW w:w="1843" w:type="dxa"/>
            <w:vAlign w:val="center"/>
          </w:tcPr>
          <w:p w14:paraId="61E2DBEB" w14:textId="77777777" w:rsidR="008B050B" w:rsidRPr="00662906" w:rsidRDefault="008B050B" w:rsidP="00561F4E">
            <w:pPr>
              <w:jc w:val="center"/>
              <w:rPr>
                <w:rFonts w:eastAsia="Arial" w:cs="Arial"/>
                <w:sz w:val="18"/>
                <w:szCs w:val="18"/>
              </w:rPr>
            </w:pPr>
            <w:r w:rsidRPr="00662906">
              <w:rPr>
                <w:rFonts w:eastAsia="Arial" w:cs="Arial"/>
                <w:sz w:val="18"/>
                <w:szCs w:val="18"/>
              </w:rPr>
              <w:t>Assessment of subsector cross-sectoral issues and synergy including other relevant sectors such as water, ICT, Industrialization</w:t>
            </w:r>
          </w:p>
        </w:tc>
        <w:tc>
          <w:tcPr>
            <w:tcW w:w="1652" w:type="dxa"/>
            <w:vAlign w:val="center"/>
          </w:tcPr>
          <w:p w14:paraId="571BA8D3" w14:textId="77777777" w:rsidR="008B050B" w:rsidRPr="00662906" w:rsidRDefault="008B050B" w:rsidP="00561F4E">
            <w:pPr>
              <w:jc w:val="center"/>
              <w:rPr>
                <w:rFonts w:eastAsia="Times New Roman" w:cs="Arial"/>
                <w:sz w:val="18"/>
                <w:szCs w:val="18"/>
              </w:rPr>
            </w:pPr>
            <w:r w:rsidRPr="00662906">
              <w:rPr>
                <w:rFonts w:eastAsia="Times New Roman" w:cs="Arial"/>
                <w:sz w:val="18"/>
                <w:szCs w:val="18"/>
              </w:rPr>
              <w:t>A study that focusses on important subsector nexus and how to strategize cross sectoral planning</w:t>
            </w:r>
          </w:p>
        </w:tc>
        <w:tc>
          <w:tcPr>
            <w:tcW w:w="1480" w:type="dxa"/>
            <w:vAlign w:val="center"/>
          </w:tcPr>
          <w:p w14:paraId="5B289A6A" w14:textId="77777777" w:rsidR="008B050B" w:rsidRPr="00662906" w:rsidRDefault="008B050B" w:rsidP="00561F4E">
            <w:pPr>
              <w:jc w:val="center"/>
              <w:rPr>
                <w:rFonts w:eastAsia="Arial" w:cs="Arial"/>
                <w:sz w:val="18"/>
                <w:szCs w:val="18"/>
              </w:rPr>
            </w:pPr>
            <w:r w:rsidRPr="00662906">
              <w:rPr>
                <w:rFonts w:eastAsia="Arial" w:cs="Arial"/>
                <w:sz w:val="18"/>
                <w:szCs w:val="18"/>
              </w:rPr>
              <w:t>126,000</w:t>
            </w:r>
          </w:p>
        </w:tc>
        <w:tc>
          <w:tcPr>
            <w:tcW w:w="1480" w:type="dxa"/>
            <w:vAlign w:val="center"/>
          </w:tcPr>
          <w:p w14:paraId="3FB8C6B3" w14:textId="77777777" w:rsidR="008B050B" w:rsidRPr="00662906" w:rsidRDefault="008B050B" w:rsidP="00561F4E">
            <w:pPr>
              <w:jc w:val="center"/>
              <w:rPr>
                <w:rFonts w:eastAsia="Arial" w:cs="Arial"/>
                <w:sz w:val="18"/>
                <w:szCs w:val="18"/>
              </w:rPr>
            </w:pPr>
            <w:r w:rsidRPr="00662906">
              <w:rPr>
                <w:rFonts w:eastAsia="Arial" w:cs="Arial"/>
                <w:sz w:val="18"/>
                <w:szCs w:val="18"/>
              </w:rPr>
              <w:t>126 000</w:t>
            </w:r>
          </w:p>
        </w:tc>
      </w:tr>
    </w:tbl>
    <w:p w14:paraId="3CFF874E" w14:textId="77777777" w:rsidR="004833A3" w:rsidRPr="00662906" w:rsidRDefault="004833A3" w:rsidP="004833A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07589439" w14:textId="44D8EFC6" w:rsidR="008B050B" w:rsidRPr="00662906" w:rsidRDefault="008B050B" w:rsidP="008B050B">
      <w:r w:rsidRPr="00662906">
        <w:t xml:space="preserve">The grand short-term budget to implement continental Actions from 2025 to 2030 is about </w:t>
      </w:r>
      <w:r w:rsidR="00EA08EE" w:rsidRPr="00662906">
        <w:t xml:space="preserve">USD </w:t>
      </w:r>
      <w:r w:rsidRPr="00662906">
        <w:t>12.</w:t>
      </w:r>
      <w:r w:rsidR="00E50F5C" w:rsidRPr="00662906">
        <w:t xml:space="preserve">35 </w:t>
      </w:r>
      <w:r w:rsidRPr="00662906">
        <w:t xml:space="preserve">million and is summarized as indicated in Table </w:t>
      </w:r>
      <w:r w:rsidR="00E50F5C" w:rsidRPr="00662906">
        <w:t xml:space="preserve">48 </w:t>
      </w:r>
      <w:r w:rsidRPr="00662906">
        <w:t>below.</w:t>
      </w:r>
    </w:p>
    <w:p w14:paraId="6C3AFD3C" w14:textId="4FAFD57D" w:rsidR="008B050B" w:rsidRPr="00662906" w:rsidRDefault="008B050B" w:rsidP="008B050B">
      <w:pPr>
        <w:pStyle w:val="Caption"/>
      </w:pPr>
      <w:bookmarkStart w:id="808" w:name="_Toc197433936"/>
      <w:r w:rsidRPr="00662906">
        <w:t xml:space="preserve">Table </w:t>
      </w:r>
      <w:fldSimple w:instr=" SEQ Table \* ARABIC ">
        <w:r w:rsidR="00610F61">
          <w:rPr>
            <w:noProof/>
          </w:rPr>
          <w:t>48</w:t>
        </w:r>
      </w:fldSimple>
      <w:r w:rsidRPr="00662906">
        <w:t>: Summarized budget for all short term ETSAP actions by category</w:t>
      </w:r>
      <w:bookmarkEnd w:id="808"/>
    </w:p>
    <w:tbl>
      <w:tblPr>
        <w:tblStyle w:val="TableGrid"/>
        <w:tblW w:w="0" w:type="auto"/>
        <w:tblLayout w:type="fixed"/>
        <w:tblLook w:val="06A0" w:firstRow="1" w:lastRow="0" w:firstColumn="1" w:lastColumn="0" w:noHBand="1" w:noVBand="1"/>
      </w:tblPr>
      <w:tblGrid>
        <w:gridCol w:w="4508"/>
        <w:gridCol w:w="4508"/>
      </w:tblGrid>
      <w:tr w:rsidR="008B050B" w:rsidRPr="00662906" w14:paraId="34195123" w14:textId="77777777" w:rsidTr="00982692">
        <w:trPr>
          <w:trHeight w:val="300"/>
        </w:trPr>
        <w:tc>
          <w:tcPr>
            <w:tcW w:w="4508" w:type="dxa"/>
            <w:shd w:val="clear" w:color="auto" w:fill="B4A269" w:themeFill="text2"/>
            <w:vAlign w:val="center"/>
          </w:tcPr>
          <w:p w14:paraId="2E11DF48" w14:textId="77777777" w:rsidR="008B050B" w:rsidRPr="00662906" w:rsidRDefault="008B050B" w:rsidP="00982692">
            <w:pPr>
              <w:jc w:val="center"/>
              <w:rPr>
                <w:b/>
                <w:bCs/>
                <w:color w:val="FFFFFF" w:themeColor="background2"/>
                <w:sz w:val="18"/>
                <w:szCs w:val="18"/>
              </w:rPr>
            </w:pPr>
            <w:r w:rsidRPr="00662906">
              <w:rPr>
                <w:b/>
                <w:bCs/>
                <w:color w:val="FFFFFF" w:themeColor="background2"/>
                <w:sz w:val="18"/>
                <w:szCs w:val="18"/>
              </w:rPr>
              <w:t>Budget Item</w:t>
            </w:r>
          </w:p>
        </w:tc>
        <w:tc>
          <w:tcPr>
            <w:tcW w:w="4508" w:type="dxa"/>
            <w:shd w:val="clear" w:color="auto" w:fill="B4A269" w:themeFill="text2"/>
            <w:vAlign w:val="center"/>
          </w:tcPr>
          <w:p w14:paraId="7EAFA9FD" w14:textId="51734716" w:rsidR="008B050B" w:rsidRPr="00662906" w:rsidRDefault="008B050B" w:rsidP="00982692">
            <w:pPr>
              <w:jc w:val="center"/>
              <w:rPr>
                <w:b/>
                <w:bCs/>
                <w:color w:val="FFFFFF" w:themeColor="background2"/>
                <w:sz w:val="18"/>
                <w:szCs w:val="18"/>
              </w:rPr>
            </w:pPr>
            <w:r w:rsidRPr="00662906">
              <w:rPr>
                <w:b/>
                <w:bCs/>
                <w:color w:val="FFFFFF" w:themeColor="background2"/>
                <w:sz w:val="18"/>
                <w:szCs w:val="18"/>
              </w:rPr>
              <w:t xml:space="preserve">Total Amount (2025-2030) </w:t>
            </w:r>
            <w:r w:rsidR="00EA08EE" w:rsidRPr="00662906">
              <w:rPr>
                <w:b/>
                <w:bCs/>
                <w:color w:val="FFFFFF" w:themeColor="background2"/>
                <w:sz w:val="18"/>
                <w:szCs w:val="18"/>
              </w:rPr>
              <w:t>USD</w:t>
            </w:r>
          </w:p>
        </w:tc>
      </w:tr>
      <w:tr w:rsidR="008B050B" w:rsidRPr="00662906" w14:paraId="66FAB86C" w14:textId="77777777" w:rsidTr="00982692">
        <w:trPr>
          <w:trHeight w:val="300"/>
        </w:trPr>
        <w:tc>
          <w:tcPr>
            <w:tcW w:w="4508" w:type="dxa"/>
          </w:tcPr>
          <w:p w14:paraId="4A4A79DD" w14:textId="77777777" w:rsidR="008B050B" w:rsidRPr="00662906" w:rsidRDefault="008B050B" w:rsidP="00982692">
            <w:pPr>
              <w:rPr>
                <w:sz w:val="18"/>
                <w:szCs w:val="18"/>
              </w:rPr>
            </w:pPr>
            <w:r w:rsidRPr="00662906">
              <w:rPr>
                <w:sz w:val="18"/>
                <w:szCs w:val="18"/>
              </w:rPr>
              <w:t>Subsectors</w:t>
            </w:r>
            <w:r w:rsidRPr="00662906">
              <w:rPr>
                <w:rStyle w:val="FootnoteReference"/>
                <w:sz w:val="18"/>
                <w:szCs w:val="18"/>
              </w:rPr>
              <w:footnoteReference w:id="44"/>
            </w:r>
          </w:p>
        </w:tc>
        <w:tc>
          <w:tcPr>
            <w:tcW w:w="4508" w:type="dxa"/>
          </w:tcPr>
          <w:p w14:paraId="2631FE6F" w14:textId="4E7AF939" w:rsidR="008B050B" w:rsidRPr="00662906" w:rsidRDefault="008B050B" w:rsidP="00982692">
            <w:pPr>
              <w:jc w:val="right"/>
              <w:rPr>
                <w:sz w:val="18"/>
                <w:szCs w:val="18"/>
              </w:rPr>
            </w:pPr>
            <w:r w:rsidRPr="00662906">
              <w:rPr>
                <w:sz w:val="18"/>
                <w:szCs w:val="18"/>
              </w:rPr>
              <w:t>11</w:t>
            </w:r>
            <w:r w:rsidR="00E50F5C" w:rsidRPr="00662906">
              <w:rPr>
                <w:sz w:val="18"/>
                <w:szCs w:val="18"/>
              </w:rPr>
              <w:t>,102,000</w:t>
            </w:r>
          </w:p>
        </w:tc>
      </w:tr>
      <w:tr w:rsidR="008B050B" w:rsidRPr="00662906" w14:paraId="14A11C10" w14:textId="77777777" w:rsidTr="00982692">
        <w:trPr>
          <w:trHeight w:val="300"/>
        </w:trPr>
        <w:tc>
          <w:tcPr>
            <w:tcW w:w="4508" w:type="dxa"/>
          </w:tcPr>
          <w:p w14:paraId="3B81E7BE" w14:textId="77777777" w:rsidR="008B050B" w:rsidRPr="00662906" w:rsidRDefault="008B050B" w:rsidP="00982692">
            <w:pPr>
              <w:rPr>
                <w:sz w:val="18"/>
                <w:szCs w:val="18"/>
              </w:rPr>
            </w:pPr>
            <w:r w:rsidRPr="00662906">
              <w:rPr>
                <w:sz w:val="18"/>
                <w:szCs w:val="18"/>
              </w:rPr>
              <w:t>Horizontal Planning</w:t>
            </w:r>
          </w:p>
        </w:tc>
        <w:tc>
          <w:tcPr>
            <w:tcW w:w="4508" w:type="dxa"/>
          </w:tcPr>
          <w:p w14:paraId="01A43C11" w14:textId="5EB7DE91" w:rsidR="008B050B" w:rsidRPr="00662906" w:rsidRDefault="008B050B" w:rsidP="00982692">
            <w:pPr>
              <w:jc w:val="right"/>
              <w:rPr>
                <w:sz w:val="18"/>
                <w:szCs w:val="18"/>
              </w:rPr>
            </w:pPr>
            <w:r w:rsidRPr="00662906">
              <w:rPr>
                <w:sz w:val="18"/>
                <w:szCs w:val="18"/>
              </w:rPr>
              <w:t>900</w:t>
            </w:r>
            <w:r w:rsidR="00E50F5C" w:rsidRPr="00662906">
              <w:rPr>
                <w:sz w:val="18"/>
                <w:szCs w:val="18"/>
              </w:rPr>
              <w:t>,</w:t>
            </w:r>
            <w:r w:rsidRPr="00662906">
              <w:rPr>
                <w:sz w:val="18"/>
                <w:szCs w:val="18"/>
              </w:rPr>
              <w:t>000</w:t>
            </w:r>
          </w:p>
        </w:tc>
      </w:tr>
      <w:tr w:rsidR="008B050B" w:rsidRPr="00662906" w14:paraId="5113C66A" w14:textId="77777777" w:rsidTr="00982692">
        <w:trPr>
          <w:trHeight w:val="300"/>
        </w:trPr>
        <w:tc>
          <w:tcPr>
            <w:tcW w:w="4508" w:type="dxa"/>
          </w:tcPr>
          <w:p w14:paraId="03BE5B06" w14:textId="77777777" w:rsidR="008B050B" w:rsidRPr="00662906" w:rsidRDefault="008B050B" w:rsidP="00982692">
            <w:pPr>
              <w:rPr>
                <w:sz w:val="18"/>
                <w:szCs w:val="18"/>
              </w:rPr>
            </w:pPr>
            <w:r w:rsidRPr="00662906">
              <w:rPr>
                <w:sz w:val="18"/>
                <w:szCs w:val="18"/>
              </w:rPr>
              <w:t>Cross cutting</w:t>
            </w:r>
          </w:p>
        </w:tc>
        <w:tc>
          <w:tcPr>
            <w:tcW w:w="4508" w:type="dxa"/>
          </w:tcPr>
          <w:p w14:paraId="38B69F8D" w14:textId="4EE238DE" w:rsidR="008B050B" w:rsidRPr="00662906" w:rsidRDefault="008B050B" w:rsidP="00982692">
            <w:pPr>
              <w:jc w:val="right"/>
              <w:rPr>
                <w:sz w:val="18"/>
                <w:szCs w:val="18"/>
              </w:rPr>
            </w:pPr>
            <w:r w:rsidRPr="00662906">
              <w:rPr>
                <w:sz w:val="18"/>
                <w:szCs w:val="18"/>
              </w:rPr>
              <w:t>220</w:t>
            </w:r>
            <w:r w:rsidR="00E50F5C" w:rsidRPr="00662906">
              <w:rPr>
                <w:sz w:val="18"/>
                <w:szCs w:val="18"/>
              </w:rPr>
              <w:t>,</w:t>
            </w:r>
            <w:r w:rsidRPr="00662906">
              <w:rPr>
                <w:sz w:val="18"/>
                <w:szCs w:val="18"/>
              </w:rPr>
              <w:t>000</w:t>
            </w:r>
          </w:p>
        </w:tc>
      </w:tr>
      <w:tr w:rsidR="008B050B" w:rsidRPr="00662906" w14:paraId="261C958B" w14:textId="77777777" w:rsidTr="00982692">
        <w:trPr>
          <w:trHeight w:val="300"/>
        </w:trPr>
        <w:tc>
          <w:tcPr>
            <w:tcW w:w="4508" w:type="dxa"/>
          </w:tcPr>
          <w:p w14:paraId="7EAFBF19" w14:textId="77777777" w:rsidR="008B050B" w:rsidRPr="00662906" w:rsidRDefault="008B050B" w:rsidP="00982692">
            <w:pPr>
              <w:rPr>
                <w:sz w:val="18"/>
                <w:szCs w:val="18"/>
              </w:rPr>
            </w:pPr>
            <w:r w:rsidRPr="00662906">
              <w:rPr>
                <w:sz w:val="18"/>
                <w:szCs w:val="18"/>
              </w:rPr>
              <w:t>Cross sectoral</w:t>
            </w:r>
          </w:p>
        </w:tc>
        <w:tc>
          <w:tcPr>
            <w:tcW w:w="4508" w:type="dxa"/>
          </w:tcPr>
          <w:p w14:paraId="3743262E" w14:textId="57AC6E78" w:rsidR="008B050B" w:rsidRPr="00662906" w:rsidRDefault="008B050B" w:rsidP="00982692">
            <w:pPr>
              <w:jc w:val="right"/>
              <w:rPr>
                <w:sz w:val="18"/>
                <w:szCs w:val="18"/>
              </w:rPr>
            </w:pPr>
            <w:r w:rsidRPr="00662906">
              <w:rPr>
                <w:sz w:val="18"/>
                <w:szCs w:val="18"/>
              </w:rPr>
              <w:t>126</w:t>
            </w:r>
            <w:r w:rsidR="00E50F5C" w:rsidRPr="00662906">
              <w:rPr>
                <w:sz w:val="18"/>
                <w:szCs w:val="18"/>
              </w:rPr>
              <w:t>,</w:t>
            </w:r>
            <w:r w:rsidRPr="00662906">
              <w:rPr>
                <w:sz w:val="18"/>
                <w:szCs w:val="18"/>
              </w:rPr>
              <w:t>000</w:t>
            </w:r>
          </w:p>
        </w:tc>
      </w:tr>
      <w:tr w:rsidR="008B050B" w:rsidRPr="00662906" w14:paraId="6286BAAF" w14:textId="77777777" w:rsidTr="00982692">
        <w:trPr>
          <w:trHeight w:val="300"/>
        </w:trPr>
        <w:tc>
          <w:tcPr>
            <w:tcW w:w="4508" w:type="dxa"/>
          </w:tcPr>
          <w:p w14:paraId="31A1BF60" w14:textId="77777777" w:rsidR="008B050B" w:rsidRPr="00662906" w:rsidRDefault="008B050B" w:rsidP="00982692">
            <w:pPr>
              <w:rPr>
                <w:b/>
                <w:bCs/>
                <w:sz w:val="18"/>
                <w:szCs w:val="18"/>
              </w:rPr>
            </w:pPr>
            <w:r w:rsidRPr="00662906">
              <w:rPr>
                <w:b/>
                <w:bCs/>
                <w:sz w:val="18"/>
                <w:szCs w:val="18"/>
              </w:rPr>
              <w:t>Grand Total</w:t>
            </w:r>
          </w:p>
        </w:tc>
        <w:tc>
          <w:tcPr>
            <w:tcW w:w="4508" w:type="dxa"/>
          </w:tcPr>
          <w:p w14:paraId="2537A376" w14:textId="0D16D8EC" w:rsidR="008B050B" w:rsidRPr="00662906" w:rsidRDefault="008B050B" w:rsidP="00982692">
            <w:pPr>
              <w:jc w:val="right"/>
              <w:rPr>
                <w:b/>
                <w:bCs/>
                <w:sz w:val="18"/>
                <w:szCs w:val="18"/>
              </w:rPr>
            </w:pPr>
            <w:r w:rsidRPr="00662906">
              <w:rPr>
                <w:b/>
                <w:bCs/>
                <w:sz w:val="18"/>
                <w:szCs w:val="18"/>
              </w:rPr>
              <w:t>12</w:t>
            </w:r>
            <w:r w:rsidR="00E50F5C" w:rsidRPr="00662906">
              <w:rPr>
                <w:b/>
                <w:bCs/>
                <w:sz w:val="18"/>
                <w:szCs w:val="18"/>
              </w:rPr>
              <w:t>,348,000</w:t>
            </w:r>
          </w:p>
        </w:tc>
      </w:tr>
    </w:tbl>
    <w:p w14:paraId="00DEFE09" w14:textId="77777777" w:rsidR="004833A3" w:rsidRPr="00662906" w:rsidRDefault="004833A3" w:rsidP="004833A3">
      <w:pPr>
        <w:rPr>
          <w:rFonts w:eastAsia="Arial" w:cs="Arial"/>
          <w:i/>
          <w:iCs/>
          <w:color w:val="B4A169"/>
          <w:sz w:val="16"/>
          <w:szCs w:val="16"/>
        </w:rPr>
      </w:pPr>
      <w:bookmarkStart w:id="809" w:name="_Toc189755004"/>
      <w:bookmarkStart w:id="810" w:name="_Toc189755005"/>
      <w:bookmarkStart w:id="811" w:name="_Toc189755006"/>
      <w:bookmarkStart w:id="812" w:name="_Toc189755007"/>
      <w:bookmarkStart w:id="813" w:name="_Toc189755008"/>
      <w:bookmarkStart w:id="814" w:name="_Toc189755009"/>
      <w:bookmarkStart w:id="815" w:name="_Toc189755010"/>
      <w:bookmarkStart w:id="816" w:name="_Toc189755011"/>
      <w:bookmarkStart w:id="817" w:name="_Toc189755012"/>
      <w:bookmarkStart w:id="818" w:name="_Toc189755013"/>
      <w:bookmarkStart w:id="819" w:name="_Toc189755014"/>
      <w:bookmarkStart w:id="820" w:name="_Toc189755015"/>
      <w:bookmarkStart w:id="821" w:name="_Toc189755016"/>
      <w:bookmarkStart w:id="822" w:name="_Toc189755017"/>
      <w:bookmarkStart w:id="823" w:name="_Toc189755018"/>
      <w:bookmarkStart w:id="824" w:name="_Toc189755019"/>
      <w:bookmarkStart w:id="825" w:name="_Toc189755020"/>
      <w:bookmarkStart w:id="826" w:name="_Toc189755021"/>
      <w:bookmarkStart w:id="827" w:name="_Toc189755022"/>
      <w:bookmarkStart w:id="828" w:name="_Toc189755023"/>
      <w:bookmarkStart w:id="829" w:name="_Toc189755024"/>
      <w:bookmarkStart w:id="830" w:name="_Toc189755025"/>
      <w:bookmarkStart w:id="831" w:name="_Toc178936804"/>
      <w:bookmarkStart w:id="832" w:name="_Toc178937283"/>
      <w:bookmarkStart w:id="833" w:name="_Toc178937397"/>
      <w:bookmarkStart w:id="834" w:name="_Toc178937507"/>
      <w:bookmarkStart w:id="835" w:name="_Toc178937622"/>
      <w:bookmarkStart w:id="836" w:name="_Toc178937731"/>
      <w:bookmarkStart w:id="837" w:name="_Toc178937841"/>
      <w:bookmarkStart w:id="838" w:name="_Toc178937949"/>
      <w:bookmarkStart w:id="839" w:name="_Toc178938057"/>
      <w:bookmarkStart w:id="840" w:name="_Toc189755026"/>
      <w:bookmarkStart w:id="841" w:name="_Toc189755027"/>
      <w:bookmarkStart w:id="842" w:name="_Toc189755028"/>
      <w:bookmarkStart w:id="843" w:name="_Toc189755029"/>
      <w:bookmarkStart w:id="844" w:name="_Toc189755030"/>
      <w:bookmarkStart w:id="845" w:name="_Toc189755031"/>
      <w:bookmarkStart w:id="846" w:name="_Toc189755135"/>
      <w:bookmarkStart w:id="847" w:name="_Toc189755136"/>
      <w:bookmarkStart w:id="848" w:name="_Toc189755188"/>
      <w:bookmarkStart w:id="849" w:name="_Toc189755189"/>
      <w:bookmarkStart w:id="850" w:name="_Toc189755197"/>
      <w:bookmarkStart w:id="851" w:name="_Toc189755204"/>
      <w:bookmarkStart w:id="852" w:name="_Toc189755209"/>
      <w:bookmarkStart w:id="853" w:name="_Toc189755221"/>
      <w:bookmarkStart w:id="854" w:name="_Toc189755222"/>
      <w:bookmarkStart w:id="855" w:name="_Toc171955566"/>
      <w:bookmarkStart w:id="856" w:name="_Toc176190971"/>
      <w:bookmarkStart w:id="857" w:name="_Toc176191137"/>
      <w:bookmarkStart w:id="858" w:name="_Toc176341854"/>
      <w:bookmarkStart w:id="859" w:name="_Toc176430248"/>
      <w:bookmarkStart w:id="860" w:name="_Toc176430305"/>
      <w:bookmarkStart w:id="861" w:name="_Toc176441437"/>
      <w:bookmarkStart w:id="862" w:name="_Toc176442092"/>
      <w:bookmarkStart w:id="863" w:name="_Toc178937509"/>
      <w:bookmarkEnd w:id="794"/>
      <w:bookmarkEnd w:id="795"/>
      <w:bookmarkEnd w:id="796"/>
      <w:bookmarkEnd w:id="797"/>
      <w:bookmarkEnd w:id="798"/>
      <w:bookmarkEnd w:id="799"/>
      <w:bookmarkEnd w:id="800"/>
      <w:bookmarkEnd w:id="801"/>
      <w:bookmarkEnd w:id="802"/>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1C0D819E" w14:textId="4634ED0D" w:rsidR="007734A4" w:rsidRPr="00662906" w:rsidRDefault="061D3E52" w:rsidP="0085620B">
      <w:pPr>
        <w:pStyle w:val="Heading2"/>
      </w:pPr>
      <w:bookmarkStart w:id="864" w:name="_Toc197433873"/>
      <w:r w:rsidRPr="00662906">
        <w:t>Monitoring and Evaluation Framework</w:t>
      </w:r>
      <w:bookmarkEnd w:id="855"/>
      <w:bookmarkEnd w:id="856"/>
      <w:bookmarkEnd w:id="857"/>
      <w:bookmarkEnd w:id="858"/>
      <w:bookmarkEnd w:id="859"/>
      <w:bookmarkEnd w:id="860"/>
      <w:bookmarkEnd w:id="861"/>
      <w:bookmarkEnd w:id="862"/>
      <w:bookmarkEnd w:id="863"/>
      <w:bookmarkEnd w:id="864"/>
    </w:p>
    <w:p w14:paraId="79771F97" w14:textId="73F2FC0F" w:rsidR="56F63E40" w:rsidRPr="00662906" w:rsidRDefault="00218B62" w:rsidP="00813F48">
      <w:pPr>
        <w:pStyle w:val="Heading3"/>
      </w:pPr>
      <w:bookmarkStart w:id="865" w:name="_Toc178937510"/>
      <w:bookmarkStart w:id="866" w:name="_Toc197433874"/>
      <w:r w:rsidRPr="00662906">
        <w:t>Formulation of the M&amp;E Framework</w:t>
      </w:r>
      <w:bookmarkEnd w:id="865"/>
      <w:bookmarkEnd w:id="866"/>
    </w:p>
    <w:p w14:paraId="7584D65E" w14:textId="591FC5D6" w:rsidR="0ECC88CA" w:rsidRPr="00662906" w:rsidRDefault="0ECC88CA" w:rsidP="00E97558">
      <w:pPr>
        <w:rPr>
          <w:rFonts w:eastAsia="Arial" w:cs="Arial"/>
        </w:rPr>
      </w:pPr>
      <w:r w:rsidRPr="00662906">
        <w:rPr>
          <w:rFonts w:eastAsia="Arial" w:cs="Arial"/>
        </w:rPr>
        <w:t>Developing a M&amp;E framework for the African Union’s ETSAP is key in ensuring the strategy's efficacy, transparency, and adaptability over time. The M&amp;E framework's primary objective is to systematically track progress towards achieving the strategic goals, ensure accountability in the use of resources, facilitate decision-making, and enhance learning and adaptation of the strategy based on empirical data and stakeholder feedback.</w:t>
      </w:r>
    </w:p>
    <w:p w14:paraId="4C5C232F" w14:textId="262C2551" w:rsidR="001420AC" w:rsidRPr="00662906" w:rsidRDefault="001420AC" w:rsidP="00E97558">
      <w:pPr>
        <w:rPr>
          <w:rFonts w:eastAsia="Arial" w:cs="Arial"/>
        </w:rPr>
      </w:pPr>
      <w:r w:rsidRPr="00662906">
        <w:rPr>
          <w:rFonts w:eastAsia="Arial" w:cs="Arial"/>
        </w:rPr>
        <w:t>The overarching goal of the M&amp;E framework is to provide a structured approach to assessing both the implementation and impact of the ETS. By setting clear, multi-tiered metrics and indicators—ranging from high-level progress markers to action-level KPIs as presented in the Action Plan</w:t>
      </w:r>
      <w:r w:rsidR="00421428" w:rsidRPr="00662906">
        <w:rPr>
          <w:rFonts w:eastAsia="Arial" w:cs="Arial"/>
        </w:rPr>
        <w:t>,</w:t>
      </w:r>
      <w:r w:rsidRPr="00662906">
        <w:rPr>
          <w:rFonts w:eastAsia="Arial" w:cs="Arial"/>
        </w:rPr>
        <w:t xml:space="preserve"> the framework measures efficiency, effectiveness, and transformative potential across all energy sectors (electricity, transport, buildings, industry, oil and gas, agriculture and clean cooking). This tiered approach ensures that stakeholders can pinpoint precisely where and how the strategy is succeeding, where it needs adjustments, and how to scale up successful initiatives.</w:t>
      </w:r>
    </w:p>
    <w:p w14:paraId="3FE1BBD6" w14:textId="58386276" w:rsidR="006C34FD" w:rsidRPr="00662906" w:rsidRDefault="006C34FD" w:rsidP="00E97558">
      <w:pPr>
        <w:rPr>
          <w:rFonts w:eastAsia="Arial" w:cs="Arial"/>
          <w:b/>
          <w:bCs/>
        </w:rPr>
      </w:pPr>
      <w:r w:rsidRPr="00662906">
        <w:rPr>
          <w:rFonts w:eastAsia="Arial" w:cs="Arial"/>
          <w:b/>
          <w:bCs/>
        </w:rPr>
        <w:t>Linking High-Level Indicators with Action-Level KPIs</w:t>
      </w:r>
    </w:p>
    <w:p w14:paraId="26551432" w14:textId="77777777" w:rsidR="00D07EF4" w:rsidRPr="00662906" w:rsidRDefault="00D07EF4" w:rsidP="00D07EF4">
      <w:pPr>
        <w:rPr>
          <w:rFonts w:eastAsia="Arial" w:cs="Arial"/>
        </w:rPr>
      </w:pPr>
      <w:r w:rsidRPr="00662906">
        <w:rPr>
          <w:rFonts w:eastAsia="Arial" w:cs="Arial"/>
        </w:rPr>
        <w:t>In addition to the high-level indicators that gauge overall progress in each subsector, the Action Plan tables include specific KPIs for each action. These action-level KPIs capture immediate outputs and short-to-medium-term outcomes, complementing the overarching indicators and providing granular insights into daily implementation. By linking the higher-level metrics (e.g., additional RE capacity in MW) with the more detailed KPIs (e.g., number of training workshops, presence of financing mechanisms), the framework creates a robust feedback loop that:</w:t>
      </w:r>
    </w:p>
    <w:p w14:paraId="28F48274" w14:textId="77777777" w:rsidR="00D07EF4" w:rsidRPr="00662906" w:rsidRDefault="00D07EF4" w:rsidP="005C5546">
      <w:pPr>
        <w:numPr>
          <w:ilvl w:val="0"/>
          <w:numId w:val="198"/>
        </w:numPr>
        <w:rPr>
          <w:rFonts w:eastAsia="Arial" w:cs="Arial"/>
        </w:rPr>
      </w:pPr>
      <w:r w:rsidRPr="00662906">
        <w:rPr>
          <w:rFonts w:eastAsia="Arial" w:cs="Arial"/>
        </w:rPr>
        <w:t>Clarifies how localized interventions drive strategic objectives.</w:t>
      </w:r>
    </w:p>
    <w:p w14:paraId="473D7023" w14:textId="77777777" w:rsidR="00D07EF4" w:rsidRPr="00662906" w:rsidRDefault="00D07EF4" w:rsidP="005C5546">
      <w:pPr>
        <w:numPr>
          <w:ilvl w:val="0"/>
          <w:numId w:val="198"/>
        </w:numPr>
        <w:rPr>
          <w:rFonts w:eastAsia="Arial" w:cs="Arial"/>
        </w:rPr>
      </w:pPr>
      <w:r w:rsidRPr="00662906">
        <w:rPr>
          <w:rFonts w:eastAsia="Arial" w:cs="Arial"/>
        </w:rPr>
        <w:lastRenderedPageBreak/>
        <w:t>Enables timely interventions when an activity is off track.</w:t>
      </w:r>
    </w:p>
    <w:p w14:paraId="1B03B9F2" w14:textId="77777777" w:rsidR="00D07EF4" w:rsidRPr="00662906" w:rsidRDefault="00D07EF4" w:rsidP="005C5546">
      <w:pPr>
        <w:numPr>
          <w:ilvl w:val="0"/>
          <w:numId w:val="198"/>
        </w:numPr>
        <w:rPr>
          <w:rFonts w:eastAsia="Arial" w:cs="Arial"/>
        </w:rPr>
      </w:pPr>
      <w:r w:rsidRPr="00662906">
        <w:rPr>
          <w:rFonts w:eastAsia="Arial" w:cs="Arial"/>
        </w:rPr>
        <w:t>Fosters continuous learning, as granular KPI data can reveal best practices and early successes that inform subsequent policy or scaling decisions.</w:t>
      </w:r>
    </w:p>
    <w:p w14:paraId="79013A79" w14:textId="5ECACE54" w:rsidR="00D07EF4" w:rsidRPr="00662906" w:rsidRDefault="00D07EF4" w:rsidP="00D07EF4">
      <w:pPr>
        <w:rPr>
          <w:rFonts w:eastAsia="Arial" w:cs="Arial"/>
        </w:rPr>
      </w:pPr>
      <w:r w:rsidRPr="00662906">
        <w:rPr>
          <w:rFonts w:eastAsia="Arial" w:cs="Arial"/>
        </w:rPr>
        <w:t>Ultimately, the high-level indicators remain essential to monitor the broader impacts of the strategy such as changes in energy mix, emissions reductions, or increased electrification rates, while the action-level KPIs deliver detailed operational feedback, ensuring no activity is overlooked.</w:t>
      </w:r>
    </w:p>
    <w:p w14:paraId="07C29ACF" w14:textId="3BD2A38C" w:rsidR="00D07EF4" w:rsidRPr="00662906" w:rsidRDefault="00D07EF4" w:rsidP="00D07EF4">
      <w:pPr>
        <w:rPr>
          <w:rFonts w:eastAsia="Arial" w:cs="Arial"/>
        </w:rPr>
      </w:pPr>
      <w:r w:rsidRPr="00662906">
        <w:rPr>
          <w:rFonts w:eastAsia="Arial" w:cs="Arial"/>
        </w:rPr>
        <w:t xml:space="preserve">Rather than tracking only high-level indicators, the M&amp;E framework incorporates </w:t>
      </w:r>
      <w:r w:rsidRPr="00662906">
        <w:rPr>
          <w:rFonts w:eastAsia="Arial" w:cs="Arial"/>
          <w:i/>
          <w:iCs/>
        </w:rPr>
        <w:t>both</w:t>
      </w:r>
      <w:r w:rsidRPr="00662906">
        <w:rPr>
          <w:rFonts w:eastAsia="Arial" w:cs="Arial"/>
        </w:rPr>
        <w:t xml:space="preserve"> top-level indicators (e.g., additional capacity MW by renewable sources) and the action-specific KPIs listed in the Action Plan tables. This integrated approach ensures that:</w:t>
      </w:r>
    </w:p>
    <w:p w14:paraId="4FB9A967" w14:textId="77777777" w:rsidR="00D07EF4" w:rsidRPr="00662906" w:rsidRDefault="00D07EF4" w:rsidP="005C5546">
      <w:pPr>
        <w:numPr>
          <w:ilvl w:val="0"/>
          <w:numId w:val="199"/>
        </w:numPr>
        <w:rPr>
          <w:rFonts w:eastAsia="Arial" w:cs="Arial"/>
        </w:rPr>
      </w:pPr>
      <w:r w:rsidRPr="00662906">
        <w:rPr>
          <w:rFonts w:eastAsia="Arial" w:cs="Arial"/>
        </w:rPr>
        <w:t>Strategic progress is systematically monitored at the macro level.</w:t>
      </w:r>
    </w:p>
    <w:p w14:paraId="20A4A2B8" w14:textId="77777777" w:rsidR="00D07EF4" w:rsidRPr="00662906" w:rsidRDefault="00D07EF4" w:rsidP="005C5546">
      <w:pPr>
        <w:numPr>
          <w:ilvl w:val="0"/>
          <w:numId w:val="199"/>
        </w:numPr>
        <w:rPr>
          <w:rFonts w:eastAsia="Arial" w:cs="Arial"/>
        </w:rPr>
      </w:pPr>
      <w:r w:rsidRPr="00662906">
        <w:rPr>
          <w:rFonts w:eastAsia="Arial" w:cs="Arial"/>
        </w:rPr>
        <w:t>Concrete tasks and immediate milestones are evaluated at the micro (action) level.</w:t>
      </w:r>
    </w:p>
    <w:p w14:paraId="16AE10D6" w14:textId="5EB6679A" w:rsidR="006C34FD" w:rsidRPr="00662906" w:rsidRDefault="00D07EF4" w:rsidP="005C5546">
      <w:pPr>
        <w:numPr>
          <w:ilvl w:val="0"/>
          <w:numId w:val="199"/>
        </w:numPr>
        <w:rPr>
          <w:rFonts w:eastAsia="Arial" w:cs="Arial"/>
        </w:rPr>
      </w:pPr>
      <w:r w:rsidRPr="00662906">
        <w:rPr>
          <w:rFonts w:eastAsia="Arial" w:cs="Arial"/>
        </w:rPr>
        <w:t>Implementation gaps can be addressed promptly before they affect broader objectives.</w:t>
      </w:r>
    </w:p>
    <w:p w14:paraId="72F5F52F" w14:textId="22E06C79" w:rsidR="0ECC88CA" w:rsidRPr="00662906" w:rsidRDefault="0ECC88CA" w:rsidP="00E97558">
      <w:pPr>
        <w:rPr>
          <w:rFonts w:eastAsia="Arial" w:cs="Arial"/>
          <w:b/>
          <w:bCs/>
        </w:rPr>
      </w:pPr>
      <w:r w:rsidRPr="00662906">
        <w:rPr>
          <w:rFonts w:eastAsia="Arial" w:cs="Arial"/>
          <w:b/>
          <w:bCs/>
        </w:rPr>
        <w:t>Objective of the Monitoring and Evaluation Framework</w:t>
      </w:r>
    </w:p>
    <w:p w14:paraId="373D8445" w14:textId="174697CC" w:rsidR="00270DA7" w:rsidRPr="00662906" w:rsidRDefault="00421428" w:rsidP="00E97558">
      <w:pPr>
        <w:rPr>
          <w:rFonts w:eastAsia="Arial" w:cs="Arial"/>
        </w:rPr>
      </w:pPr>
      <w:r w:rsidRPr="00662906">
        <w:rPr>
          <w:rFonts w:eastAsia="Arial" w:cs="Arial"/>
        </w:rPr>
        <w:t>The objective of the M&amp;E framework remains consistent: to ensure accountability, evidence-based decision-making, and iterative learning. It now explicitly integrates action-level KPIs, allowing real-time insights into how on-the-ground initiatives contribute to and align with the strategy’s overarching goals and sector-specific indicators.</w:t>
      </w:r>
    </w:p>
    <w:p w14:paraId="7527DC53" w14:textId="4E1DB540" w:rsidR="0ECC88CA" w:rsidRPr="00662906" w:rsidRDefault="0ECC88CA" w:rsidP="00E97558">
      <w:pPr>
        <w:rPr>
          <w:rFonts w:eastAsia="Arial" w:cs="Arial"/>
          <w:b/>
          <w:bCs/>
        </w:rPr>
      </w:pPr>
      <w:r w:rsidRPr="00662906">
        <w:rPr>
          <w:rFonts w:eastAsia="Arial" w:cs="Arial"/>
          <w:b/>
          <w:bCs/>
        </w:rPr>
        <w:t>Development Process of the M&amp;E Framework</w:t>
      </w:r>
    </w:p>
    <w:p w14:paraId="1BDB7E39" w14:textId="7F2BF406" w:rsidR="0ECC88CA" w:rsidRPr="00662906" w:rsidRDefault="3B703874" w:rsidP="00813F48">
      <w:pPr>
        <w:pStyle w:val="Bullet1"/>
        <w:ind w:left="714" w:hanging="357"/>
        <w:rPr>
          <w:lang w:val="en-GB"/>
        </w:rPr>
      </w:pPr>
      <w:r w:rsidRPr="00662906">
        <w:rPr>
          <w:lang w:val="en-GB"/>
        </w:rPr>
        <w:t>Defining Clear Objectives and Indicators: The first step in developing the M&amp;E framework involves defining clear, specific objectives linked to each strategic goal of the ETSAP. For each objective, corresponding indicators must be developed. These indicators should be SMART (Specific, Measurable, Achievable, Relevant, Time-bound) to ensure that they provide a reliable measure of progress. Both quantitative and qualitative indicators are necessary to capture a holistic view of the strategy’s impacts but avoiding proliferation of too many indicators that will not be monitored or just exhaust resources without provide decision making impacts</w:t>
      </w:r>
      <w:r w:rsidR="00CA3122" w:rsidRPr="00662906">
        <w:rPr>
          <w:lang w:val="en-GB"/>
        </w:rPr>
        <w:t>, while avoiding the use of indicators that strain resources for their monitoring or provide limited decision-making value.</w:t>
      </w:r>
    </w:p>
    <w:p w14:paraId="13E97C56" w14:textId="39939C36" w:rsidR="0ECC88CA" w:rsidRPr="00662906" w:rsidRDefault="3B703874" w:rsidP="00813F48">
      <w:pPr>
        <w:pStyle w:val="Bullet1"/>
        <w:ind w:left="714" w:hanging="357"/>
        <w:rPr>
          <w:lang w:val="en-GB"/>
        </w:rPr>
      </w:pPr>
      <w:r w:rsidRPr="00662906">
        <w:rPr>
          <w:lang w:val="en-GB"/>
        </w:rPr>
        <w:t>Establishing Baseline Data: Before the implementation of the ETSAP, it is crucial to collect baseline data for all indicators. This data serves as a reference point against which future changes and impacts can be measured. Baseline data collection helps in setting realistic targets and understanding the initial conditions before any interventions are made.</w:t>
      </w:r>
    </w:p>
    <w:p w14:paraId="71B877E9" w14:textId="7F38AF83" w:rsidR="0ECC88CA" w:rsidRPr="00662906" w:rsidRDefault="3B703874" w:rsidP="00813F48">
      <w:pPr>
        <w:pStyle w:val="Bullet1"/>
        <w:ind w:left="714" w:hanging="357"/>
        <w:rPr>
          <w:lang w:val="en-GB"/>
        </w:rPr>
      </w:pPr>
      <w:r w:rsidRPr="00662906">
        <w:rPr>
          <w:lang w:val="en-GB"/>
        </w:rPr>
        <w:t>Developing Data Collection Methods: The framework must specify the methods and tools for data collection for each indicator, detailing the data sources, frequency of data collection, and the responsibilities assigned to various stakeholders. Emphasizing the integration of existing data systems can enhance the coherence and efficiency of data collection efforts. AFREC could create an extra questionnaire to be shared with the respective focal points when collecting energy statistics.</w:t>
      </w:r>
    </w:p>
    <w:p w14:paraId="3A3D1BF8" w14:textId="193841D8" w:rsidR="0ECC88CA" w:rsidRPr="00662906" w:rsidRDefault="3B703874" w:rsidP="00813F48">
      <w:pPr>
        <w:pStyle w:val="Bullet1"/>
        <w:ind w:left="714" w:hanging="357"/>
        <w:rPr>
          <w:lang w:val="en-GB"/>
        </w:rPr>
      </w:pPr>
      <w:r w:rsidRPr="00662906">
        <w:rPr>
          <w:lang w:val="en-GB"/>
        </w:rPr>
        <w:t xml:space="preserve">Setting Up a Monitoring System: Implementing a robust system to collect, store, </w:t>
      </w:r>
      <w:r w:rsidR="00E366C7" w:rsidRPr="00662906">
        <w:rPr>
          <w:lang w:val="en-GB"/>
        </w:rPr>
        <w:t>analyse</w:t>
      </w:r>
      <w:r w:rsidRPr="00662906">
        <w:rPr>
          <w:lang w:val="en-GB"/>
        </w:rPr>
        <w:t>, and report data is essential. This system should be capable of supporting real-time data collection and feedback where possible, and accessible to all relevant stakeholders to foster transparency and collaborative monitoring.</w:t>
      </w:r>
    </w:p>
    <w:p w14:paraId="461E4E26" w14:textId="0046BFB1" w:rsidR="0ECC88CA" w:rsidRPr="00662906" w:rsidRDefault="3B703874" w:rsidP="00813F48">
      <w:pPr>
        <w:pStyle w:val="Bullet1"/>
        <w:ind w:left="714" w:hanging="357"/>
        <w:rPr>
          <w:lang w:val="en-GB"/>
        </w:rPr>
      </w:pPr>
      <w:r w:rsidRPr="00662906">
        <w:rPr>
          <w:lang w:val="en-GB"/>
        </w:rPr>
        <w:t xml:space="preserve">Planning for Evaluation: Periodic evaluations are integral to assess the overall impact and effectiveness of the strategy. These evaluations should be conducted by independent experts to ensure impartiality and should comprehensively </w:t>
      </w:r>
      <w:r w:rsidR="00E366C7" w:rsidRPr="00662906">
        <w:rPr>
          <w:lang w:val="en-GB"/>
        </w:rPr>
        <w:t>analyse</w:t>
      </w:r>
      <w:r w:rsidRPr="00662906">
        <w:rPr>
          <w:lang w:val="en-GB"/>
        </w:rPr>
        <w:t xml:space="preserve"> the effectiveness, efficiency, impact, and sustainability of the interventions.</w:t>
      </w:r>
    </w:p>
    <w:p w14:paraId="0FC82367" w14:textId="56DA6FB3" w:rsidR="0ECC88CA" w:rsidRPr="00662906" w:rsidRDefault="3B703874" w:rsidP="00813F48">
      <w:pPr>
        <w:pStyle w:val="Bullet1"/>
        <w:ind w:left="714" w:hanging="357"/>
        <w:rPr>
          <w:lang w:val="en-GB"/>
        </w:rPr>
      </w:pPr>
      <w:r w:rsidRPr="00662906">
        <w:rPr>
          <w:lang w:val="en-GB"/>
        </w:rPr>
        <w:t xml:space="preserve">Reporting and Feedback Mechanisms: Developing a structured reporting system is vital for updating stakeholders about the progress and outcomes of the strategy. Regular reports, dashboards, and briefings should be utilized to communicate achievements and challenges. Additionally, establishing feedback mechanisms allows stakeholders to provide insights and </w:t>
      </w:r>
      <w:r w:rsidRPr="00662906">
        <w:rPr>
          <w:lang w:val="en-GB"/>
        </w:rPr>
        <w:lastRenderedPageBreak/>
        <w:t>suggestions, fostering a participatory approach to strategy implementation.</w:t>
      </w:r>
    </w:p>
    <w:p w14:paraId="71A6D444" w14:textId="0381A690" w:rsidR="0ECC88CA" w:rsidRPr="00662906" w:rsidRDefault="3B703874" w:rsidP="00813F48">
      <w:pPr>
        <w:pStyle w:val="Bullet1"/>
        <w:ind w:left="714" w:hanging="357"/>
        <w:rPr>
          <w:lang w:val="en-GB"/>
        </w:rPr>
      </w:pPr>
      <w:r w:rsidRPr="00662906">
        <w:rPr>
          <w:lang w:val="en-GB"/>
        </w:rPr>
        <w:t>Capacity Building for M&amp;E: To effectively implement the M&amp;E framework, there is a need for continuous capacity building among staff and stakeholders. Training programs and workshops should be conducted to enhance their skills in monitoring and evaluation practices.</w:t>
      </w:r>
    </w:p>
    <w:p w14:paraId="4915F86C" w14:textId="1E5CA68E" w:rsidR="0ECC88CA" w:rsidRPr="00662906" w:rsidRDefault="3B703874" w:rsidP="00813F48">
      <w:pPr>
        <w:pStyle w:val="Bullet1"/>
        <w:ind w:left="714" w:hanging="357"/>
        <w:rPr>
          <w:lang w:val="en-GB"/>
        </w:rPr>
      </w:pPr>
      <w:r w:rsidRPr="00662906">
        <w:rPr>
          <w:lang w:val="en-GB"/>
        </w:rPr>
        <w:t>Reviewing and Updating the Framework: The M&amp;E framework should be dynamic, allowing for regular reviews and updates to adapt to changing circumstances and emerging insights. Flexibility in the framework ensures that it remains relevant and effective in monitoring the strategy’s implementation.</w:t>
      </w:r>
    </w:p>
    <w:p w14:paraId="1A25DC28" w14:textId="53930BE6" w:rsidR="0ECC88CA" w:rsidRPr="00662906" w:rsidRDefault="3B703874" w:rsidP="00813F48">
      <w:pPr>
        <w:pStyle w:val="Bullet1"/>
        <w:ind w:left="714" w:hanging="357"/>
        <w:rPr>
          <w:lang w:val="en-GB"/>
        </w:rPr>
      </w:pPr>
      <w:r w:rsidRPr="00662906">
        <w:rPr>
          <w:lang w:val="en-GB"/>
        </w:rPr>
        <w:t>Resource Allocation: Adequate resources—financial, human, and technical—must be allocated to support the M&amp;E activities. Ensuring sufficient funding and resources is crucial for maintaining the quality and effectiveness of the monitoring and evaluation efforts.</w:t>
      </w:r>
    </w:p>
    <w:p w14:paraId="0264810C" w14:textId="7D14B27E" w:rsidR="0ECC88CA" w:rsidRPr="00662906" w:rsidRDefault="3B703874" w:rsidP="00813F48">
      <w:pPr>
        <w:pStyle w:val="Bullet1"/>
        <w:ind w:left="714" w:hanging="357"/>
        <w:rPr>
          <w:lang w:val="en-GB"/>
        </w:rPr>
      </w:pPr>
      <w:r w:rsidRPr="00662906">
        <w:rPr>
          <w:lang w:val="en-GB"/>
        </w:rPr>
        <w:t>Promoting Transparency and Accountability: The M&amp;E framework should serve as a tool for promoting transparency and accountability. Public dissemination of M&amp;E results helps in building trust among stakeholders and justifying the continuation or scaling up of interventions based on demonstrated success or impact.</w:t>
      </w:r>
    </w:p>
    <w:p w14:paraId="1ED4F7BB" w14:textId="61319098" w:rsidR="0ECC88CA" w:rsidRPr="00662906" w:rsidRDefault="0ECC88CA" w:rsidP="00E97558">
      <w:pPr>
        <w:rPr>
          <w:rFonts w:eastAsia="Arial" w:cs="Arial"/>
        </w:rPr>
      </w:pPr>
      <w:r w:rsidRPr="00662906">
        <w:rPr>
          <w:rFonts w:eastAsia="Arial" w:cs="Arial"/>
        </w:rPr>
        <w:t xml:space="preserve">By following these guidelines, the M&amp;E framework for the ETS </w:t>
      </w:r>
      <w:r w:rsidR="0012511F" w:rsidRPr="00662906">
        <w:rPr>
          <w:rFonts w:eastAsia="Arial" w:cs="Arial"/>
        </w:rPr>
        <w:t xml:space="preserve">serves both as a tool for tracking performance and as a catalyst for ongoing learning, adaptation, and improvement, bridging high-level targets with action-specific KPIs. </w:t>
      </w:r>
      <w:r w:rsidRPr="00662906">
        <w:rPr>
          <w:rFonts w:eastAsia="Arial" w:cs="Arial"/>
        </w:rPr>
        <w:t xml:space="preserve">It ensures that </w:t>
      </w:r>
      <w:r w:rsidR="0012511F" w:rsidRPr="00662906">
        <w:rPr>
          <w:rFonts w:eastAsia="Arial" w:cs="Arial"/>
        </w:rPr>
        <w:t xml:space="preserve">each </w:t>
      </w:r>
      <w:r w:rsidRPr="00662906">
        <w:rPr>
          <w:rFonts w:eastAsia="Arial" w:cs="Arial"/>
        </w:rPr>
        <w:t>strategic objective</w:t>
      </w:r>
      <w:r w:rsidR="0012511F" w:rsidRPr="00662906">
        <w:rPr>
          <w:rFonts w:eastAsia="Arial" w:cs="Arial"/>
        </w:rPr>
        <w:t xml:space="preserve"> – along with its underlying actions – achieves tangible results </w:t>
      </w:r>
      <w:r w:rsidRPr="00662906">
        <w:rPr>
          <w:rFonts w:eastAsia="Arial" w:cs="Arial"/>
        </w:rPr>
        <w:t>efficiently and effectively, fostering robust economic growth and sustainable development across Africa's diverse energy sectors.</w:t>
      </w:r>
    </w:p>
    <w:p w14:paraId="1D684B46" w14:textId="737D4E34" w:rsidR="0055133D" w:rsidRPr="00662906" w:rsidRDefault="0055133D" w:rsidP="0055133D">
      <w:pPr>
        <w:rPr>
          <w:rFonts w:eastAsia="Arial" w:cs="Arial"/>
        </w:rPr>
      </w:pPr>
      <w:r w:rsidRPr="00662906">
        <w:rPr>
          <w:rFonts w:eastAsia="Arial" w:cs="Arial"/>
        </w:rPr>
        <w:t>In summary, the high-level indicators in the next table and the KPIs embedded within each action plan form a cohesive monitoring system. The high-level metrics provide broad insight into Africa’s progress toward energy transition goals, while the detailed KPIs offer operational clarity and ensure timely interventions, ultimately advancing the implementation of ETSAP as a whole.</w:t>
      </w:r>
    </w:p>
    <w:p w14:paraId="71B81AED" w14:textId="3EF7FEF3" w:rsidR="0ECC88CA" w:rsidRPr="00662906" w:rsidRDefault="3B703874" w:rsidP="00E97558">
      <w:pPr>
        <w:rPr>
          <w:rFonts w:eastAsia="Arial" w:cs="Arial"/>
        </w:rPr>
      </w:pPr>
      <w:r w:rsidRPr="00662906">
        <w:rPr>
          <w:rFonts w:eastAsia="Arial" w:cs="Arial"/>
        </w:rPr>
        <w:t xml:space="preserve">The following </w:t>
      </w:r>
      <w:r w:rsidR="0055133D" w:rsidRPr="00662906">
        <w:rPr>
          <w:rFonts w:eastAsia="Arial" w:cs="Arial"/>
        </w:rPr>
        <w:t xml:space="preserve">table </w:t>
      </w:r>
      <w:r w:rsidRPr="00662906">
        <w:rPr>
          <w:rFonts w:eastAsia="Arial" w:cs="Arial"/>
        </w:rPr>
        <w:t>present the objective of each strategic intervention per sector, along with a list of indicators to monitor progress (</w:t>
      </w:r>
      <w:r w:rsidR="00F346CC" w:rsidRPr="00662906">
        <w:rPr>
          <w:rFonts w:eastAsia="Arial" w:cs="Arial"/>
        </w:rPr>
        <w:t xml:space="preserve">Table </w:t>
      </w:r>
      <w:r w:rsidR="007D27F1" w:rsidRPr="00662906">
        <w:rPr>
          <w:rFonts w:eastAsia="Arial" w:cs="Arial"/>
        </w:rPr>
        <w:t>49</w:t>
      </w:r>
      <w:r w:rsidRPr="00662906">
        <w:rPr>
          <w:rFonts w:eastAsia="Arial" w:cs="Arial"/>
        </w:rPr>
        <w:t>).</w:t>
      </w:r>
    </w:p>
    <w:p w14:paraId="371F6C8B" w14:textId="07BFC428" w:rsidR="0ECC88CA" w:rsidRPr="00662906" w:rsidRDefault="00804761" w:rsidP="00813F48">
      <w:pPr>
        <w:pStyle w:val="Caption"/>
        <w:rPr>
          <w:rFonts w:eastAsia="Arial" w:cs="Arial"/>
        </w:rPr>
      </w:pPr>
      <w:bookmarkStart w:id="867" w:name="_Toc197433937"/>
      <w:r w:rsidRPr="00662906">
        <w:t xml:space="preserve">Table </w:t>
      </w:r>
      <w:fldSimple w:instr=" SEQ Table \* ARABIC ">
        <w:r w:rsidR="00610F61">
          <w:rPr>
            <w:noProof/>
          </w:rPr>
          <w:t>49</w:t>
        </w:r>
      </w:fldSimple>
      <w:r w:rsidRPr="00662906">
        <w:t xml:space="preserve">: </w:t>
      </w:r>
      <w:r w:rsidR="3B703874" w:rsidRPr="00662906">
        <w:rPr>
          <w:rFonts w:eastAsia="Arial" w:cs="Arial"/>
        </w:rPr>
        <w:t>M&amp;E Framework for the ETSAP</w:t>
      </w:r>
      <w:bookmarkEnd w:id="867"/>
    </w:p>
    <w:tbl>
      <w:tblPr>
        <w:tblW w:w="0" w:type="auto"/>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Layout w:type="fixed"/>
        <w:tblLook w:val="06A0" w:firstRow="1" w:lastRow="0" w:firstColumn="1" w:lastColumn="0" w:noHBand="1" w:noVBand="1"/>
      </w:tblPr>
      <w:tblGrid>
        <w:gridCol w:w="1454"/>
        <w:gridCol w:w="1520"/>
        <w:gridCol w:w="2084"/>
        <w:gridCol w:w="1872"/>
        <w:gridCol w:w="2084"/>
      </w:tblGrid>
      <w:tr w:rsidR="75BD6BB8" w:rsidRPr="00662906" w14:paraId="16DA8844" w14:textId="77777777" w:rsidTr="00561F4E">
        <w:trPr>
          <w:trHeight w:val="900"/>
        </w:trPr>
        <w:tc>
          <w:tcPr>
            <w:tcW w:w="1454" w:type="dxa"/>
            <w:shd w:val="clear" w:color="auto" w:fill="B4A269" w:themeFill="text2"/>
            <w:tcMar>
              <w:left w:w="108" w:type="dxa"/>
              <w:right w:w="108" w:type="dxa"/>
            </w:tcMar>
            <w:vAlign w:val="center"/>
          </w:tcPr>
          <w:p w14:paraId="1C3C6BFC" w14:textId="354BA825" w:rsidR="75BD6BB8" w:rsidRPr="00662906" w:rsidRDefault="75BD6BB8"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Sub Sector</w:t>
            </w:r>
          </w:p>
        </w:tc>
        <w:tc>
          <w:tcPr>
            <w:tcW w:w="1520" w:type="dxa"/>
            <w:shd w:val="clear" w:color="auto" w:fill="B4A269" w:themeFill="text2"/>
            <w:tcMar>
              <w:left w:w="108" w:type="dxa"/>
              <w:right w:w="108" w:type="dxa"/>
            </w:tcMar>
            <w:vAlign w:val="center"/>
          </w:tcPr>
          <w:p w14:paraId="31D0F729" w14:textId="7213D3DB" w:rsidR="75BD6BB8" w:rsidRPr="00662906" w:rsidRDefault="75BD6BB8"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Objectives</w:t>
            </w:r>
          </w:p>
        </w:tc>
        <w:tc>
          <w:tcPr>
            <w:tcW w:w="2084" w:type="dxa"/>
            <w:shd w:val="clear" w:color="auto" w:fill="B4A269" w:themeFill="text2"/>
            <w:tcMar>
              <w:left w:w="108" w:type="dxa"/>
              <w:right w:w="108" w:type="dxa"/>
            </w:tcMar>
            <w:vAlign w:val="center"/>
          </w:tcPr>
          <w:p w14:paraId="0C073E34" w14:textId="19B1D3BA" w:rsidR="75BD6BB8" w:rsidRPr="00662906" w:rsidRDefault="75BD6BB8"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Strategic Interventions</w:t>
            </w:r>
          </w:p>
        </w:tc>
        <w:tc>
          <w:tcPr>
            <w:tcW w:w="1872" w:type="dxa"/>
            <w:shd w:val="clear" w:color="auto" w:fill="B4A269" w:themeFill="text2"/>
            <w:tcMar>
              <w:left w:w="108" w:type="dxa"/>
              <w:right w:w="108" w:type="dxa"/>
            </w:tcMar>
            <w:vAlign w:val="center"/>
          </w:tcPr>
          <w:p w14:paraId="10935E5D" w14:textId="680CE044" w:rsidR="75BD6BB8" w:rsidRPr="00662906" w:rsidRDefault="75BD6BB8"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What is to be measured</w:t>
            </w:r>
          </w:p>
        </w:tc>
        <w:tc>
          <w:tcPr>
            <w:tcW w:w="2084" w:type="dxa"/>
            <w:shd w:val="clear" w:color="auto" w:fill="B4A269" w:themeFill="text2"/>
            <w:tcMar>
              <w:left w:w="108" w:type="dxa"/>
              <w:right w:w="108" w:type="dxa"/>
            </w:tcMar>
            <w:vAlign w:val="center"/>
          </w:tcPr>
          <w:p w14:paraId="3628EC61" w14:textId="3DF5DC5C" w:rsidR="75BD6BB8" w:rsidRPr="00662906" w:rsidRDefault="75BD6BB8" w:rsidP="00561F4E">
            <w:pPr>
              <w:spacing w:before="60" w:after="60"/>
              <w:jc w:val="center"/>
              <w:rPr>
                <w:rFonts w:eastAsia="Arial" w:cs="Arial"/>
                <w:b/>
                <w:bCs/>
                <w:color w:val="FFFFFF" w:themeColor="background2"/>
                <w:sz w:val="18"/>
                <w:szCs w:val="18"/>
              </w:rPr>
            </w:pPr>
            <w:r w:rsidRPr="00662906">
              <w:rPr>
                <w:rFonts w:eastAsia="Arial" w:cs="Arial"/>
                <w:b/>
                <w:bCs/>
                <w:color w:val="FFFFFF" w:themeColor="background2"/>
                <w:sz w:val="18"/>
                <w:szCs w:val="18"/>
              </w:rPr>
              <w:t>High level Indicators</w:t>
            </w:r>
          </w:p>
        </w:tc>
      </w:tr>
      <w:tr w:rsidR="75BD6BB8" w:rsidRPr="00662906" w14:paraId="385758DD" w14:textId="77777777" w:rsidTr="00561F4E">
        <w:trPr>
          <w:trHeight w:val="300"/>
        </w:trPr>
        <w:tc>
          <w:tcPr>
            <w:tcW w:w="1454" w:type="dxa"/>
            <w:vMerge w:val="restart"/>
            <w:shd w:val="clear" w:color="auto" w:fill="FFFFFF" w:themeFill="background2"/>
            <w:tcMar>
              <w:left w:w="108" w:type="dxa"/>
              <w:right w:w="108" w:type="dxa"/>
            </w:tcMar>
            <w:vAlign w:val="center"/>
          </w:tcPr>
          <w:p w14:paraId="6400A25C" w14:textId="74684758"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Electricity sector</w:t>
            </w:r>
          </w:p>
        </w:tc>
        <w:tc>
          <w:tcPr>
            <w:tcW w:w="1520" w:type="dxa"/>
            <w:vMerge w:val="restart"/>
            <w:shd w:val="clear" w:color="auto" w:fill="FFFFFF" w:themeFill="background2"/>
            <w:tcMar>
              <w:left w:w="108" w:type="dxa"/>
              <w:right w:w="108" w:type="dxa"/>
            </w:tcMar>
            <w:vAlign w:val="center"/>
          </w:tcPr>
          <w:p w14:paraId="7EDD1434" w14:textId="041E7B9B" w:rsidR="75BD6BB8" w:rsidRPr="00662906" w:rsidRDefault="00B2402B" w:rsidP="00561F4E">
            <w:pPr>
              <w:spacing w:before="40" w:after="40"/>
              <w:jc w:val="center"/>
              <w:rPr>
                <w:rFonts w:eastAsia="Arial" w:cs="Arial"/>
                <w:color w:val="394A58"/>
                <w:sz w:val="18"/>
                <w:szCs w:val="18"/>
              </w:rPr>
            </w:pPr>
            <w:r w:rsidRPr="00662906">
              <w:rPr>
                <w:rFonts w:eastAsia="Arial" w:cs="Arial"/>
                <w:color w:val="394A58"/>
                <w:sz w:val="18"/>
                <w:szCs w:val="18"/>
              </w:rPr>
              <w:t>Strengthen and Modernize Energy Infrastructure and Systems in the Electricity Supply Industry</w:t>
            </w:r>
          </w:p>
        </w:tc>
        <w:tc>
          <w:tcPr>
            <w:tcW w:w="2084" w:type="dxa"/>
            <w:shd w:val="clear" w:color="auto" w:fill="FFFFFF" w:themeFill="background2"/>
            <w:tcMar>
              <w:left w:w="108" w:type="dxa"/>
              <w:right w:w="108" w:type="dxa"/>
            </w:tcMar>
            <w:vAlign w:val="center"/>
          </w:tcPr>
          <w:p w14:paraId="3DBECF4E" w14:textId="690879EB" w:rsidR="75BD6BB8" w:rsidRPr="00662906" w:rsidRDefault="2E44B90C" w:rsidP="00561F4E">
            <w:pPr>
              <w:spacing w:line="214" w:lineRule="auto"/>
              <w:jc w:val="center"/>
              <w:rPr>
                <w:rFonts w:eastAsia="Arial" w:cs="Arial"/>
                <w:color w:val="394A58"/>
                <w:sz w:val="18"/>
                <w:szCs w:val="18"/>
              </w:rPr>
            </w:pPr>
            <w:r w:rsidRPr="00662906">
              <w:rPr>
                <w:rFonts w:eastAsia="Arial" w:cs="Arial"/>
                <w:color w:val="394A58"/>
                <w:sz w:val="18"/>
                <w:szCs w:val="18"/>
              </w:rPr>
              <w:t xml:space="preserve">Strategic Intervention 1: </w:t>
            </w:r>
            <w:r w:rsidR="68C44851" w:rsidRPr="00662906">
              <w:rPr>
                <w:rFonts w:eastAsia="Arial" w:cs="Arial"/>
                <w:color w:val="394A58"/>
                <w:sz w:val="18"/>
                <w:szCs w:val="18"/>
              </w:rPr>
              <w:t>Accelerate the deployment of RE</w:t>
            </w:r>
          </w:p>
          <w:p w14:paraId="15141EAB" w14:textId="2EC2AE64" w:rsidR="75BD6BB8" w:rsidRPr="00662906" w:rsidRDefault="75BD6BB8" w:rsidP="00561F4E">
            <w:pPr>
              <w:spacing w:line="214" w:lineRule="auto"/>
              <w:jc w:val="center"/>
              <w:rPr>
                <w:rFonts w:eastAsia="Arial" w:cs="Arial"/>
                <w:color w:val="394A58"/>
                <w:sz w:val="18"/>
                <w:szCs w:val="18"/>
              </w:rPr>
            </w:pPr>
          </w:p>
        </w:tc>
        <w:tc>
          <w:tcPr>
            <w:tcW w:w="1872" w:type="dxa"/>
            <w:shd w:val="clear" w:color="auto" w:fill="FFFFFF" w:themeFill="background2"/>
            <w:tcMar>
              <w:left w:w="108" w:type="dxa"/>
              <w:right w:w="108" w:type="dxa"/>
            </w:tcMar>
            <w:vAlign w:val="center"/>
          </w:tcPr>
          <w:p w14:paraId="02929CE4" w14:textId="5F85F9D2" w:rsidR="75BD6BB8" w:rsidRPr="00662906" w:rsidRDefault="01C8FB29" w:rsidP="00561F4E">
            <w:pPr>
              <w:spacing w:line="214" w:lineRule="auto"/>
              <w:jc w:val="center"/>
              <w:rPr>
                <w:rFonts w:eastAsia="Arial" w:cs="Arial"/>
                <w:color w:val="394A58"/>
                <w:sz w:val="18"/>
                <w:szCs w:val="18"/>
              </w:rPr>
            </w:pPr>
            <w:r w:rsidRPr="00662906">
              <w:rPr>
                <w:rFonts w:eastAsia="Arial" w:cs="Arial"/>
                <w:color w:val="394A58"/>
                <w:sz w:val="18"/>
                <w:szCs w:val="18"/>
              </w:rPr>
              <w:t>Additional supply capacity by clean energy sources</w:t>
            </w:r>
          </w:p>
          <w:p w14:paraId="2D98EF3A" w14:textId="332F3FBA" w:rsidR="75BD6BB8" w:rsidRPr="00662906" w:rsidRDefault="01C8FB29" w:rsidP="00561F4E">
            <w:pPr>
              <w:spacing w:line="214" w:lineRule="auto"/>
              <w:jc w:val="center"/>
              <w:rPr>
                <w:rFonts w:eastAsia="Arial" w:cs="Arial"/>
                <w:color w:val="394A58"/>
                <w:sz w:val="18"/>
                <w:szCs w:val="18"/>
              </w:rPr>
            </w:pPr>
            <w:r w:rsidRPr="00662906">
              <w:rPr>
                <w:rFonts w:eastAsia="Arial" w:cs="Arial"/>
                <w:color w:val="394A58"/>
                <w:sz w:val="18"/>
                <w:szCs w:val="18"/>
              </w:rPr>
              <w:t>Innovation on clean energy systems</w:t>
            </w:r>
          </w:p>
          <w:p w14:paraId="71F1BFA5" w14:textId="7500DB19" w:rsidR="75BD6BB8" w:rsidRPr="00662906" w:rsidRDefault="75BD6BB8" w:rsidP="00561F4E">
            <w:pPr>
              <w:spacing w:line="214" w:lineRule="auto"/>
              <w:jc w:val="center"/>
              <w:rPr>
                <w:rFonts w:eastAsia="Arial" w:cs="Arial"/>
                <w:color w:val="394A58"/>
                <w:sz w:val="18"/>
                <w:szCs w:val="18"/>
              </w:rPr>
            </w:pPr>
          </w:p>
        </w:tc>
        <w:tc>
          <w:tcPr>
            <w:tcW w:w="2084" w:type="dxa"/>
            <w:shd w:val="clear" w:color="auto" w:fill="FFFFFF" w:themeFill="background2"/>
            <w:tcMar>
              <w:left w:w="108" w:type="dxa"/>
              <w:right w:w="108" w:type="dxa"/>
            </w:tcMar>
            <w:vAlign w:val="center"/>
          </w:tcPr>
          <w:p w14:paraId="2D400D35" w14:textId="31CDDB0F" w:rsidR="75BD6BB8" w:rsidRPr="00662906" w:rsidRDefault="7663E124" w:rsidP="00561F4E">
            <w:pPr>
              <w:spacing w:before="0" w:after="0"/>
              <w:jc w:val="center"/>
              <w:rPr>
                <w:rFonts w:eastAsia="Arial" w:cs="Arial"/>
                <w:color w:val="394A58"/>
                <w:sz w:val="18"/>
                <w:szCs w:val="18"/>
              </w:rPr>
            </w:pPr>
            <w:r w:rsidRPr="00662906">
              <w:rPr>
                <w:rFonts w:eastAsia="Arial" w:cs="Arial"/>
                <w:color w:val="394A58"/>
                <w:sz w:val="18"/>
                <w:szCs w:val="18"/>
              </w:rPr>
              <w:t>Additional capacity MW by RE, NG</w:t>
            </w:r>
          </w:p>
          <w:p w14:paraId="0C111750" w14:textId="4159AC42" w:rsidR="75BD6BB8" w:rsidRPr="00662906" w:rsidRDefault="7663E124" w:rsidP="00561F4E">
            <w:pPr>
              <w:spacing w:before="0" w:after="0"/>
              <w:jc w:val="center"/>
              <w:rPr>
                <w:rFonts w:eastAsia="Arial" w:cs="Arial"/>
                <w:color w:val="394A58"/>
                <w:sz w:val="18"/>
                <w:szCs w:val="18"/>
              </w:rPr>
            </w:pPr>
            <w:r w:rsidRPr="00662906">
              <w:rPr>
                <w:rFonts w:eastAsia="Arial" w:cs="Arial"/>
                <w:color w:val="394A58"/>
                <w:sz w:val="18"/>
                <w:szCs w:val="18"/>
              </w:rPr>
              <w:t>ESS</w:t>
            </w:r>
          </w:p>
          <w:p w14:paraId="22B37749" w14:textId="0F754079" w:rsidR="75BD6BB8" w:rsidRPr="00662906" w:rsidRDefault="7663E124" w:rsidP="00561F4E">
            <w:pPr>
              <w:spacing w:before="0" w:after="0"/>
              <w:jc w:val="center"/>
              <w:rPr>
                <w:rFonts w:eastAsia="Arial" w:cs="Arial"/>
                <w:color w:val="394A58"/>
                <w:sz w:val="18"/>
                <w:szCs w:val="18"/>
              </w:rPr>
            </w:pPr>
            <w:r w:rsidRPr="00662906">
              <w:rPr>
                <w:rFonts w:eastAsia="Arial" w:cs="Arial"/>
                <w:color w:val="394A58"/>
                <w:sz w:val="18"/>
                <w:szCs w:val="18"/>
              </w:rPr>
              <w:t>Mini grids/microgrids</w:t>
            </w:r>
            <w:r w:rsidR="004A0E7E" w:rsidRPr="00662906">
              <w:rPr>
                <w:rFonts w:eastAsia="Arial" w:cs="Arial"/>
                <w:color w:val="394A58"/>
                <w:sz w:val="18"/>
                <w:szCs w:val="18"/>
              </w:rPr>
              <w:t xml:space="preserve">; </w:t>
            </w:r>
            <w:r w:rsidR="00E22995" w:rsidRPr="00662906">
              <w:rPr>
                <w:rFonts w:eastAsia="Arial" w:cs="Arial"/>
                <w:color w:val="394A58"/>
                <w:sz w:val="18"/>
                <w:szCs w:val="18"/>
              </w:rPr>
              <w:t>SSDG</w:t>
            </w:r>
          </w:p>
          <w:p w14:paraId="345659A6" w14:textId="7EBD16FC" w:rsidR="75BD6BB8" w:rsidRPr="00662906" w:rsidRDefault="7663E124" w:rsidP="00561F4E">
            <w:pPr>
              <w:spacing w:line="214" w:lineRule="auto"/>
              <w:jc w:val="center"/>
              <w:rPr>
                <w:rFonts w:eastAsia="Arial" w:cs="Arial"/>
                <w:color w:val="394A58"/>
                <w:sz w:val="18"/>
                <w:szCs w:val="18"/>
              </w:rPr>
            </w:pPr>
            <w:r w:rsidRPr="00662906">
              <w:rPr>
                <w:rFonts w:eastAsia="Arial" w:cs="Arial"/>
                <w:color w:val="394A58"/>
                <w:sz w:val="18"/>
                <w:szCs w:val="18"/>
              </w:rPr>
              <w:t>New Battery and RE technologies and applications</w:t>
            </w:r>
          </w:p>
          <w:p w14:paraId="73FB7730" w14:textId="7ACB3E01" w:rsidR="75BD6BB8" w:rsidRPr="00662906" w:rsidRDefault="75BD6BB8" w:rsidP="00561F4E">
            <w:pPr>
              <w:spacing w:line="214" w:lineRule="auto"/>
              <w:jc w:val="center"/>
              <w:rPr>
                <w:rFonts w:eastAsia="Arial" w:cs="Arial"/>
                <w:color w:val="394A58"/>
                <w:sz w:val="18"/>
                <w:szCs w:val="18"/>
              </w:rPr>
            </w:pPr>
          </w:p>
        </w:tc>
      </w:tr>
      <w:tr w:rsidR="75BD6BB8" w:rsidRPr="00662906" w14:paraId="682B8253" w14:textId="77777777" w:rsidTr="00561F4E">
        <w:trPr>
          <w:trHeight w:val="300"/>
        </w:trPr>
        <w:tc>
          <w:tcPr>
            <w:tcW w:w="1454" w:type="dxa"/>
            <w:vMerge/>
            <w:vAlign w:val="center"/>
          </w:tcPr>
          <w:p w14:paraId="520033C8" w14:textId="77777777" w:rsidR="00E02662" w:rsidRPr="00662906" w:rsidRDefault="00E02662" w:rsidP="00561F4E">
            <w:pPr>
              <w:spacing w:before="40" w:after="40"/>
              <w:jc w:val="center"/>
              <w:rPr>
                <w:rFonts w:eastAsia="Arial" w:cs="Arial"/>
                <w:color w:val="394A58"/>
                <w:sz w:val="18"/>
                <w:szCs w:val="18"/>
              </w:rPr>
            </w:pPr>
          </w:p>
        </w:tc>
        <w:tc>
          <w:tcPr>
            <w:tcW w:w="1520" w:type="dxa"/>
            <w:vMerge/>
            <w:vAlign w:val="center"/>
          </w:tcPr>
          <w:p w14:paraId="7C8DE3BE" w14:textId="77777777" w:rsidR="00E02662" w:rsidRPr="00662906" w:rsidRDefault="00E02662" w:rsidP="00561F4E">
            <w:pPr>
              <w:spacing w:before="40" w:after="40"/>
              <w:jc w:val="center"/>
              <w:rPr>
                <w:rFonts w:eastAsia="Arial" w:cs="Arial"/>
                <w:color w:val="394A58"/>
                <w:sz w:val="18"/>
                <w:szCs w:val="18"/>
              </w:rPr>
            </w:pPr>
          </w:p>
        </w:tc>
        <w:tc>
          <w:tcPr>
            <w:tcW w:w="2084" w:type="dxa"/>
            <w:shd w:val="clear" w:color="auto" w:fill="FFFFFF" w:themeFill="background2"/>
            <w:tcMar>
              <w:left w:w="108" w:type="dxa"/>
              <w:right w:w="108" w:type="dxa"/>
            </w:tcMar>
            <w:vAlign w:val="center"/>
          </w:tcPr>
          <w:p w14:paraId="07CE1A97" w14:textId="28657D81" w:rsidR="75BD6BB8" w:rsidRPr="00662906" w:rsidRDefault="2E44B90C" w:rsidP="00561F4E">
            <w:pPr>
              <w:spacing w:before="40" w:after="40" w:line="214" w:lineRule="auto"/>
              <w:jc w:val="center"/>
              <w:rPr>
                <w:rFonts w:eastAsia="Arial" w:cs="Arial"/>
                <w:color w:val="394A58"/>
                <w:sz w:val="18"/>
                <w:szCs w:val="18"/>
              </w:rPr>
            </w:pPr>
            <w:r w:rsidRPr="00662906">
              <w:rPr>
                <w:rFonts w:eastAsia="Arial" w:cs="Arial"/>
                <w:color w:val="394A58"/>
                <w:sz w:val="18"/>
                <w:szCs w:val="18"/>
              </w:rPr>
              <w:t xml:space="preserve">Strategic Intervention 2: </w:t>
            </w:r>
            <w:r w:rsidR="07DD3FE6" w:rsidRPr="00662906">
              <w:rPr>
                <w:rFonts w:eastAsia="Arial" w:cs="Arial"/>
                <w:color w:val="394A58"/>
                <w:sz w:val="18"/>
                <w:szCs w:val="18"/>
              </w:rPr>
              <w:t>Foster and Accelerate development of resilient Transmission and Distribution networks to support deployment and trade of clean and RE power</w:t>
            </w:r>
          </w:p>
          <w:p w14:paraId="7B147DAB" w14:textId="009733E1" w:rsidR="75BD6BB8" w:rsidRPr="00662906" w:rsidRDefault="75BD6BB8" w:rsidP="00561F4E">
            <w:pPr>
              <w:spacing w:before="40" w:after="40" w:line="214" w:lineRule="auto"/>
              <w:jc w:val="center"/>
              <w:rPr>
                <w:rFonts w:eastAsia="Arial" w:cs="Arial"/>
                <w:color w:val="394A58"/>
                <w:sz w:val="18"/>
                <w:szCs w:val="18"/>
              </w:rPr>
            </w:pPr>
          </w:p>
        </w:tc>
        <w:tc>
          <w:tcPr>
            <w:tcW w:w="1872" w:type="dxa"/>
            <w:shd w:val="clear" w:color="auto" w:fill="FFFFFF" w:themeFill="background2"/>
            <w:tcMar>
              <w:left w:w="108" w:type="dxa"/>
              <w:right w:w="108" w:type="dxa"/>
            </w:tcMar>
            <w:vAlign w:val="center"/>
          </w:tcPr>
          <w:p w14:paraId="64B0085A" w14:textId="2C423D2F" w:rsidR="75BD6BB8" w:rsidRPr="00662906" w:rsidRDefault="558F4340" w:rsidP="00561F4E">
            <w:pPr>
              <w:spacing w:before="40" w:after="40"/>
              <w:jc w:val="center"/>
              <w:rPr>
                <w:rFonts w:eastAsia="Arial" w:cs="Arial"/>
                <w:color w:val="394A58"/>
                <w:sz w:val="18"/>
                <w:szCs w:val="18"/>
              </w:rPr>
            </w:pPr>
            <w:r w:rsidRPr="00662906">
              <w:rPr>
                <w:rFonts w:eastAsia="Arial" w:cs="Arial"/>
                <w:color w:val="394A58"/>
                <w:sz w:val="18"/>
                <w:szCs w:val="18"/>
              </w:rPr>
              <w:t>Connectivity across continent</w:t>
            </w:r>
          </w:p>
          <w:p w14:paraId="08B776F8" w14:textId="0431EFCC" w:rsidR="75BD6BB8" w:rsidRPr="00662906" w:rsidRDefault="558F4340" w:rsidP="00561F4E">
            <w:pPr>
              <w:spacing w:before="40" w:after="40"/>
              <w:jc w:val="center"/>
              <w:rPr>
                <w:rFonts w:eastAsia="Arial" w:cs="Arial"/>
                <w:color w:val="394A58"/>
                <w:sz w:val="18"/>
                <w:szCs w:val="18"/>
              </w:rPr>
            </w:pPr>
            <w:r w:rsidRPr="00662906">
              <w:rPr>
                <w:rFonts w:eastAsia="Arial" w:cs="Arial"/>
                <w:color w:val="394A58"/>
                <w:sz w:val="18"/>
                <w:szCs w:val="18"/>
              </w:rPr>
              <w:t>Performance of the continental network</w:t>
            </w:r>
          </w:p>
          <w:p w14:paraId="1A9E15D5" w14:textId="27C1D0FF" w:rsidR="75BD6BB8" w:rsidRPr="00662906" w:rsidRDefault="558F4340" w:rsidP="00561F4E">
            <w:pPr>
              <w:spacing w:before="40" w:after="40" w:line="214" w:lineRule="auto"/>
              <w:jc w:val="center"/>
              <w:rPr>
                <w:rFonts w:eastAsia="Arial" w:cs="Arial"/>
                <w:color w:val="394A58"/>
                <w:sz w:val="18"/>
                <w:szCs w:val="18"/>
              </w:rPr>
            </w:pPr>
            <w:r w:rsidRPr="00662906">
              <w:rPr>
                <w:rFonts w:eastAsia="Arial" w:cs="Arial"/>
                <w:color w:val="394A58"/>
                <w:sz w:val="18"/>
                <w:szCs w:val="18"/>
              </w:rPr>
              <w:t xml:space="preserve">Innovation on efficient network systems </w:t>
            </w:r>
            <w:r w:rsidR="75BD6BB8" w:rsidRPr="00662906">
              <w:rPr>
                <w:rFonts w:eastAsia="Arial" w:cs="Arial"/>
                <w:color w:val="394A58"/>
                <w:sz w:val="18"/>
                <w:szCs w:val="18"/>
              </w:rPr>
              <w:br/>
            </w:r>
          </w:p>
        </w:tc>
        <w:tc>
          <w:tcPr>
            <w:tcW w:w="2084" w:type="dxa"/>
            <w:shd w:val="clear" w:color="auto" w:fill="FFFFFF" w:themeFill="background2"/>
            <w:tcMar>
              <w:left w:w="108" w:type="dxa"/>
              <w:right w:w="108" w:type="dxa"/>
            </w:tcMar>
            <w:vAlign w:val="center"/>
          </w:tcPr>
          <w:p w14:paraId="39C60882" w14:textId="0AC90FAC" w:rsidR="75BD6BB8" w:rsidRPr="00662906" w:rsidRDefault="7045697D" w:rsidP="00561F4E">
            <w:pPr>
              <w:spacing w:before="40" w:after="40" w:line="214" w:lineRule="auto"/>
              <w:jc w:val="center"/>
              <w:rPr>
                <w:rFonts w:eastAsia="Arial" w:cs="Arial"/>
                <w:color w:val="394A58"/>
                <w:sz w:val="18"/>
                <w:szCs w:val="18"/>
              </w:rPr>
            </w:pPr>
            <w:r w:rsidRPr="00662906">
              <w:rPr>
                <w:rFonts w:eastAsia="Arial" w:cs="Arial"/>
                <w:color w:val="394A58"/>
                <w:sz w:val="18"/>
                <w:szCs w:val="18"/>
              </w:rPr>
              <w:t>Connected power pools</w:t>
            </w:r>
          </w:p>
          <w:p w14:paraId="67DDFB50" w14:textId="5E6AF38D" w:rsidR="75BD6BB8" w:rsidRPr="00662906" w:rsidRDefault="7045697D" w:rsidP="00561F4E">
            <w:pPr>
              <w:spacing w:before="40" w:after="40"/>
              <w:jc w:val="center"/>
              <w:rPr>
                <w:rFonts w:eastAsia="Arial" w:cs="Arial"/>
                <w:color w:val="394A58"/>
                <w:sz w:val="18"/>
                <w:szCs w:val="18"/>
              </w:rPr>
            </w:pPr>
            <w:r w:rsidRPr="00662906">
              <w:rPr>
                <w:rFonts w:eastAsia="Arial" w:cs="Arial"/>
                <w:color w:val="394A58"/>
                <w:sz w:val="18"/>
                <w:szCs w:val="18"/>
              </w:rPr>
              <w:t>T&amp;D losses %</w:t>
            </w:r>
          </w:p>
          <w:p w14:paraId="13B81B6C" w14:textId="480E5FA8" w:rsidR="75BD6BB8" w:rsidRPr="00662906" w:rsidRDefault="7045697D" w:rsidP="00561F4E">
            <w:pPr>
              <w:spacing w:before="40" w:after="40"/>
              <w:jc w:val="center"/>
              <w:rPr>
                <w:rFonts w:eastAsia="Arial" w:cs="Arial"/>
                <w:color w:val="394A58"/>
                <w:sz w:val="18"/>
                <w:szCs w:val="18"/>
              </w:rPr>
            </w:pPr>
            <w:r w:rsidRPr="00662906">
              <w:rPr>
                <w:rFonts w:eastAsia="Arial" w:cs="Arial"/>
                <w:color w:val="394A58"/>
                <w:sz w:val="18"/>
                <w:szCs w:val="18"/>
              </w:rPr>
              <w:t>Traded electricity GWh</w:t>
            </w:r>
          </w:p>
          <w:p w14:paraId="73E479A1" w14:textId="1B89FAE0" w:rsidR="75BD6BB8" w:rsidRPr="00662906" w:rsidRDefault="7045697D" w:rsidP="00561F4E">
            <w:pPr>
              <w:spacing w:before="40" w:after="40" w:line="214" w:lineRule="auto"/>
              <w:jc w:val="center"/>
              <w:rPr>
                <w:rFonts w:eastAsia="Arial" w:cs="Arial"/>
                <w:color w:val="394A58"/>
                <w:sz w:val="18"/>
                <w:szCs w:val="18"/>
              </w:rPr>
            </w:pPr>
            <w:r w:rsidRPr="00662906">
              <w:rPr>
                <w:rFonts w:eastAsia="Arial" w:cs="Arial"/>
                <w:color w:val="394A58"/>
                <w:sz w:val="18"/>
                <w:szCs w:val="18"/>
              </w:rPr>
              <w:t>New Smart network systems</w:t>
            </w:r>
          </w:p>
          <w:p w14:paraId="5E3D8654" w14:textId="58B02F8B" w:rsidR="75BD6BB8" w:rsidRPr="00662906" w:rsidRDefault="75BD6BB8" w:rsidP="00561F4E">
            <w:pPr>
              <w:spacing w:before="40" w:after="40" w:line="214" w:lineRule="auto"/>
              <w:jc w:val="center"/>
              <w:rPr>
                <w:rFonts w:eastAsia="Arial" w:cs="Arial"/>
                <w:color w:val="394A58"/>
                <w:sz w:val="18"/>
                <w:szCs w:val="18"/>
              </w:rPr>
            </w:pPr>
          </w:p>
        </w:tc>
      </w:tr>
      <w:tr w:rsidR="75BD6BB8" w:rsidRPr="00662906" w14:paraId="06B4E923" w14:textId="77777777" w:rsidTr="00561F4E">
        <w:trPr>
          <w:trHeight w:val="300"/>
        </w:trPr>
        <w:tc>
          <w:tcPr>
            <w:tcW w:w="1454" w:type="dxa"/>
            <w:vMerge w:val="restart"/>
            <w:shd w:val="clear" w:color="auto" w:fill="FFFFFF" w:themeFill="background2"/>
            <w:tcMar>
              <w:left w:w="108" w:type="dxa"/>
              <w:right w:w="108" w:type="dxa"/>
            </w:tcMar>
            <w:vAlign w:val="center"/>
          </w:tcPr>
          <w:p w14:paraId="0A99933F" w14:textId="6A789E6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Transport subsector</w:t>
            </w:r>
          </w:p>
        </w:tc>
        <w:tc>
          <w:tcPr>
            <w:tcW w:w="1520" w:type="dxa"/>
            <w:vMerge w:val="restart"/>
            <w:shd w:val="clear" w:color="auto" w:fill="FFFFFF" w:themeFill="background2"/>
            <w:tcMar>
              <w:left w:w="108" w:type="dxa"/>
              <w:right w:w="108" w:type="dxa"/>
            </w:tcMar>
            <w:vAlign w:val="center"/>
          </w:tcPr>
          <w:p w14:paraId="360748B6" w14:textId="30619E40"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 xml:space="preserve">Advance Sustainable </w:t>
            </w:r>
            <w:r w:rsidRPr="00662906">
              <w:rPr>
                <w:rFonts w:eastAsia="Arial" w:cs="Arial"/>
                <w:color w:val="394A58"/>
                <w:sz w:val="18"/>
                <w:szCs w:val="18"/>
              </w:rPr>
              <w:lastRenderedPageBreak/>
              <w:t>Transport Solutions</w:t>
            </w:r>
          </w:p>
        </w:tc>
        <w:tc>
          <w:tcPr>
            <w:tcW w:w="2084" w:type="dxa"/>
            <w:shd w:val="clear" w:color="auto" w:fill="FFFFFF" w:themeFill="background2"/>
            <w:tcMar>
              <w:left w:w="108" w:type="dxa"/>
              <w:right w:w="108" w:type="dxa"/>
            </w:tcMar>
            <w:vAlign w:val="center"/>
          </w:tcPr>
          <w:p w14:paraId="07A80F44" w14:textId="2C00C60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lastRenderedPageBreak/>
              <w:t xml:space="preserve">Strategic Intervention 1. Promoting introduction of various NEVs and clean fuels </w:t>
            </w:r>
            <w:r w:rsidRPr="00662906">
              <w:rPr>
                <w:rFonts w:eastAsia="Arial" w:cs="Arial"/>
                <w:color w:val="394A58"/>
                <w:sz w:val="18"/>
                <w:szCs w:val="18"/>
              </w:rPr>
              <w:lastRenderedPageBreak/>
              <w:t>in various sub sectors of the transport sector.</w:t>
            </w:r>
          </w:p>
        </w:tc>
        <w:tc>
          <w:tcPr>
            <w:tcW w:w="1872" w:type="dxa"/>
            <w:shd w:val="clear" w:color="auto" w:fill="FFFFFF" w:themeFill="background2"/>
            <w:tcMar>
              <w:left w:w="108" w:type="dxa"/>
              <w:right w:w="108" w:type="dxa"/>
            </w:tcMar>
            <w:vAlign w:val="center"/>
          </w:tcPr>
          <w:p w14:paraId="6B119F9E" w14:textId="4E912DDB"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lastRenderedPageBreak/>
              <w:t>Population/fleet of NEVs</w:t>
            </w:r>
          </w:p>
          <w:p w14:paraId="3763BA8E" w14:textId="34B8FC84"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lastRenderedPageBreak/>
              <w:t>Clean fuel</w:t>
            </w:r>
            <w:r w:rsidR="00EB290A" w:rsidRPr="00662906">
              <w:rPr>
                <w:rFonts w:eastAsia="Arial" w:cs="Arial"/>
                <w:color w:val="394A58"/>
                <w:sz w:val="18"/>
                <w:szCs w:val="18"/>
              </w:rPr>
              <w:t>s</w:t>
            </w:r>
            <w:r w:rsidRPr="00662906">
              <w:rPr>
                <w:rFonts w:eastAsia="Arial" w:cs="Arial"/>
                <w:color w:val="394A58"/>
                <w:sz w:val="18"/>
                <w:szCs w:val="18"/>
              </w:rPr>
              <w:t>/ used in transport</w:t>
            </w:r>
          </w:p>
        </w:tc>
        <w:tc>
          <w:tcPr>
            <w:tcW w:w="2084" w:type="dxa"/>
            <w:shd w:val="clear" w:color="auto" w:fill="FFFFFF" w:themeFill="background2"/>
            <w:tcMar>
              <w:left w:w="108" w:type="dxa"/>
              <w:right w:w="108" w:type="dxa"/>
            </w:tcMar>
            <w:vAlign w:val="center"/>
          </w:tcPr>
          <w:p w14:paraId="50BE51EF" w14:textId="6B51022A"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lastRenderedPageBreak/>
              <w:t>Number of NEV by type</w:t>
            </w:r>
          </w:p>
          <w:p w14:paraId="7C1F2F07" w14:textId="37BC19DD"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lastRenderedPageBreak/>
              <w:t xml:space="preserve">Quantity of </w:t>
            </w:r>
            <w:r w:rsidR="00BC1E19" w:rsidRPr="00662906">
              <w:rPr>
                <w:rFonts w:eastAsia="Arial" w:cs="Arial"/>
                <w:color w:val="394A58"/>
                <w:sz w:val="18"/>
                <w:szCs w:val="18"/>
              </w:rPr>
              <w:t>clean fuels</w:t>
            </w:r>
            <w:r w:rsidRPr="00662906">
              <w:rPr>
                <w:rFonts w:eastAsia="Arial" w:cs="Arial"/>
                <w:color w:val="394A58"/>
                <w:sz w:val="18"/>
                <w:szCs w:val="18"/>
              </w:rPr>
              <w:t xml:space="preserve"> supplied to transport sector</w:t>
            </w:r>
          </w:p>
          <w:p w14:paraId="2A4B0DBC" w14:textId="68749D7A" w:rsidR="00BC1E19" w:rsidRPr="00662906" w:rsidRDefault="00BC1E19" w:rsidP="00561F4E">
            <w:pPr>
              <w:spacing w:after="0"/>
              <w:jc w:val="center"/>
              <w:rPr>
                <w:rFonts w:eastAsia="Arial" w:cs="Arial"/>
                <w:color w:val="394A58"/>
                <w:sz w:val="18"/>
                <w:szCs w:val="18"/>
              </w:rPr>
            </w:pPr>
            <w:r w:rsidRPr="00662906">
              <w:rPr>
                <w:rFonts w:eastAsia="Arial" w:cs="Arial"/>
                <w:color w:val="394A58"/>
                <w:sz w:val="18"/>
                <w:szCs w:val="18"/>
              </w:rPr>
              <w:t xml:space="preserve">Estimated GHG reductions by </w:t>
            </w:r>
            <w:r w:rsidR="00EB290A" w:rsidRPr="00662906">
              <w:rPr>
                <w:rFonts w:eastAsia="Arial" w:cs="Arial"/>
                <w:color w:val="394A58"/>
                <w:sz w:val="18"/>
                <w:szCs w:val="18"/>
              </w:rPr>
              <w:t>NEV</w:t>
            </w:r>
            <w:r w:rsidR="008A2BB5" w:rsidRPr="00662906">
              <w:rPr>
                <w:rFonts w:eastAsia="Arial" w:cs="Arial"/>
                <w:color w:val="394A58"/>
                <w:sz w:val="18"/>
                <w:szCs w:val="18"/>
              </w:rPr>
              <w:t>s</w:t>
            </w:r>
            <w:r w:rsidR="00EB290A" w:rsidRPr="00662906">
              <w:rPr>
                <w:rFonts w:eastAsia="Arial" w:cs="Arial"/>
                <w:color w:val="394A58"/>
                <w:sz w:val="18"/>
                <w:szCs w:val="18"/>
              </w:rPr>
              <w:t xml:space="preserve"> and Clean fuels</w:t>
            </w:r>
          </w:p>
        </w:tc>
      </w:tr>
      <w:tr w:rsidR="75BD6BB8" w:rsidRPr="00662906" w14:paraId="34B46CB3" w14:textId="77777777" w:rsidTr="00561F4E">
        <w:trPr>
          <w:trHeight w:val="300"/>
        </w:trPr>
        <w:tc>
          <w:tcPr>
            <w:tcW w:w="1454" w:type="dxa"/>
            <w:vMerge/>
            <w:vAlign w:val="center"/>
          </w:tcPr>
          <w:p w14:paraId="10AF5D06" w14:textId="77777777" w:rsidR="00E02662" w:rsidRPr="00662906" w:rsidRDefault="00E02662" w:rsidP="00561F4E">
            <w:pPr>
              <w:jc w:val="center"/>
              <w:rPr>
                <w:rFonts w:cs="Arial"/>
                <w:sz w:val="18"/>
                <w:szCs w:val="18"/>
              </w:rPr>
            </w:pPr>
          </w:p>
        </w:tc>
        <w:tc>
          <w:tcPr>
            <w:tcW w:w="1520" w:type="dxa"/>
            <w:vMerge/>
            <w:vAlign w:val="center"/>
          </w:tcPr>
          <w:p w14:paraId="3C8A716A"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4929CAC9" w14:textId="4638F8D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 xml:space="preserve">Strategic Intervention 2: </w:t>
            </w:r>
            <w:r w:rsidR="005C2DB4" w:rsidRPr="00662906">
              <w:rPr>
                <w:rFonts w:eastAsia="Arial" w:cs="Arial"/>
                <w:color w:val="394A58"/>
                <w:sz w:val="18"/>
                <w:szCs w:val="18"/>
              </w:rPr>
              <w:t>Transitioning the conventional transport systems to multi-modal transport systems for efficient use and energy demand reduction.</w:t>
            </w:r>
          </w:p>
        </w:tc>
        <w:tc>
          <w:tcPr>
            <w:tcW w:w="1872" w:type="dxa"/>
            <w:shd w:val="clear" w:color="auto" w:fill="FFFFFF" w:themeFill="background2"/>
            <w:tcMar>
              <w:left w:w="108" w:type="dxa"/>
              <w:right w:w="108" w:type="dxa"/>
            </w:tcMar>
            <w:vAlign w:val="center"/>
          </w:tcPr>
          <w:p w14:paraId="4DFB10B9" w14:textId="12AE5959" w:rsidR="75BD6BB8" w:rsidRPr="00662906" w:rsidRDefault="004A0E7E" w:rsidP="00561F4E">
            <w:pPr>
              <w:spacing w:after="0"/>
              <w:jc w:val="center"/>
              <w:rPr>
                <w:rFonts w:eastAsia="Arial" w:cs="Arial"/>
                <w:color w:val="394A58"/>
                <w:sz w:val="18"/>
                <w:szCs w:val="18"/>
              </w:rPr>
            </w:pPr>
            <w:r w:rsidRPr="00662906">
              <w:rPr>
                <w:rFonts w:eastAsia="Arial" w:cs="Arial"/>
                <w:color w:val="394A58"/>
                <w:sz w:val="18"/>
                <w:szCs w:val="18"/>
              </w:rPr>
              <w:t>Services</w:t>
            </w:r>
            <w:r w:rsidR="75BD6BB8" w:rsidRPr="00662906">
              <w:rPr>
                <w:rFonts w:eastAsia="Arial" w:cs="Arial"/>
                <w:color w:val="394A58"/>
                <w:sz w:val="18"/>
                <w:szCs w:val="18"/>
              </w:rPr>
              <w:t xml:space="preserve"> accessibility </w:t>
            </w:r>
            <w:r w:rsidR="00EB290A" w:rsidRPr="00662906">
              <w:rPr>
                <w:rFonts w:eastAsia="Arial" w:cs="Arial"/>
                <w:color w:val="394A58"/>
                <w:sz w:val="18"/>
                <w:szCs w:val="18"/>
              </w:rPr>
              <w:t>and mobility</w:t>
            </w:r>
          </w:p>
        </w:tc>
        <w:tc>
          <w:tcPr>
            <w:tcW w:w="2084" w:type="dxa"/>
            <w:shd w:val="clear" w:color="auto" w:fill="FFFFFF" w:themeFill="background2"/>
            <w:tcMar>
              <w:left w:w="108" w:type="dxa"/>
              <w:right w:w="108" w:type="dxa"/>
            </w:tcMar>
            <w:vAlign w:val="center"/>
          </w:tcPr>
          <w:p w14:paraId="0E611BC7" w14:textId="45A662A1"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Passenger</w:t>
            </w:r>
            <w:r w:rsidR="00EB290A" w:rsidRPr="00662906">
              <w:rPr>
                <w:rFonts w:eastAsia="Arial" w:cs="Arial"/>
                <w:color w:val="394A58"/>
                <w:sz w:val="18"/>
                <w:szCs w:val="18"/>
              </w:rPr>
              <w:t>/tonne</w:t>
            </w:r>
            <w:r w:rsidRPr="00662906">
              <w:rPr>
                <w:rFonts w:eastAsia="Arial" w:cs="Arial"/>
                <w:color w:val="394A58"/>
                <w:sz w:val="18"/>
                <w:szCs w:val="18"/>
              </w:rPr>
              <w:t xml:space="preserve"> km per year/capita</w:t>
            </w:r>
          </w:p>
          <w:p w14:paraId="1519919A" w14:textId="777CF626" w:rsidR="00EB290A" w:rsidRPr="00662906" w:rsidRDefault="00EB290A" w:rsidP="00561F4E">
            <w:pPr>
              <w:spacing w:after="0"/>
              <w:jc w:val="center"/>
              <w:rPr>
                <w:rFonts w:eastAsia="Arial" w:cs="Arial"/>
                <w:color w:val="394A58"/>
                <w:sz w:val="18"/>
                <w:szCs w:val="18"/>
              </w:rPr>
            </w:pPr>
            <w:r w:rsidRPr="00662906">
              <w:rPr>
                <w:rFonts w:eastAsia="Arial" w:cs="Arial"/>
                <w:color w:val="394A58"/>
                <w:sz w:val="18"/>
                <w:szCs w:val="18"/>
              </w:rPr>
              <w:t>Estimated GHG per P-km and T-km</w:t>
            </w:r>
          </w:p>
        </w:tc>
      </w:tr>
      <w:tr w:rsidR="75BD6BB8" w:rsidRPr="00662906" w14:paraId="43706861" w14:textId="77777777" w:rsidTr="00561F4E">
        <w:trPr>
          <w:trHeight w:val="300"/>
        </w:trPr>
        <w:tc>
          <w:tcPr>
            <w:tcW w:w="1454" w:type="dxa"/>
            <w:vMerge w:val="restart"/>
            <w:shd w:val="clear" w:color="auto" w:fill="FFFFFF" w:themeFill="background2"/>
            <w:tcMar>
              <w:left w:w="108" w:type="dxa"/>
              <w:right w:w="108" w:type="dxa"/>
            </w:tcMar>
            <w:vAlign w:val="center"/>
          </w:tcPr>
          <w:p w14:paraId="03799651" w14:textId="51458A6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Buildings</w:t>
            </w:r>
          </w:p>
        </w:tc>
        <w:tc>
          <w:tcPr>
            <w:tcW w:w="1520" w:type="dxa"/>
            <w:vMerge w:val="restart"/>
            <w:shd w:val="clear" w:color="auto" w:fill="FFFFFF" w:themeFill="background2"/>
            <w:tcMar>
              <w:left w:w="108" w:type="dxa"/>
              <w:right w:w="108" w:type="dxa"/>
            </w:tcMar>
            <w:vAlign w:val="center"/>
          </w:tcPr>
          <w:p w14:paraId="02CCBBEE" w14:textId="1B229647"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Elevate Building Standards for Energy</w:t>
            </w:r>
          </w:p>
        </w:tc>
        <w:tc>
          <w:tcPr>
            <w:tcW w:w="2084" w:type="dxa"/>
            <w:shd w:val="clear" w:color="auto" w:fill="FFFFFF" w:themeFill="background2"/>
            <w:tcMar>
              <w:left w:w="108" w:type="dxa"/>
              <w:right w:w="108" w:type="dxa"/>
            </w:tcMar>
            <w:vAlign w:val="center"/>
          </w:tcPr>
          <w:p w14:paraId="2C23575E" w14:textId="18EBE8D4"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1: Strengthen and adopt compliance with building energy codes</w:t>
            </w:r>
          </w:p>
        </w:tc>
        <w:tc>
          <w:tcPr>
            <w:tcW w:w="1872" w:type="dxa"/>
            <w:shd w:val="clear" w:color="auto" w:fill="FFFFFF" w:themeFill="background2"/>
            <w:tcMar>
              <w:left w:w="108" w:type="dxa"/>
              <w:right w:w="108" w:type="dxa"/>
            </w:tcMar>
            <w:vAlign w:val="center"/>
          </w:tcPr>
          <w:p w14:paraId="616764CA" w14:textId="2D4FC7FC"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Adoption of building codes by buildings</w:t>
            </w:r>
          </w:p>
        </w:tc>
        <w:tc>
          <w:tcPr>
            <w:tcW w:w="2084" w:type="dxa"/>
            <w:shd w:val="clear" w:color="auto" w:fill="FFFFFF" w:themeFill="background2"/>
            <w:tcMar>
              <w:left w:w="108" w:type="dxa"/>
              <w:right w:w="108" w:type="dxa"/>
            </w:tcMar>
            <w:vAlign w:val="center"/>
          </w:tcPr>
          <w:p w14:paraId="49F72F41" w14:textId="68B7E683"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 xml:space="preserve">No of </w:t>
            </w:r>
            <w:r w:rsidR="00FF7A9F" w:rsidRPr="00662906">
              <w:rPr>
                <w:rFonts w:eastAsia="Arial" w:cs="Arial"/>
                <w:color w:val="394A58"/>
                <w:sz w:val="18"/>
                <w:szCs w:val="18"/>
              </w:rPr>
              <w:t>AU Member States</w:t>
            </w:r>
            <w:r w:rsidRPr="00662906">
              <w:rPr>
                <w:rFonts w:eastAsia="Arial" w:cs="Arial"/>
                <w:color w:val="394A58"/>
                <w:sz w:val="18"/>
                <w:szCs w:val="18"/>
              </w:rPr>
              <w:t xml:space="preserve"> with harmonized building codes</w:t>
            </w:r>
          </w:p>
        </w:tc>
      </w:tr>
      <w:tr w:rsidR="75BD6BB8" w:rsidRPr="00662906" w14:paraId="1A21E19A" w14:textId="77777777" w:rsidTr="00561F4E">
        <w:trPr>
          <w:trHeight w:val="300"/>
        </w:trPr>
        <w:tc>
          <w:tcPr>
            <w:tcW w:w="1454" w:type="dxa"/>
            <w:vMerge/>
            <w:vAlign w:val="center"/>
          </w:tcPr>
          <w:p w14:paraId="0E6E2D89" w14:textId="77777777" w:rsidR="00E02662" w:rsidRPr="00662906" w:rsidRDefault="00E02662" w:rsidP="00561F4E">
            <w:pPr>
              <w:jc w:val="center"/>
              <w:rPr>
                <w:rFonts w:cs="Arial"/>
                <w:sz w:val="18"/>
                <w:szCs w:val="18"/>
              </w:rPr>
            </w:pPr>
          </w:p>
        </w:tc>
        <w:tc>
          <w:tcPr>
            <w:tcW w:w="1520" w:type="dxa"/>
            <w:vMerge/>
            <w:vAlign w:val="center"/>
          </w:tcPr>
          <w:p w14:paraId="7B3E4B3D"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04A98DF6" w14:textId="721312DE"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2: Boost market demand for Energy Efficient buildings</w:t>
            </w:r>
          </w:p>
        </w:tc>
        <w:tc>
          <w:tcPr>
            <w:tcW w:w="1872" w:type="dxa"/>
            <w:shd w:val="clear" w:color="auto" w:fill="FFFFFF" w:themeFill="background2"/>
            <w:tcMar>
              <w:left w:w="108" w:type="dxa"/>
              <w:right w:w="108" w:type="dxa"/>
            </w:tcMar>
            <w:vAlign w:val="center"/>
          </w:tcPr>
          <w:p w14:paraId="6E16D594" w14:textId="60C7C256"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Building on EE</w:t>
            </w:r>
          </w:p>
        </w:tc>
        <w:tc>
          <w:tcPr>
            <w:tcW w:w="2084" w:type="dxa"/>
            <w:shd w:val="clear" w:color="auto" w:fill="FFFFFF" w:themeFill="background2"/>
            <w:tcMar>
              <w:left w:w="108" w:type="dxa"/>
              <w:right w:w="108" w:type="dxa"/>
            </w:tcMar>
            <w:vAlign w:val="center"/>
          </w:tcPr>
          <w:p w14:paraId="3241ECC3" w14:textId="053A1FC4"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 xml:space="preserve">By Floor size </w:t>
            </w:r>
            <w:r w:rsidR="00EB290A" w:rsidRPr="00662906">
              <w:rPr>
                <w:rFonts w:eastAsia="Arial" w:cs="Arial"/>
                <w:color w:val="394A58"/>
                <w:sz w:val="18"/>
                <w:szCs w:val="18"/>
              </w:rPr>
              <w:t>(m</w:t>
            </w:r>
            <w:r w:rsidR="00EB290A" w:rsidRPr="00662906">
              <w:rPr>
                <w:rFonts w:eastAsia="Arial" w:cs="Arial"/>
                <w:color w:val="394A58"/>
                <w:sz w:val="18"/>
                <w:szCs w:val="18"/>
                <w:vertAlign w:val="superscript"/>
              </w:rPr>
              <w:t>2</w:t>
            </w:r>
            <w:r w:rsidR="00EB290A" w:rsidRPr="00662906">
              <w:rPr>
                <w:rFonts w:eastAsia="Arial" w:cs="Arial"/>
                <w:color w:val="394A58"/>
                <w:sz w:val="18"/>
                <w:szCs w:val="18"/>
              </w:rPr>
              <w:t>)</w:t>
            </w:r>
          </w:p>
        </w:tc>
      </w:tr>
      <w:tr w:rsidR="75BD6BB8" w:rsidRPr="00662906" w14:paraId="07CB9059" w14:textId="77777777" w:rsidTr="00561F4E">
        <w:trPr>
          <w:trHeight w:val="300"/>
        </w:trPr>
        <w:tc>
          <w:tcPr>
            <w:tcW w:w="1454" w:type="dxa"/>
            <w:vMerge/>
            <w:vAlign w:val="center"/>
          </w:tcPr>
          <w:p w14:paraId="6AEBFF8B" w14:textId="77777777" w:rsidR="00E02662" w:rsidRPr="00662906" w:rsidRDefault="00E02662" w:rsidP="00561F4E">
            <w:pPr>
              <w:jc w:val="center"/>
              <w:rPr>
                <w:rFonts w:cs="Arial"/>
                <w:sz w:val="18"/>
                <w:szCs w:val="18"/>
              </w:rPr>
            </w:pPr>
          </w:p>
        </w:tc>
        <w:tc>
          <w:tcPr>
            <w:tcW w:w="1520" w:type="dxa"/>
            <w:vMerge/>
            <w:vAlign w:val="center"/>
          </w:tcPr>
          <w:p w14:paraId="1AA87209"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589AE212" w14:textId="6A77487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3: Boost capacity for delivering energy efficient buildings</w:t>
            </w:r>
          </w:p>
        </w:tc>
        <w:tc>
          <w:tcPr>
            <w:tcW w:w="1872" w:type="dxa"/>
            <w:shd w:val="clear" w:color="auto" w:fill="FFFFFF" w:themeFill="background2"/>
            <w:tcMar>
              <w:left w:w="108" w:type="dxa"/>
              <w:right w:w="108" w:type="dxa"/>
            </w:tcMar>
            <w:vAlign w:val="center"/>
          </w:tcPr>
          <w:p w14:paraId="0090E4F3" w14:textId="3108C4CE"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Experts Accreditation Scheme and accreditation of Trained experts for EE in buildings</w:t>
            </w:r>
          </w:p>
        </w:tc>
        <w:tc>
          <w:tcPr>
            <w:tcW w:w="2084" w:type="dxa"/>
            <w:shd w:val="clear" w:color="auto" w:fill="FFFFFF" w:themeFill="background2"/>
            <w:tcMar>
              <w:left w:w="108" w:type="dxa"/>
              <w:right w:w="108" w:type="dxa"/>
            </w:tcMar>
            <w:vAlign w:val="center"/>
          </w:tcPr>
          <w:p w14:paraId="63DFD4F3" w14:textId="7D23D44B"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No and types</w:t>
            </w:r>
            <w:r w:rsidR="00EB290A" w:rsidRPr="00662906">
              <w:rPr>
                <w:rFonts w:eastAsia="Arial" w:cs="Arial"/>
                <w:color w:val="394A58"/>
                <w:sz w:val="18"/>
                <w:szCs w:val="18"/>
              </w:rPr>
              <w:t xml:space="preserve"> of skills</w:t>
            </w:r>
          </w:p>
        </w:tc>
      </w:tr>
      <w:tr w:rsidR="75BD6BB8" w:rsidRPr="00662906" w14:paraId="3A42A3A5" w14:textId="77777777" w:rsidTr="00561F4E">
        <w:trPr>
          <w:trHeight w:val="300"/>
        </w:trPr>
        <w:tc>
          <w:tcPr>
            <w:tcW w:w="1454" w:type="dxa"/>
            <w:vMerge w:val="restart"/>
            <w:shd w:val="clear" w:color="auto" w:fill="FFFFFF" w:themeFill="background2"/>
            <w:tcMar>
              <w:left w:w="108" w:type="dxa"/>
              <w:right w:w="108" w:type="dxa"/>
            </w:tcMar>
            <w:vAlign w:val="center"/>
          </w:tcPr>
          <w:p w14:paraId="1103DFFD" w14:textId="46CD4F1E"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Industry</w:t>
            </w:r>
          </w:p>
        </w:tc>
        <w:tc>
          <w:tcPr>
            <w:tcW w:w="1520" w:type="dxa"/>
            <w:vMerge w:val="restart"/>
            <w:shd w:val="clear" w:color="auto" w:fill="FFFFFF" w:themeFill="background2"/>
            <w:tcMar>
              <w:left w:w="108" w:type="dxa"/>
              <w:right w:w="108" w:type="dxa"/>
            </w:tcMar>
            <w:vAlign w:val="center"/>
          </w:tcPr>
          <w:p w14:paraId="4A795F4D" w14:textId="629443FF"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Foster Sustainable and transformative Industrial Development:</w:t>
            </w:r>
          </w:p>
        </w:tc>
        <w:tc>
          <w:tcPr>
            <w:tcW w:w="2084" w:type="dxa"/>
            <w:shd w:val="clear" w:color="auto" w:fill="FFFFFF" w:themeFill="background2"/>
            <w:tcMar>
              <w:left w:w="108" w:type="dxa"/>
              <w:right w:w="108" w:type="dxa"/>
            </w:tcMar>
            <w:vAlign w:val="center"/>
          </w:tcPr>
          <w:p w14:paraId="76444752" w14:textId="69B7C751" w:rsidR="75BD6BB8" w:rsidRPr="00662906" w:rsidRDefault="004A0E7E" w:rsidP="00561F4E">
            <w:pPr>
              <w:spacing w:before="40" w:after="40"/>
              <w:jc w:val="center"/>
              <w:rPr>
                <w:rFonts w:eastAsia="Arial" w:cs="Arial"/>
                <w:color w:val="394A58"/>
                <w:sz w:val="18"/>
                <w:szCs w:val="18"/>
              </w:rPr>
            </w:pPr>
            <w:r w:rsidRPr="00662906">
              <w:rPr>
                <w:rFonts w:eastAsia="Arial" w:cs="Arial"/>
                <w:color w:val="394A58"/>
                <w:sz w:val="18"/>
                <w:szCs w:val="18"/>
              </w:rPr>
              <w:t>Target reduction</w:t>
            </w:r>
            <w:r w:rsidR="2E44B90C" w:rsidRPr="00662906">
              <w:rPr>
                <w:rFonts w:eastAsia="Arial" w:cs="Arial"/>
                <w:color w:val="394A58"/>
                <w:sz w:val="18"/>
                <w:szCs w:val="18"/>
              </w:rPr>
              <w:t xml:space="preserve"> of fossil fuel demand in industry through fuel substitution, RE supply and EE Practices</w:t>
            </w:r>
          </w:p>
        </w:tc>
        <w:tc>
          <w:tcPr>
            <w:tcW w:w="1872" w:type="dxa"/>
            <w:shd w:val="clear" w:color="auto" w:fill="FFFFFF" w:themeFill="background2"/>
            <w:tcMar>
              <w:left w:w="108" w:type="dxa"/>
              <w:right w:w="108" w:type="dxa"/>
            </w:tcMar>
            <w:vAlign w:val="center"/>
          </w:tcPr>
          <w:p w14:paraId="6B6AFC36" w14:textId="56DF0A73"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Fossil fuel consumption in industry</w:t>
            </w:r>
          </w:p>
          <w:p w14:paraId="7B0089FB" w14:textId="66B0F53F" w:rsidR="75BD6BB8" w:rsidRPr="00662906" w:rsidRDefault="2E44B90C" w:rsidP="00561F4E">
            <w:pPr>
              <w:spacing w:before="40" w:after="40"/>
              <w:jc w:val="center"/>
              <w:rPr>
                <w:rFonts w:eastAsia="Arial" w:cs="Arial"/>
                <w:color w:val="394A58"/>
                <w:sz w:val="18"/>
                <w:szCs w:val="18"/>
              </w:rPr>
            </w:pPr>
            <w:r w:rsidRPr="00662906">
              <w:rPr>
                <w:rFonts w:eastAsia="Arial" w:cs="Arial"/>
                <w:color w:val="394A58"/>
                <w:sz w:val="18"/>
                <w:szCs w:val="18"/>
              </w:rPr>
              <w:t>RE deployed in the sector</w:t>
            </w:r>
          </w:p>
          <w:p w14:paraId="7A7E27AC" w14:textId="3B31773B" w:rsidR="75BD6BB8" w:rsidRPr="00662906" w:rsidRDefault="75BD6BB8" w:rsidP="00561F4E">
            <w:pPr>
              <w:spacing w:before="40" w:after="40"/>
              <w:jc w:val="center"/>
              <w:rPr>
                <w:rFonts w:eastAsia="Arial" w:cs="Arial"/>
                <w:color w:val="394A58"/>
                <w:sz w:val="18"/>
                <w:szCs w:val="18"/>
              </w:rPr>
            </w:pPr>
          </w:p>
        </w:tc>
        <w:tc>
          <w:tcPr>
            <w:tcW w:w="2084" w:type="dxa"/>
            <w:shd w:val="clear" w:color="auto" w:fill="FFFFFF" w:themeFill="background2"/>
            <w:tcMar>
              <w:left w:w="108" w:type="dxa"/>
              <w:right w:w="108" w:type="dxa"/>
            </w:tcMar>
            <w:vAlign w:val="center"/>
          </w:tcPr>
          <w:p w14:paraId="2FE1D393" w14:textId="15FEBC06"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 of fossil fuels used in industry subsector</w:t>
            </w:r>
          </w:p>
          <w:p w14:paraId="2FA66936" w14:textId="4A666BA1"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%RE</w:t>
            </w:r>
          </w:p>
        </w:tc>
      </w:tr>
      <w:tr w:rsidR="75BD6BB8" w:rsidRPr="00662906" w14:paraId="7EC817D4" w14:textId="77777777" w:rsidTr="00561F4E">
        <w:trPr>
          <w:trHeight w:val="300"/>
        </w:trPr>
        <w:tc>
          <w:tcPr>
            <w:tcW w:w="1454" w:type="dxa"/>
            <w:vMerge/>
            <w:vAlign w:val="center"/>
          </w:tcPr>
          <w:p w14:paraId="1D744656" w14:textId="77777777" w:rsidR="00E02662" w:rsidRPr="00662906" w:rsidRDefault="00E02662" w:rsidP="00561F4E">
            <w:pPr>
              <w:jc w:val="center"/>
              <w:rPr>
                <w:rFonts w:cs="Arial"/>
                <w:sz w:val="18"/>
                <w:szCs w:val="18"/>
              </w:rPr>
            </w:pPr>
          </w:p>
        </w:tc>
        <w:tc>
          <w:tcPr>
            <w:tcW w:w="1520" w:type="dxa"/>
            <w:vMerge/>
            <w:vAlign w:val="center"/>
          </w:tcPr>
          <w:p w14:paraId="5C4BD4C6"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36FF9BCB" w14:textId="540CBAA8" w:rsidR="75BD6BB8" w:rsidRPr="00662906" w:rsidRDefault="2E44B90C" w:rsidP="00561F4E">
            <w:pPr>
              <w:spacing w:before="40" w:after="40"/>
              <w:jc w:val="center"/>
              <w:rPr>
                <w:rFonts w:eastAsia="Arial" w:cs="Arial"/>
                <w:color w:val="394A58"/>
                <w:sz w:val="18"/>
                <w:szCs w:val="18"/>
              </w:rPr>
            </w:pPr>
            <w:r w:rsidRPr="00662906">
              <w:rPr>
                <w:rFonts w:eastAsia="Arial" w:cs="Arial"/>
                <w:color w:val="394A58"/>
                <w:sz w:val="18"/>
                <w:szCs w:val="18"/>
              </w:rPr>
              <w:t xml:space="preserve">Strategic Intervention 2. Transformative industrialization </w:t>
            </w:r>
            <w:r w:rsidR="1F95C935" w:rsidRPr="00662906">
              <w:rPr>
                <w:rFonts w:eastAsia="Arial" w:cs="Arial"/>
                <w:color w:val="394A58"/>
                <w:sz w:val="18"/>
                <w:szCs w:val="18"/>
              </w:rPr>
              <w:t>to leverage</w:t>
            </w:r>
            <w:r w:rsidRPr="00662906">
              <w:rPr>
                <w:rFonts w:eastAsia="Arial" w:cs="Arial"/>
                <w:color w:val="394A58"/>
                <w:sz w:val="18"/>
                <w:szCs w:val="18"/>
              </w:rPr>
              <w:t xml:space="preserve"> Africa’s comparative advantage</w:t>
            </w:r>
          </w:p>
        </w:tc>
        <w:tc>
          <w:tcPr>
            <w:tcW w:w="1872" w:type="dxa"/>
            <w:shd w:val="clear" w:color="auto" w:fill="FFFFFF" w:themeFill="background2"/>
            <w:tcMar>
              <w:left w:w="108" w:type="dxa"/>
              <w:right w:w="108" w:type="dxa"/>
            </w:tcMar>
            <w:vAlign w:val="center"/>
          </w:tcPr>
          <w:p w14:paraId="0451550F" w14:textId="0761A4A3" w:rsidR="75BD6BB8" w:rsidRPr="00662906" w:rsidRDefault="40EF07E3" w:rsidP="00561F4E">
            <w:pPr>
              <w:spacing w:before="40" w:after="40"/>
              <w:jc w:val="center"/>
              <w:rPr>
                <w:rFonts w:eastAsia="Arial" w:cs="Arial"/>
                <w:color w:val="394A58"/>
                <w:sz w:val="18"/>
                <w:szCs w:val="18"/>
              </w:rPr>
            </w:pPr>
            <w:r w:rsidRPr="00662906">
              <w:rPr>
                <w:rFonts w:eastAsia="Arial" w:cs="Arial"/>
                <w:color w:val="394A58"/>
                <w:sz w:val="18"/>
                <w:szCs w:val="18"/>
              </w:rPr>
              <w:t>Battery and hydrogen manufacturing capacity on the continent</w:t>
            </w:r>
          </w:p>
          <w:p w14:paraId="51C652E3" w14:textId="47F5C061" w:rsidR="75BD6BB8" w:rsidRPr="00662906" w:rsidRDefault="40EF07E3" w:rsidP="00561F4E">
            <w:pPr>
              <w:spacing w:before="0" w:after="0"/>
              <w:jc w:val="center"/>
              <w:rPr>
                <w:rFonts w:eastAsia="Arial" w:cs="Arial"/>
                <w:color w:val="394A58"/>
                <w:sz w:val="18"/>
                <w:szCs w:val="18"/>
              </w:rPr>
            </w:pPr>
            <w:r w:rsidRPr="00662906">
              <w:rPr>
                <w:rFonts w:eastAsia="Arial" w:cs="Arial"/>
                <w:color w:val="394A58"/>
                <w:sz w:val="18"/>
                <w:szCs w:val="18"/>
              </w:rPr>
              <w:t>Investment in industry</w:t>
            </w:r>
          </w:p>
          <w:p w14:paraId="5862BE9C" w14:textId="78A13965" w:rsidR="75BD6BB8" w:rsidRPr="00662906" w:rsidRDefault="40EF07E3" w:rsidP="00561F4E">
            <w:pPr>
              <w:spacing w:before="40" w:after="40"/>
              <w:jc w:val="center"/>
              <w:rPr>
                <w:rFonts w:eastAsia="Arial" w:cs="Arial"/>
                <w:color w:val="394A58"/>
                <w:sz w:val="18"/>
                <w:szCs w:val="18"/>
              </w:rPr>
            </w:pPr>
            <w:r w:rsidRPr="00662906">
              <w:rPr>
                <w:rFonts w:eastAsia="Arial" w:cs="Arial"/>
                <w:color w:val="394A58"/>
                <w:sz w:val="18"/>
                <w:szCs w:val="18"/>
              </w:rPr>
              <w:t>Innovative battery and hydrogen technologies and fuels</w:t>
            </w:r>
          </w:p>
        </w:tc>
        <w:tc>
          <w:tcPr>
            <w:tcW w:w="2084" w:type="dxa"/>
            <w:shd w:val="clear" w:color="auto" w:fill="FFFFFF" w:themeFill="background2"/>
            <w:tcMar>
              <w:left w:w="108" w:type="dxa"/>
              <w:right w:w="108" w:type="dxa"/>
            </w:tcMar>
            <w:vAlign w:val="center"/>
          </w:tcPr>
          <w:p w14:paraId="35AC29A5" w14:textId="2E67AB7C"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Battery MW</w:t>
            </w:r>
          </w:p>
          <w:p w14:paraId="1FF14D21" w14:textId="4FAAD5B3"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 xml:space="preserve">Hydrogen Quantity Million </w:t>
            </w:r>
            <w:r w:rsidR="00F346CC" w:rsidRPr="00662906">
              <w:rPr>
                <w:rFonts w:eastAsia="Arial" w:cs="Arial"/>
                <w:color w:val="394A58"/>
                <w:sz w:val="18"/>
                <w:szCs w:val="18"/>
              </w:rPr>
              <w:t>Ton</w:t>
            </w:r>
            <w:r w:rsidRPr="00662906">
              <w:rPr>
                <w:rFonts w:eastAsia="Arial" w:cs="Arial"/>
                <w:color w:val="394A58"/>
                <w:sz w:val="18"/>
                <w:szCs w:val="18"/>
              </w:rPr>
              <w:t xml:space="preserve"> Hydrogen (M</w:t>
            </w:r>
            <w:r w:rsidR="00BA6EAE" w:rsidRPr="00662906">
              <w:rPr>
                <w:rFonts w:eastAsia="Arial" w:cs="Arial"/>
                <w:color w:val="394A58"/>
                <w:sz w:val="18"/>
                <w:szCs w:val="18"/>
              </w:rPr>
              <w:t>T-</w:t>
            </w:r>
            <w:r w:rsidRPr="00662906">
              <w:rPr>
                <w:rFonts w:eastAsia="Arial" w:cs="Arial"/>
                <w:color w:val="394A58"/>
                <w:sz w:val="18"/>
                <w:szCs w:val="18"/>
              </w:rPr>
              <w:t>H</w:t>
            </w:r>
            <w:r w:rsidRPr="00662906">
              <w:rPr>
                <w:rFonts w:eastAsia="Arial" w:cs="Arial"/>
                <w:color w:val="394A58"/>
                <w:sz w:val="18"/>
                <w:szCs w:val="18"/>
                <w:vertAlign w:val="subscript"/>
              </w:rPr>
              <w:t>2</w:t>
            </w:r>
            <w:r w:rsidRPr="00662906">
              <w:rPr>
                <w:rFonts w:eastAsia="Arial" w:cs="Arial"/>
                <w:color w:val="394A58"/>
                <w:sz w:val="18"/>
                <w:szCs w:val="18"/>
              </w:rPr>
              <w:t>/year)</w:t>
            </w:r>
          </w:p>
          <w:p w14:paraId="5690A4BE" w14:textId="39E227CC" w:rsidR="75BD6BB8" w:rsidRPr="00662906" w:rsidRDefault="75BD6BB8" w:rsidP="00561F4E">
            <w:pPr>
              <w:spacing w:after="0"/>
              <w:jc w:val="center"/>
              <w:rPr>
                <w:rFonts w:eastAsia="Arial" w:cs="Arial"/>
                <w:color w:val="394A58"/>
                <w:sz w:val="18"/>
                <w:szCs w:val="18"/>
              </w:rPr>
            </w:pPr>
          </w:p>
          <w:p w14:paraId="46E93BA9" w14:textId="4723B7B9" w:rsidR="75BD6BB8" w:rsidRPr="00662906" w:rsidRDefault="2E44B90C" w:rsidP="00561F4E">
            <w:pPr>
              <w:spacing w:after="0"/>
              <w:jc w:val="center"/>
              <w:rPr>
                <w:rFonts w:eastAsia="Arial" w:cs="Arial"/>
                <w:color w:val="394A58"/>
                <w:sz w:val="18"/>
                <w:szCs w:val="18"/>
              </w:rPr>
            </w:pPr>
            <w:r w:rsidRPr="00662906">
              <w:rPr>
                <w:rFonts w:eastAsia="Arial" w:cs="Arial"/>
                <w:color w:val="394A58"/>
                <w:sz w:val="18"/>
                <w:szCs w:val="18"/>
              </w:rPr>
              <w:t>US$</w:t>
            </w:r>
          </w:p>
          <w:p w14:paraId="06A61576" w14:textId="484D8CBD" w:rsidR="75BD6BB8" w:rsidRPr="00662906" w:rsidRDefault="0E5D08C6" w:rsidP="00561F4E">
            <w:pPr>
              <w:spacing w:after="0"/>
              <w:jc w:val="center"/>
              <w:rPr>
                <w:rFonts w:eastAsia="Arial" w:cs="Arial"/>
                <w:color w:val="394A58"/>
                <w:sz w:val="18"/>
                <w:szCs w:val="18"/>
              </w:rPr>
            </w:pPr>
            <w:r w:rsidRPr="00662906">
              <w:rPr>
                <w:rFonts w:eastAsia="Arial" w:cs="Arial"/>
                <w:color w:val="394A58"/>
                <w:sz w:val="18"/>
                <w:szCs w:val="18"/>
              </w:rPr>
              <w:t>New battery and hydrogen technologies and fuels</w:t>
            </w:r>
          </w:p>
        </w:tc>
      </w:tr>
      <w:tr w:rsidR="75BD6BB8" w:rsidRPr="00662906" w14:paraId="220E647C" w14:textId="77777777" w:rsidTr="00561F4E">
        <w:trPr>
          <w:trHeight w:val="300"/>
        </w:trPr>
        <w:tc>
          <w:tcPr>
            <w:tcW w:w="1454" w:type="dxa"/>
            <w:vMerge w:val="restart"/>
            <w:shd w:val="clear" w:color="auto" w:fill="FFFFFF" w:themeFill="background2"/>
            <w:tcMar>
              <w:left w:w="108" w:type="dxa"/>
              <w:right w:w="108" w:type="dxa"/>
            </w:tcMar>
            <w:vAlign w:val="center"/>
          </w:tcPr>
          <w:p w14:paraId="34D76345" w14:textId="341D9FCA"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Oil and Gas</w:t>
            </w:r>
          </w:p>
        </w:tc>
        <w:tc>
          <w:tcPr>
            <w:tcW w:w="1520" w:type="dxa"/>
            <w:vMerge w:val="restart"/>
            <w:shd w:val="clear" w:color="auto" w:fill="FFFFFF" w:themeFill="background2"/>
            <w:tcMar>
              <w:left w:w="108" w:type="dxa"/>
              <w:right w:w="108" w:type="dxa"/>
            </w:tcMar>
            <w:vAlign w:val="center"/>
          </w:tcPr>
          <w:p w14:paraId="7A4EE949" w14:textId="6F87EAB0"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Optimize Oil and Gas Sector Transition</w:t>
            </w:r>
          </w:p>
        </w:tc>
        <w:tc>
          <w:tcPr>
            <w:tcW w:w="2084" w:type="dxa"/>
            <w:shd w:val="clear" w:color="auto" w:fill="FFFFFF" w:themeFill="background2"/>
            <w:tcMar>
              <w:left w:w="108" w:type="dxa"/>
              <w:right w:w="108" w:type="dxa"/>
            </w:tcMar>
            <w:vAlign w:val="center"/>
          </w:tcPr>
          <w:p w14:paraId="29ACB53C" w14:textId="4C4347C4"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1: Sustainable supply of natural gas on the continent</w:t>
            </w:r>
          </w:p>
        </w:tc>
        <w:tc>
          <w:tcPr>
            <w:tcW w:w="1872" w:type="dxa"/>
            <w:shd w:val="clear" w:color="auto" w:fill="FFFFFF" w:themeFill="background2"/>
            <w:tcMar>
              <w:left w:w="108" w:type="dxa"/>
              <w:right w:w="108" w:type="dxa"/>
            </w:tcMar>
            <w:vAlign w:val="center"/>
          </w:tcPr>
          <w:p w14:paraId="409F531F" w14:textId="78DEB35D"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 xml:space="preserve">Existing and planned natural gas network coverage leading to </w:t>
            </w:r>
            <w:r w:rsidR="00EB290A" w:rsidRPr="00662906">
              <w:rPr>
                <w:rFonts w:eastAsia="Arial" w:cs="Arial"/>
                <w:color w:val="394A58"/>
                <w:sz w:val="18"/>
                <w:szCs w:val="18"/>
              </w:rPr>
              <w:t xml:space="preserve">increased </w:t>
            </w:r>
            <w:r w:rsidRPr="00662906">
              <w:rPr>
                <w:rFonts w:eastAsia="Arial" w:cs="Arial"/>
                <w:color w:val="394A58"/>
                <w:sz w:val="18"/>
                <w:szCs w:val="18"/>
              </w:rPr>
              <w:t>Supplied NG on the continent</w:t>
            </w:r>
          </w:p>
          <w:p w14:paraId="6AE114DD" w14:textId="4C24FE59"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Share of Natural Gas in the energy Mix</w:t>
            </w:r>
          </w:p>
          <w:p w14:paraId="7EF77C75" w14:textId="1AF1C177"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lastRenderedPageBreak/>
              <w:t>Share of Natural as in power generation</w:t>
            </w:r>
          </w:p>
        </w:tc>
        <w:tc>
          <w:tcPr>
            <w:tcW w:w="2084" w:type="dxa"/>
            <w:shd w:val="clear" w:color="auto" w:fill="FFFFFF" w:themeFill="background2"/>
            <w:tcMar>
              <w:left w:w="108" w:type="dxa"/>
              <w:right w:w="108" w:type="dxa"/>
            </w:tcMar>
            <w:vAlign w:val="center"/>
          </w:tcPr>
          <w:p w14:paraId="6965AFC4" w14:textId="06C5C24C"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lastRenderedPageBreak/>
              <w:t xml:space="preserve">Additional NG supplied </w:t>
            </w:r>
            <w:r w:rsidR="008A2BB5" w:rsidRPr="00662906">
              <w:rPr>
                <w:rFonts w:eastAsia="Arial" w:cs="Arial"/>
                <w:color w:val="394A58"/>
                <w:sz w:val="18"/>
                <w:szCs w:val="18"/>
              </w:rPr>
              <w:t>TCF</w:t>
            </w:r>
          </w:p>
          <w:p w14:paraId="23E4DD7C" w14:textId="77777777" w:rsidR="00EB290A" w:rsidRPr="00662906" w:rsidRDefault="00EB290A" w:rsidP="00561F4E">
            <w:pPr>
              <w:spacing w:after="0" w:line="230" w:lineRule="auto"/>
              <w:jc w:val="center"/>
              <w:rPr>
                <w:rFonts w:eastAsia="Arial" w:cs="Arial"/>
                <w:color w:val="394A58"/>
                <w:sz w:val="18"/>
                <w:szCs w:val="18"/>
              </w:rPr>
            </w:pPr>
          </w:p>
          <w:p w14:paraId="438D38D9" w14:textId="77777777" w:rsidR="00EB290A" w:rsidRPr="00662906" w:rsidRDefault="00EB290A" w:rsidP="00561F4E">
            <w:pPr>
              <w:spacing w:after="0" w:line="230" w:lineRule="auto"/>
              <w:jc w:val="center"/>
              <w:rPr>
                <w:rFonts w:eastAsia="Arial" w:cs="Arial"/>
                <w:color w:val="394A58"/>
                <w:sz w:val="18"/>
                <w:szCs w:val="18"/>
              </w:rPr>
            </w:pPr>
          </w:p>
          <w:p w14:paraId="49CE3D2B" w14:textId="46FE4ECF" w:rsidR="00EB290A" w:rsidRPr="00662906" w:rsidRDefault="00EB290A" w:rsidP="00561F4E">
            <w:pPr>
              <w:spacing w:after="0" w:line="230" w:lineRule="auto"/>
              <w:jc w:val="center"/>
              <w:rPr>
                <w:rFonts w:eastAsia="Arial" w:cs="Arial"/>
                <w:color w:val="394A58"/>
                <w:sz w:val="18"/>
                <w:szCs w:val="18"/>
              </w:rPr>
            </w:pPr>
            <w:r w:rsidRPr="00662906">
              <w:rPr>
                <w:rFonts w:eastAsia="Arial" w:cs="Arial"/>
                <w:color w:val="394A58"/>
                <w:sz w:val="18"/>
                <w:szCs w:val="18"/>
              </w:rPr>
              <w:t>% in the energy mix</w:t>
            </w:r>
          </w:p>
        </w:tc>
      </w:tr>
      <w:tr w:rsidR="75BD6BB8" w:rsidRPr="00662906" w14:paraId="4BFE438D" w14:textId="77777777" w:rsidTr="00561F4E">
        <w:trPr>
          <w:trHeight w:val="300"/>
        </w:trPr>
        <w:tc>
          <w:tcPr>
            <w:tcW w:w="1454" w:type="dxa"/>
            <w:vMerge/>
            <w:vAlign w:val="center"/>
          </w:tcPr>
          <w:p w14:paraId="07A4F58C" w14:textId="77777777" w:rsidR="00E02662" w:rsidRPr="00662906" w:rsidRDefault="00E02662" w:rsidP="00561F4E">
            <w:pPr>
              <w:jc w:val="center"/>
              <w:rPr>
                <w:rFonts w:cs="Arial"/>
                <w:sz w:val="18"/>
                <w:szCs w:val="18"/>
              </w:rPr>
            </w:pPr>
          </w:p>
        </w:tc>
        <w:tc>
          <w:tcPr>
            <w:tcW w:w="1520" w:type="dxa"/>
            <w:vMerge/>
            <w:vAlign w:val="center"/>
          </w:tcPr>
          <w:p w14:paraId="43221F2F"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0CF72B32" w14:textId="0ABE6755"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 xml:space="preserve">Strategic Intervention 2: </w:t>
            </w:r>
            <w:r w:rsidR="0023250B" w:rsidRPr="00662906">
              <w:rPr>
                <w:rFonts w:eastAsia="Arial" w:cs="Arial"/>
                <w:color w:val="394A58"/>
                <w:sz w:val="18"/>
                <w:szCs w:val="18"/>
              </w:rPr>
              <w:t>Promote economic and technical efficiency in the production, transport, and use of oil and gas</w:t>
            </w:r>
          </w:p>
        </w:tc>
        <w:tc>
          <w:tcPr>
            <w:tcW w:w="1872" w:type="dxa"/>
            <w:shd w:val="clear" w:color="auto" w:fill="FFFFFF" w:themeFill="background2"/>
            <w:tcMar>
              <w:left w:w="108" w:type="dxa"/>
              <w:right w:w="108" w:type="dxa"/>
            </w:tcMar>
            <w:vAlign w:val="center"/>
          </w:tcPr>
          <w:p w14:paraId="4A2DE99A" w14:textId="6C5FF5B6"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Investment into Natural gas</w:t>
            </w:r>
          </w:p>
          <w:p w14:paraId="6E41F1D2" w14:textId="423E757F"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IOC/NOC</w:t>
            </w:r>
          </w:p>
          <w:p w14:paraId="1C34B20E" w14:textId="75D4F29A"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Financial stability (profit/debts) of public energy companies</w:t>
            </w:r>
          </w:p>
          <w:p w14:paraId="26D350B1" w14:textId="07BA29B3"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Sustained subsidies</w:t>
            </w:r>
          </w:p>
        </w:tc>
        <w:tc>
          <w:tcPr>
            <w:tcW w:w="2084" w:type="dxa"/>
            <w:shd w:val="clear" w:color="auto" w:fill="FFFFFF" w:themeFill="background2"/>
            <w:tcMar>
              <w:left w:w="108" w:type="dxa"/>
              <w:right w:w="108" w:type="dxa"/>
            </w:tcMar>
            <w:vAlign w:val="center"/>
          </w:tcPr>
          <w:p w14:paraId="50F2C84C" w14:textId="1C781868"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US$</w:t>
            </w:r>
          </w:p>
        </w:tc>
      </w:tr>
      <w:tr w:rsidR="75BD6BB8" w:rsidRPr="00662906" w14:paraId="6C66BDB6" w14:textId="77777777" w:rsidTr="00561F4E">
        <w:trPr>
          <w:trHeight w:val="300"/>
        </w:trPr>
        <w:tc>
          <w:tcPr>
            <w:tcW w:w="1454" w:type="dxa"/>
            <w:vMerge/>
            <w:vAlign w:val="center"/>
          </w:tcPr>
          <w:p w14:paraId="52B83169" w14:textId="77777777" w:rsidR="00E02662" w:rsidRPr="00662906" w:rsidRDefault="00E02662" w:rsidP="00561F4E">
            <w:pPr>
              <w:jc w:val="center"/>
              <w:rPr>
                <w:rFonts w:cs="Arial"/>
                <w:sz w:val="18"/>
                <w:szCs w:val="18"/>
              </w:rPr>
            </w:pPr>
          </w:p>
        </w:tc>
        <w:tc>
          <w:tcPr>
            <w:tcW w:w="1520" w:type="dxa"/>
            <w:vMerge/>
            <w:vAlign w:val="center"/>
          </w:tcPr>
          <w:p w14:paraId="1C12C788"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47E868E4" w14:textId="464D18A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3 ESG sustainability</w:t>
            </w:r>
          </w:p>
        </w:tc>
        <w:tc>
          <w:tcPr>
            <w:tcW w:w="1872" w:type="dxa"/>
            <w:shd w:val="clear" w:color="auto" w:fill="FFFFFF" w:themeFill="background2"/>
            <w:tcMar>
              <w:left w:w="108" w:type="dxa"/>
              <w:right w:w="108" w:type="dxa"/>
            </w:tcMar>
            <w:vAlign w:val="center"/>
          </w:tcPr>
          <w:p w14:paraId="75FBC8FA" w14:textId="6FB11480"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Participation of IOC/NOC in CSR activities</w:t>
            </w:r>
          </w:p>
          <w:p w14:paraId="253E03BF" w14:textId="58FC10DD"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Job creation</w:t>
            </w:r>
          </w:p>
        </w:tc>
        <w:tc>
          <w:tcPr>
            <w:tcW w:w="2084" w:type="dxa"/>
            <w:shd w:val="clear" w:color="auto" w:fill="FFFFFF" w:themeFill="background2"/>
            <w:tcMar>
              <w:left w:w="108" w:type="dxa"/>
              <w:right w:w="108" w:type="dxa"/>
            </w:tcMar>
            <w:vAlign w:val="center"/>
          </w:tcPr>
          <w:p w14:paraId="4D6A072B" w14:textId="16B6EA4D"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US$</w:t>
            </w:r>
          </w:p>
          <w:p w14:paraId="516E9E1C" w14:textId="77777777"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Number of additional jobs created</w:t>
            </w:r>
          </w:p>
          <w:p w14:paraId="265246B5" w14:textId="2A64FAA7" w:rsidR="00EB290A" w:rsidRPr="00662906" w:rsidRDefault="00EB290A" w:rsidP="00561F4E">
            <w:pPr>
              <w:spacing w:after="0" w:line="230" w:lineRule="auto"/>
              <w:jc w:val="center"/>
              <w:rPr>
                <w:rFonts w:eastAsia="Arial" w:cs="Arial"/>
                <w:color w:val="394A58"/>
                <w:sz w:val="18"/>
                <w:szCs w:val="18"/>
              </w:rPr>
            </w:pPr>
            <w:r w:rsidRPr="00662906">
              <w:rPr>
                <w:rFonts w:eastAsia="Arial" w:cs="Arial"/>
                <w:color w:val="394A58"/>
                <w:sz w:val="18"/>
                <w:szCs w:val="18"/>
              </w:rPr>
              <w:t>IOC/NOC with ESG strategies</w:t>
            </w:r>
          </w:p>
        </w:tc>
      </w:tr>
      <w:tr w:rsidR="00122D5B" w:rsidRPr="00662906" w14:paraId="6A989A1F" w14:textId="77777777" w:rsidTr="00561F4E">
        <w:trPr>
          <w:trHeight w:val="300"/>
        </w:trPr>
        <w:tc>
          <w:tcPr>
            <w:tcW w:w="1454" w:type="dxa"/>
            <w:vMerge w:val="restart"/>
            <w:shd w:val="clear" w:color="auto" w:fill="FFFFFF" w:themeFill="background2"/>
            <w:tcMar>
              <w:left w:w="108" w:type="dxa"/>
              <w:right w:w="108" w:type="dxa"/>
            </w:tcMar>
            <w:vAlign w:val="center"/>
          </w:tcPr>
          <w:p w14:paraId="75483C1E" w14:textId="6B9BBAA6"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Agriculture</w:t>
            </w:r>
          </w:p>
        </w:tc>
        <w:tc>
          <w:tcPr>
            <w:tcW w:w="1520" w:type="dxa"/>
            <w:vMerge w:val="restart"/>
            <w:shd w:val="clear" w:color="auto" w:fill="FFFFFF" w:themeFill="background2"/>
            <w:tcMar>
              <w:left w:w="108" w:type="dxa"/>
              <w:right w:w="108" w:type="dxa"/>
            </w:tcMar>
            <w:vAlign w:val="center"/>
          </w:tcPr>
          <w:p w14:paraId="32C78B44" w14:textId="02475196" w:rsidR="00122D5B" w:rsidRPr="00662906" w:rsidRDefault="00AF67FE" w:rsidP="00561F4E">
            <w:pPr>
              <w:spacing w:before="40" w:after="40"/>
              <w:jc w:val="center"/>
              <w:rPr>
                <w:rFonts w:eastAsia="Arial" w:cs="Arial"/>
                <w:color w:val="394A58"/>
                <w:sz w:val="18"/>
                <w:szCs w:val="18"/>
              </w:rPr>
            </w:pPr>
            <w:r w:rsidRPr="00662906">
              <w:rPr>
                <w:rFonts w:eastAsia="Arial" w:cs="Arial"/>
                <w:color w:val="394A58"/>
                <w:sz w:val="18"/>
                <w:szCs w:val="18"/>
              </w:rPr>
              <w:t>Increase the Use of Modern and Efficient Energy Technologies in Agriculture</w:t>
            </w:r>
          </w:p>
        </w:tc>
        <w:tc>
          <w:tcPr>
            <w:tcW w:w="2084" w:type="dxa"/>
            <w:shd w:val="clear" w:color="auto" w:fill="FFFFFF" w:themeFill="background2"/>
            <w:tcMar>
              <w:left w:w="108" w:type="dxa"/>
              <w:right w:w="108" w:type="dxa"/>
            </w:tcMar>
            <w:vAlign w:val="center"/>
          </w:tcPr>
          <w:p w14:paraId="7DC3F135" w14:textId="05119128"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1: Modernization of Agricultural Equipment</w:t>
            </w:r>
          </w:p>
        </w:tc>
        <w:tc>
          <w:tcPr>
            <w:tcW w:w="1872" w:type="dxa"/>
            <w:vMerge w:val="restart"/>
            <w:shd w:val="clear" w:color="auto" w:fill="FFFFFF" w:themeFill="background2"/>
            <w:tcMar>
              <w:left w:w="108" w:type="dxa"/>
              <w:right w:w="108" w:type="dxa"/>
            </w:tcMar>
            <w:vAlign w:val="center"/>
          </w:tcPr>
          <w:p w14:paraId="54ADB7A2" w14:textId="0DFA5EB7"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Modern and clean energy use in Agriculture</w:t>
            </w:r>
          </w:p>
          <w:p w14:paraId="511E55BF" w14:textId="07243EB2"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Labour statistics</w:t>
            </w:r>
          </w:p>
        </w:tc>
        <w:tc>
          <w:tcPr>
            <w:tcW w:w="2084" w:type="dxa"/>
            <w:vMerge w:val="restart"/>
            <w:shd w:val="clear" w:color="auto" w:fill="FFFFFF" w:themeFill="background2"/>
            <w:tcMar>
              <w:left w:w="108" w:type="dxa"/>
              <w:right w:w="108" w:type="dxa"/>
            </w:tcMar>
            <w:vAlign w:val="center"/>
          </w:tcPr>
          <w:p w14:paraId="2FC9847E" w14:textId="591038E8"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 xml:space="preserve">% of </w:t>
            </w:r>
            <w:r w:rsidR="00EB290A" w:rsidRPr="00662906">
              <w:rPr>
                <w:rFonts w:eastAsia="Arial" w:cs="Arial"/>
                <w:color w:val="394A58"/>
                <w:sz w:val="18"/>
                <w:szCs w:val="18"/>
              </w:rPr>
              <w:t xml:space="preserve">clean </w:t>
            </w:r>
            <w:r w:rsidRPr="00662906">
              <w:rPr>
                <w:rFonts w:eastAsia="Arial" w:cs="Arial"/>
                <w:color w:val="394A58"/>
                <w:sz w:val="18"/>
                <w:szCs w:val="18"/>
              </w:rPr>
              <w:t>energy used in Agriculture</w:t>
            </w:r>
          </w:p>
          <w:p w14:paraId="14FE8472" w14:textId="19B2161A"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 of agriculture employment per hectare</w:t>
            </w:r>
          </w:p>
          <w:p w14:paraId="544EB4FC" w14:textId="5E641434" w:rsidR="00122D5B" w:rsidRPr="00662906" w:rsidRDefault="00122D5B" w:rsidP="00561F4E">
            <w:pPr>
              <w:spacing w:after="0"/>
              <w:jc w:val="center"/>
              <w:rPr>
                <w:rFonts w:eastAsia="Arial" w:cs="Arial"/>
                <w:color w:val="394A58"/>
                <w:sz w:val="18"/>
                <w:szCs w:val="18"/>
              </w:rPr>
            </w:pPr>
          </w:p>
        </w:tc>
      </w:tr>
      <w:tr w:rsidR="00122D5B" w:rsidRPr="00662906" w14:paraId="63BBC194" w14:textId="77777777" w:rsidTr="00561F4E">
        <w:trPr>
          <w:trHeight w:val="300"/>
        </w:trPr>
        <w:tc>
          <w:tcPr>
            <w:tcW w:w="1454" w:type="dxa"/>
            <w:vMerge/>
            <w:vAlign w:val="center"/>
          </w:tcPr>
          <w:p w14:paraId="4814798E" w14:textId="77777777" w:rsidR="00122D5B" w:rsidRPr="00662906" w:rsidRDefault="00122D5B" w:rsidP="00561F4E">
            <w:pPr>
              <w:jc w:val="center"/>
              <w:rPr>
                <w:rFonts w:cs="Arial"/>
                <w:sz w:val="18"/>
                <w:szCs w:val="18"/>
              </w:rPr>
            </w:pPr>
          </w:p>
        </w:tc>
        <w:tc>
          <w:tcPr>
            <w:tcW w:w="1520" w:type="dxa"/>
            <w:vMerge/>
            <w:vAlign w:val="center"/>
          </w:tcPr>
          <w:p w14:paraId="72689B1C" w14:textId="77777777" w:rsidR="00122D5B" w:rsidRPr="00662906" w:rsidRDefault="00122D5B"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470F9B62" w14:textId="4067F10C"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2: Promotion of Renewable Energy in Agriculture</w:t>
            </w:r>
          </w:p>
        </w:tc>
        <w:tc>
          <w:tcPr>
            <w:tcW w:w="1872" w:type="dxa"/>
            <w:vMerge/>
            <w:vAlign w:val="center"/>
          </w:tcPr>
          <w:p w14:paraId="201912A1" w14:textId="77777777" w:rsidR="00122D5B" w:rsidRPr="00662906" w:rsidRDefault="00122D5B" w:rsidP="00561F4E">
            <w:pPr>
              <w:jc w:val="center"/>
              <w:rPr>
                <w:rFonts w:cs="Arial"/>
                <w:sz w:val="18"/>
                <w:szCs w:val="18"/>
              </w:rPr>
            </w:pPr>
          </w:p>
        </w:tc>
        <w:tc>
          <w:tcPr>
            <w:tcW w:w="2084" w:type="dxa"/>
            <w:vMerge/>
            <w:vAlign w:val="center"/>
          </w:tcPr>
          <w:p w14:paraId="023BD80C" w14:textId="77777777" w:rsidR="00122D5B" w:rsidRPr="00662906" w:rsidRDefault="00122D5B" w:rsidP="00561F4E">
            <w:pPr>
              <w:jc w:val="center"/>
              <w:rPr>
                <w:rFonts w:cs="Arial"/>
                <w:sz w:val="18"/>
                <w:szCs w:val="18"/>
              </w:rPr>
            </w:pPr>
          </w:p>
        </w:tc>
      </w:tr>
      <w:tr w:rsidR="00122D5B" w:rsidRPr="00662906" w14:paraId="0A4D659B" w14:textId="77777777" w:rsidTr="00561F4E">
        <w:trPr>
          <w:trHeight w:val="300"/>
        </w:trPr>
        <w:tc>
          <w:tcPr>
            <w:tcW w:w="1454" w:type="dxa"/>
            <w:vMerge/>
            <w:vAlign w:val="center"/>
          </w:tcPr>
          <w:p w14:paraId="18794E9D" w14:textId="77777777" w:rsidR="00122D5B" w:rsidRPr="00662906" w:rsidRDefault="00122D5B" w:rsidP="00561F4E">
            <w:pPr>
              <w:jc w:val="center"/>
              <w:rPr>
                <w:rFonts w:cs="Arial"/>
                <w:sz w:val="18"/>
                <w:szCs w:val="18"/>
              </w:rPr>
            </w:pPr>
          </w:p>
        </w:tc>
        <w:tc>
          <w:tcPr>
            <w:tcW w:w="1520" w:type="dxa"/>
            <w:vMerge/>
            <w:vAlign w:val="center"/>
          </w:tcPr>
          <w:p w14:paraId="535BEE71" w14:textId="77777777" w:rsidR="00122D5B" w:rsidRPr="00662906" w:rsidRDefault="00122D5B"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74326A0A" w14:textId="6E97313F"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 xml:space="preserve">Strategic Intervention </w:t>
            </w:r>
            <w:r w:rsidR="006150D6" w:rsidRPr="00662906">
              <w:rPr>
                <w:rFonts w:eastAsia="Arial" w:cs="Arial"/>
                <w:color w:val="394A58"/>
                <w:sz w:val="18"/>
                <w:szCs w:val="18"/>
              </w:rPr>
              <w:t>3</w:t>
            </w:r>
            <w:r w:rsidRPr="00662906">
              <w:rPr>
                <w:rFonts w:eastAsia="Arial" w:cs="Arial"/>
                <w:color w:val="394A58"/>
                <w:sz w:val="18"/>
                <w:szCs w:val="18"/>
              </w:rPr>
              <w:t>: Enhancement of Agricultural Extension Services</w:t>
            </w:r>
          </w:p>
        </w:tc>
        <w:tc>
          <w:tcPr>
            <w:tcW w:w="1872" w:type="dxa"/>
            <w:shd w:val="clear" w:color="auto" w:fill="FFFFFF" w:themeFill="background2"/>
            <w:tcMar>
              <w:left w:w="108" w:type="dxa"/>
              <w:right w:w="108" w:type="dxa"/>
            </w:tcMar>
            <w:vAlign w:val="center"/>
          </w:tcPr>
          <w:p w14:paraId="0E8E4AB9" w14:textId="39494090" w:rsidR="00122D5B" w:rsidRPr="00662906" w:rsidRDefault="00122D5B" w:rsidP="00561F4E">
            <w:pPr>
              <w:spacing w:after="0" w:line="230" w:lineRule="auto"/>
              <w:jc w:val="center"/>
              <w:rPr>
                <w:rFonts w:eastAsia="Arial" w:cs="Arial"/>
                <w:color w:val="394A58"/>
                <w:sz w:val="18"/>
                <w:szCs w:val="18"/>
              </w:rPr>
            </w:pPr>
            <w:r w:rsidRPr="00662906">
              <w:rPr>
                <w:rFonts w:eastAsia="Arial" w:cs="Arial"/>
                <w:color w:val="394A58"/>
                <w:sz w:val="18"/>
                <w:szCs w:val="18"/>
              </w:rPr>
              <w:t>Productivity of the agricultural sector</w:t>
            </w:r>
          </w:p>
        </w:tc>
        <w:tc>
          <w:tcPr>
            <w:tcW w:w="2084" w:type="dxa"/>
            <w:shd w:val="clear" w:color="auto" w:fill="FFFFFF" w:themeFill="background2"/>
            <w:tcMar>
              <w:left w:w="108" w:type="dxa"/>
              <w:right w:w="108" w:type="dxa"/>
            </w:tcMar>
            <w:vAlign w:val="center"/>
          </w:tcPr>
          <w:p w14:paraId="36194CB7" w14:textId="4A3EA5C2" w:rsidR="00122D5B" w:rsidRPr="00662906" w:rsidRDefault="008A2BB5" w:rsidP="00561F4E">
            <w:pPr>
              <w:spacing w:after="0" w:line="230" w:lineRule="auto"/>
              <w:jc w:val="center"/>
              <w:rPr>
                <w:rFonts w:eastAsia="Arial" w:cs="Arial"/>
                <w:color w:val="394A58"/>
                <w:sz w:val="18"/>
                <w:szCs w:val="18"/>
              </w:rPr>
            </w:pPr>
            <w:r w:rsidRPr="00662906">
              <w:rPr>
                <w:rFonts w:eastAsia="Arial" w:cs="Arial"/>
                <w:color w:val="394A58"/>
                <w:sz w:val="18"/>
                <w:szCs w:val="18"/>
              </w:rPr>
              <w:t>T</w:t>
            </w:r>
            <w:r w:rsidR="00122D5B" w:rsidRPr="00662906">
              <w:rPr>
                <w:rFonts w:eastAsia="Arial" w:cs="Arial"/>
                <w:color w:val="394A58"/>
                <w:sz w:val="18"/>
                <w:szCs w:val="18"/>
              </w:rPr>
              <w:t>onne/hectare</w:t>
            </w:r>
          </w:p>
        </w:tc>
      </w:tr>
      <w:tr w:rsidR="00122D5B" w:rsidRPr="00662906" w14:paraId="179BEE4E" w14:textId="77777777" w:rsidTr="00561F4E">
        <w:trPr>
          <w:trHeight w:val="300"/>
        </w:trPr>
        <w:tc>
          <w:tcPr>
            <w:tcW w:w="1454" w:type="dxa"/>
            <w:vMerge w:val="restart"/>
            <w:shd w:val="clear" w:color="auto" w:fill="FFFFFF" w:themeFill="background2"/>
            <w:tcMar>
              <w:left w:w="108" w:type="dxa"/>
              <w:right w:w="108" w:type="dxa"/>
            </w:tcMar>
            <w:vAlign w:val="center"/>
          </w:tcPr>
          <w:p w14:paraId="4DFE32F8" w14:textId="6069EE53"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Clean Cooking</w:t>
            </w:r>
          </w:p>
        </w:tc>
        <w:tc>
          <w:tcPr>
            <w:tcW w:w="1520" w:type="dxa"/>
            <w:vMerge w:val="restart"/>
            <w:shd w:val="clear" w:color="auto" w:fill="FFFFFF" w:themeFill="background2"/>
            <w:tcMar>
              <w:left w:w="108" w:type="dxa"/>
              <w:right w:w="108" w:type="dxa"/>
            </w:tcMar>
            <w:vAlign w:val="center"/>
          </w:tcPr>
          <w:p w14:paraId="5C0B5626" w14:textId="2F0C8B35" w:rsidR="00122D5B" w:rsidRPr="00662906" w:rsidRDefault="00831291" w:rsidP="00561F4E">
            <w:pPr>
              <w:spacing w:before="40" w:after="40"/>
              <w:jc w:val="center"/>
              <w:rPr>
                <w:rFonts w:eastAsia="Arial" w:cs="Arial"/>
                <w:color w:val="394A58"/>
                <w:sz w:val="18"/>
                <w:szCs w:val="18"/>
              </w:rPr>
            </w:pPr>
            <w:r w:rsidRPr="00662906">
              <w:rPr>
                <w:rFonts w:eastAsia="Arial" w:cs="Arial"/>
                <w:color w:val="394A58"/>
                <w:sz w:val="18"/>
                <w:szCs w:val="18"/>
              </w:rPr>
              <w:t>Promote the adoption of clean cooking technologies</w:t>
            </w:r>
          </w:p>
        </w:tc>
        <w:tc>
          <w:tcPr>
            <w:tcW w:w="2084" w:type="dxa"/>
            <w:shd w:val="clear" w:color="auto" w:fill="FFFFFF" w:themeFill="background2"/>
            <w:tcMar>
              <w:left w:w="108" w:type="dxa"/>
              <w:right w:w="108" w:type="dxa"/>
            </w:tcMar>
            <w:vAlign w:val="center"/>
          </w:tcPr>
          <w:p w14:paraId="2B78C715" w14:textId="2E3703A7" w:rsidR="00122D5B" w:rsidRPr="00662906" w:rsidRDefault="00122D5B"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1: Development and Deployment of Advanced Cooking Technologies</w:t>
            </w:r>
          </w:p>
        </w:tc>
        <w:tc>
          <w:tcPr>
            <w:tcW w:w="1872" w:type="dxa"/>
            <w:shd w:val="clear" w:color="auto" w:fill="FFFFFF" w:themeFill="background2"/>
            <w:tcMar>
              <w:left w:w="108" w:type="dxa"/>
              <w:right w:w="108" w:type="dxa"/>
            </w:tcMar>
            <w:vAlign w:val="center"/>
          </w:tcPr>
          <w:p w14:paraId="796F5C39" w14:textId="0F93F437"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Population with clean cooking on the continent</w:t>
            </w:r>
          </w:p>
        </w:tc>
        <w:tc>
          <w:tcPr>
            <w:tcW w:w="2084" w:type="dxa"/>
            <w:shd w:val="clear" w:color="auto" w:fill="FFFFFF" w:themeFill="background2"/>
            <w:tcMar>
              <w:left w:w="108" w:type="dxa"/>
              <w:right w:w="108" w:type="dxa"/>
            </w:tcMar>
            <w:vAlign w:val="center"/>
          </w:tcPr>
          <w:p w14:paraId="79507B16" w14:textId="3A0C8D97" w:rsidR="00122D5B" w:rsidRPr="00662906" w:rsidRDefault="00122D5B" w:rsidP="00561F4E">
            <w:pPr>
              <w:spacing w:after="0"/>
              <w:jc w:val="center"/>
              <w:rPr>
                <w:rFonts w:eastAsia="Arial" w:cs="Arial"/>
                <w:color w:val="394A58"/>
                <w:sz w:val="18"/>
                <w:szCs w:val="18"/>
              </w:rPr>
            </w:pPr>
            <w:r w:rsidRPr="00662906">
              <w:rPr>
                <w:rFonts w:eastAsia="Arial" w:cs="Arial"/>
                <w:color w:val="394A58"/>
                <w:sz w:val="18"/>
                <w:szCs w:val="18"/>
              </w:rPr>
              <w:t>% of population with clean co</w:t>
            </w:r>
            <w:r w:rsidR="00EB290A" w:rsidRPr="00662906">
              <w:rPr>
                <w:rFonts w:eastAsia="Arial" w:cs="Arial"/>
                <w:color w:val="394A58"/>
                <w:sz w:val="18"/>
                <w:szCs w:val="18"/>
              </w:rPr>
              <w:t>o</w:t>
            </w:r>
            <w:r w:rsidRPr="00662906">
              <w:rPr>
                <w:rFonts w:eastAsia="Arial" w:cs="Arial"/>
                <w:color w:val="394A58"/>
                <w:sz w:val="18"/>
                <w:szCs w:val="18"/>
              </w:rPr>
              <w:t>king</w:t>
            </w:r>
          </w:p>
        </w:tc>
      </w:tr>
      <w:tr w:rsidR="75BD6BB8" w:rsidRPr="00662906" w14:paraId="7AD456A0" w14:textId="77777777" w:rsidTr="00561F4E">
        <w:trPr>
          <w:trHeight w:val="300"/>
        </w:trPr>
        <w:tc>
          <w:tcPr>
            <w:tcW w:w="1454" w:type="dxa"/>
            <w:vMerge/>
            <w:vAlign w:val="center"/>
          </w:tcPr>
          <w:p w14:paraId="5109B17B" w14:textId="77777777" w:rsidR="00E02662" w:rsidRPr="00662906" w:rsidRDefault="00E02662" w:rsidP="00561F4E">
            <w:pPr>
              <w:jc w:val="center"/>
              <w:rPr>
                <w:rFonts w:cs="Arial"/>
                <w:sz w:val="18"/>
                <w:szCs w:val="18"/>
              </w:rPr>
            </w:pPr>
          </w:p>
        </w:tc>
        <w:tc>
          <w:tcPr>
            <w:tcW w:w="1520" w:type="dxa"/>
            <w:vMerge/>
            <w:vAlign w:val="center"/>
          </w:tcPr>
          <w:p w14:paraId="2BF796BB"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5B4D5680" w14:textId="0EA0A8C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2: Enhancing Market Structures and Supply Chains:</w:t>
            </w:r>
          </w:p>
        </w:tc>
        <w:tc>
          <w:tcPr>
            <w:tcW w:w="1872" w:type="dxa"/>
            <w:vMerge w:val="restart"/>
            <w:shd w:val="clear" w:color="auto" w:fill="FFFFFF" w:themeFill="background2"/>
            <w:tcMar>
              <w:left w:w="108" w:type="dxa"/>
              <w:right w:w="108" w:type="dxa"/>
            </w:tcMar>
            <w:vAlign w:val="center"/>
          </w:tcPr>
          <w:p w14:paraId="5FDA3C19" w14:textId="4476D838"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Traded clean cooking appliances</w:t>
            </w:r>
          </w:p>
          <w:p w14:paraId="4F296FDC" w14:textId="1E51A999" w:rsidR="75BD6BB8" w:rsidRPr="00662906" w:rsidRDefault="75BD6BB8" w:rsidP="00561F4E">
            <w:pPr>
              <w:spacing w:before="40" w:after="40"/>
              <w:jc w:val="center"/>
              <w:rPr>
                <w:rFonts w:eastAsia="Arial" w:cs="Arial"/>
                <w:color w:val="394A58"/>
                <w:sz w:val="18"/>
                <w:szCs w:val="18"/>
              </w:rPr>
            </w:pPr>
          </w:p>
          <w:p w14:paraId="0A988636" w14:textId="3DE41079" w:rsidR="75BD6BB8" w:rsidRPr="00662906" w:rsidRDefault="75BD6BB8" w:rsidP="00561F4E">
            <w:pPr>
              <w:spacing w:before="40" w:after="40"/>
              <w:jc w:val="center"/>
              <w:rPr>
                <w:rFonts w:eastAsia="Arial" w:cs="Arial"/>
                <w:color w:val="394A58"/>
                <w:sz w:val="18"/>
                <w:szCs w:val="18"/>
              </w:rPr>
            </w:pPr>
          </w:p>
        </w:tc>
        <w:tc>
          <w:tcPr>
            <w:tcW w:w="2084" w:type="dxa"/>
            <w:vMerge w:val="restart"/>
            <w:shd w:val="clear" w:color="auto" w:fill="FFFFFF" w:themeFill="background2"/>
            <w:tcMar>
              <w:left w:w="108" w:type="dxa"/>
              <w:right w:w="108" w:type="dxa"/>
            </w:tcMar>
            <w:vAlign w:val="center"/>
          </w:tcPr>
          <w:p w14:paraId="16DCA041" w14:textId="7158CD24"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Volume of trade of clean cooking appliances at AfCFTA and by country</w:t>
            </w:r>
          </w:p>
          <w:p w14:paraId="2E7B26E9" w14:textId="76C2E073" w:rsidR="75BD6BB8" w:rsidRPr="00662906" w:rsidRDefault="75BD6BB8" w:rsidP="00561F4E">
            <w:pPr>
              <w:spacing w:before="240" w:after="240"/>
              <w:jc w:val="center"/>
              <w:rPr>
                <w:rFonts w:eastAsia="Arial" w:cs="Arial"/>
                <w:color w:val="394A58"/>
                <w:sz w:val="18"/>
                <w:szCs w:val="18"/>
              </w:rPr>
            </w:pPr>
          </w:p>
        </w:tc>
      </w:tr>
      <w:tr w:rsidR="75BD6BB8" w:rsidRPr="00662906" w14:paraId="7A5C5CD5" w14:textId="77777777" w:rsidTr="00561F4E">
        <w:trPr>
          <w:trHeight w:val="300"/>
        </w:trPr>
        <w:tc>
          <w:tcPr>
            <w:tcW w:w="1454" w:type="dxa"/>
            <w:vMerge/>
            <w:vAlign w:val="center"/>
          </w:tcPr>
          <w:p w14:paraId="2CB46603" w14:textId="77777777" w:rsidR="00E02662" w:rsidRPr="00662906" w:rsidRDefault="00E02662" w:rsidP="00561F4E">
            <w:pPr>
              <w:jc w:val="center"/>
              <w:rPr>
                <w:rFonts w:cs="Arial"/>
                <w:sz w:val="18"/>
                <w:szCs w:val="18"/>
              </w:rPr>
            </w:pPr>
          </w:p>
        </w:tc>
        <w:tc>
          <w:tcPr>
            <w:tcW w:w="1520" w:type="dxa"/>
            <w:vMerge/>
            <w:vAlign w:val="center"/>
          </w:tcPr>
          <w:p w14:paraId="029F65E6"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2D2E1557" w14:textId="2D299E14"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3: Policy Development and Regulatory Support</w:t>
            </w:r>
          </w:p>
        </w:tc>
        <w:tc>
          <w:tcPr>
            <w:tcW w:w="1872" w:type="dxa"/>
            <w:vMerge/>
            <w:vAlign w:val="center"/>
          </w:tcPr>
          <w:p w14:paraId="13A04FA0" w14:textId="77777777" w:rsidR="00E02662" w:rsidRPr="00662906" w:rsidRDefault="00E02662" w:rsidP="00561F4E">
            <w:pPr>
              <w:jc w:val="center"/>
              <w:rPr>
                <w:rFonts w:cs="Arial"/>
                <w:sz w:val="18"/>
                <w:szCs w:val="18"/>
              </w:rPr>
            </w:pPr>
          </w:p>
        </w:tc>
        <w:tc>
          <w:tcPr>
            <w:tcW w:w="2084" w:type="dxa"/>
            <w:vMerge/>
            <w:vAlign w:val="center"/>
          </w:tcPr>
          <w:p w14:paraId="15A437FC" w14:textId="77777777" w:rsidR="00E02662" w:rsidRPr="00662906" w:rsidRDefault="00E02662" w:rsidP="00561F4E">
            <w:pPr>
              <w:jc w:val="center"/>
              <w:rPr>
                <w:rFonts w:cs="Arial"/>
                <w:sz w:val="18"/>
                <w:szCs w:val="18"/>
              </w:rPr>
            </w:pPr>
          </w:p>
        </w:tc>
      </w:tr>
      <w:tr w:rsidR="75BD6BB8" w:rsidRPr="00662906" w14:paraId="30264F29" w14:textId="77777777" w:rsidTr="00561F4E">
        <w:trPr>
          <w:trHeight w:val="300"/>
        </w:trPr>
        <w:tc>
          <w:tcPr>
            <w:tcW w:w="1454" w:type="dxa"/>
            <w:vMerge/>
            <w:vAlign w:val="center"/>
          </w:tcPr>
          <w:p w14:paraId="67E2B789" w14:textId="77777777" w:rsidR="00E02662" w:rsidRPr="00662906" w:rsidRDefault="00E02662" w:rsidP="00561F4E">
            <w:pPr>
              <w:jc w:val="center"/>
              <w:rPr>
                <w:rFonts w:cs="Arial"/>
                <w:sz w:val="18"/>
                <w:szCs w:val="18"/>
              </w:rPr>
            </w:pPr>
          </w:p>
        </w:tc>
        <w:tc>
          <w:tcPr>
            <w:tcW w:w="1520" w:type="dxa"/>
            <w:vMerge/>
            <w:vAlign w:val="center"/>
          </w:tcPr>
          <w:p w14:paraId="1F027F46"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1757DADA" w14:textId="30A23A4F"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Strategic Intervention 4: Public Awareness Campaigns and Education</w:t>
            </w:r>
          </w:p>
        </w:tc>
        <w:tc>
          <w:tcPr>
            <w:tcW w:w="1872" w:type="dxa"/>
            <w:vMerge/>
            <w:vAlign w:val="center"/>
          </w:tcPr>
          <w:p w14:paraId="00AD8E3F" w14:textId="77777777" w:rsidR="00E02662" w:rsidRPr="00662906" w:rsidRDefault="00E02662" w:rsidP="00561F4E">
            <w:pPr>
              <w:jc w:val="center"/>
              <w:rPr>
                <w:rFonts w:cs="Arial"/>
                <w:sz w:val="18"/>
                <w:szCs w:val="18"/>
              </w:rPr>
            </w:pPr>
          </w:p>
        </w:tc>
        <w:tc>
          <w:tcPr>
            <w:tcW w:w="2084" w:type="dxa"/>
            <w:vMerge/>
            <w:vAlign w:val="center"/>
          </w:tcPr>
          <w:p w14:paraId="6A86E0AE" w14:textId="77777777" w:rsidR="00E02662" w:rsidRPr="00662906" w:rsidRDefault="00E02662" w:rsidP="00561F4E">
            <w:pPr>
              <w:jc w:val="center"/>
              <w:rPr>
                <w:rFonts w:cs="Arial"/>
                <w:sz w:val="18"/>
                <w:szCs w:val="18"/>
              </w:rPr>
            </w:pPr>
          </w:p>
        </w:tc>
      </w:tr>
      <w:tr w:rsidR="001978F1" w:rsidRPr="00662906" w14:paraId="38537E70" w14:textId="77777777" w:rsidTr="00561F4E">
        <w:trPr>
          <w:trHeight w:val="300"/>
        </w:trPr>
        <w:tc>
          <w:tcPr>
            <w:tcW w:w="1454" w:type="dxa"/>
            <w:shd w:val="clear" w:color="auto" w:fill="FFFFFF" w:themeFill="background2"/>
            <w:tcMar>
              <w:left w:w="108" w:type="dxa"/>
              <w:right w:w="108" w:type="dxa"/>
            </w:tcMar>
            <w:vAlign w:val="center"/>
          </w:tcPr>
          <w:p w14:paraId="68A3869A" w14:textId="4AE375A5" w:rsidR="001978F1" w:rsidRPr="00662906" w:rsidRDefault="001978F1" w:rsidP="00561F4E">
            <w:pPr>
              <w:spacing w:before="40" w:after="40"/>
              <w:jc w:val="center"/>
              <w:rPr>
                <w:rFonts w:eastAsia="Arial" w:cs="Arial"/>
                <w:color w:val="394A58"/>
                <w:sz w:val="18"/>
                <w:szCs w:val="18"/>
              </w:rPr>
            </w:pPr>
            <w:r w:rsidRPr="00662906">
              <w:rPr>
                <w:rFonts w:eastAsia="Arial" w:cs="Arial"/>
                <w:color w:val="394A58"/>
                <w:sz w:val="18"/>
                <w:szCs w:val="18"/>
              </w:rPr>
              <w:t>Horizontal Planning</w:t>
            </w:r>
          </w:p>
        </w:tc>
        <w:tc>
          <w:tcPr>
            <w:tcW w:w="1520" w:type="dxa"/>
            <w:shd w:val="clear" w:color="auto" w:fill="FFFFFF" w:themeFill="background2"/>
            <w:tcMar>
              <w:left w:w="108" w:type="dxa"/>
              <w:right w:w="108" w:type="dxa"/>
            </w:tcMar>
            <w:vAlign w:val="center"/>
          </w:tcPr>
          <w:p w14:paraId="646FB170" w14:textId="7A920503" w:rsidR="001978F1" w:rsidRPr="00662906" w:rsidRDefault="001978F1" w:rsidP="00561F4E">
            <w:pPr>
              <w:spacing w:before="40" w:after="40"/>
              <w:jc w:val="center"/>
              <w:rPr>
                <w:rFonts w:eastAsia="Arial" w:cs="Arial"/>
                <w:color w:val="394A58"/>
                <w:sz w:val="18"/>
                <w:szCs w:val="18"/>
              </w:rPr>
            </w:pPr>
            <w:r w:rsidRPr="00662906">
              <w:rPr>
                <w:rFonts w:eastAsia="Arial" w:cs="Arial"/>
                <w:color w:val="394A58"/>
                <w:sz w:val="18"/>
                <w:szCs w:val="18"/>
              </w:rPr>
              <w:t>Support AU MS to develop their DDPs</w:t>
            </w:r>
          </w:p>
        </w:tc>
        <w:tc>
          <w:tcPr>
            <w:tcW w:w="2084" w:type="dxa"/>
            <w:shd w:val="clear" w:color="auto" w:fill="FFFFFF" w:themeFill="background2"/>
            <w:tcMar>
              <w:left w:w="108" w:type="dxa"/>
              <w:right w:w="108" w:type="dxa"/>
            </w:tcMar>
            <w:vAlign w:val="center"/>
          </w:tcPr>
          <w:p w14:paraId="3DDBFBE5" w14:textId="77777777" w:rsidR="001978F1" w:rsidRPr="00662906" w:rsidRDefault="001978F1" w:rsidP="00561F4E">
            <w:pPr>
              <w:jc w:val="center"/>
              <w:rPr>
                <w:rFonts w:eastAsia="Arial" w:cs="Arial"/>
                <w:sz w:val="18"/>
                <w:szCs w:val="18"/>
              </w:rPr>
            </w:pPr>
            <w:r w:rsidRPr="00662906">
              <w:rPr>
                <w:rFonts w:eastAsia="Arial" w:cs="Arial"/>
                <w:sz w:val="18"/>
                <w:szCs w:val="18"/>
              </w:rPr>
              <w:t>Train MS on designing development of DDP and related data collection</w:t>
            </w:r>
          </w:p>
          <w:p w14:paraId="2BF6FA51" w14:textId="127F3BFD" w:rsidR="001978F1" w:rsidRPr="00662906" w:rsidRDefault="001978F1" w:rsidP="00561F4E">
            <w:pPr>
              <w:jc w:val="center"/>
              <w:rPr>
                <w:rFonts w:eastAsia="Arial" w:cs="Arial"/>
                <w:sz w:val="18"/>
                <w:szCs w:val="18"/>
              </w:rPr>
            </w:pPr>
            <w:r w:rsidRPr="00662906">
              <w:rPr>
                <w:rFonts w:eastAsia="Arial" w:cs="Arial"/>
                <w:sz w:val="18"/>
                <w:szCs w:val="18"/>
              </w:rPr>
              <w:t>Train MS on Scenario modelling</w:t>
            </w:r>
          </w:p>
        </w:tc>
        <w:tc>
          <w:tcPr>
            <w:tcW w:w="1872" w:type="dxa"/>
            <w:shd w:val="clear" w:color="auto" w:fill="FFFFFF" w:themeFill="background2"/>
            <w:tcMar>
              <w:left w:w="108" w:type="dxa"/>
              <w:right w:w="108" w:type="dxa"/>
            </w:tcMar>
            <w:vAlign w:val="center"/>
          </w:tcPr>
          <w:p w14:paraId="3CEDCD18" w14:textId="3CED28A2"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t>AU MS supported to develop their DDPs</w:t>
            </w:r>
          </w:p>
        </w:tc>
        <w:tc>
          <w:tcPr>
            <w:tcW w:w="2084" w:type="dxa"/>
            <w:shd w:val="clear" w:color="auto" w:fill="FFFFFF" w:themeFill="background2"/>
            <w:tcMar>
              <w:left w:w="108" w:type="dxa"/>
              <w:right w:w="108" w:type="dxa"/>
            </w:tcMar>
            <w:vAlign w:val="center"/>
          </w:tcPr>
          <w:p w14:paraId="09E1D921" w14:textId="5DFE19C3"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t xml:space="preserve">Number </w:t>
            </w:r>
            <w:r w:rsidR="00527FBF" w:rsidRPr="00662906">
              <w:rPr>
                <w:rFonts w:eastAsia="Arial" w:cs="Arial"/>
                <w:color w:val="394A58"/>
                <w:sz w:val="18"/>
                <w:szCs w:val="18"/>
              </w:rPr>
              <w:t>of AU</w:t>
            </w:r>
            <w:r w:rsidRPr="00662906">
              <w:rPr>
                <w:rFonts w:eastAsia="Arial" w:cs="Arial"/>
                <w:color w:val="394A58"/>
                <w:sz w:val="18"/>
                <w:szCs w:val="18"/>
              </w:rPr>
              <w:t xml:space="preserve">-MS </w:t>
            </w:r>
            <w:r w:rsidR="00527FBF" w:rsidRPr="00662906">
              <w:rPr>
                <w:rFonts w:eastAsia="Arial" w:cs="Arial"/>
                <w:color w:val="394A58"/>
                <w:sz w:val="18"/>
                <w:szCs w:val="18"/>
              </w:rPr>
              <w:t>supported,</w:t>
            </w:r>
            <w:r w:rsidRPr="00662906">
              <w:rPr>
                <w:rFonts w:eastAsia="Arial" w:cs="Arial"/>
                <w:color w:val="394A58"/>
                <w:sz w:val="18"/>
                <w:szCs w:val="18"/>
              </w:rPr>
              <w:t xml:space="preserve"> and collective estimated Carbon </w:t>
            </w:r>
            <w:r w:rsidR="00527FBF" w:rsidRPr="00662906">
              <w:rPr>
                <w:rFonts w:eastAsia="Arial" w:cs="Arial"/>
                <w:color w:val="394A58"/>
                <w:sz w:val="18"/>
                <w:szCs w:val="18"/>
              </w:rPr>
              <w:t>offsets</w:t>
            </w:r>
            <w:r w:rsidRPr="00662906">
              <w:rPr>
                <w:rFonts w:eastAsia="Arial" w:cs="Arial"/>
                <w:color w:val="394A58"/>
                <w:sz w:val="18"/>
                <w:szCs w:val="18"/>
              </w:rPr>
              <w:t xml:space="preserve"> achieved after DDP (MtCO2) introduction</w:t>
            </w:r>
          </w:p>
        </w:tc>
      </w:tr>
      <w:tr w:rsidR="001978F1" w:rsidRPr="00662906" w14:paraId="5A687F08" w14:textId="77777777" w:rsidTr="00561F4E">
        <w:trPr>
          <w:trHeight w:val="300"/>
        </w:trPr>
        <w:tc>
          <w:tcPr>
            <w:tcW w:w="1454" w:type="dxa"/>
            <w:shd w:val="clear" w:color="auto" w:fill="FFFFFF" w:themeFill="background2"/>
            <w:tcMar>
              <w:left w:w="108" w:type="dxa"/>
              <w:right w:w="108" w:type="dxa"/>
            </w:tcMar>
            <w:vAlign w:val="center"/>
          </w:tcPr>
          <w:p w14:paraId="0338EB2D" w14:textId="77777777" w:rsidR="001978F1" w:rsidRPr="00662906" w:rsidRDefault="001978F1" w:rsidP="00561F4E">
            <w:pPr>
              <w:spacing w:before="40" w:after="40"/>
              <w:jc w:val="center"/>
              <w:rPr>
                <w:rFonts w:eastAsia="Arial" w:cs="Arial"/>
                <w:color w:val="394A58"/>
                <w:sz w:val="18"/>
                <w:szCs w:val="18"/>
              </w:rPr>
            </w:pPr>
          </w:p>
        </w:tc>
        <w:tc>
          <w:tcPr>
            <w:tcW w:w="1520" w:type="dxa"/>
            <w:shd w:val="clear" w:color="auto" w:fill="FFFFFF" w:themeFill="background2"/>
            <w:tcMar>
              <w:left w:w="108" w:type="dxa"/>
              <w:right w:w="108" w:type="dxa"/>
            </w:tcMar>
            <w:vAlign w:val="center"/>
          </w:tcPr>
          <w:p w14:paraId="39A2C429" w14:textId="160D8FB9" w:rsidR="001978F1" w:rsidRPr="00662906" w:rsidRDefault="001978F1" w:rsidP="00561F4E">
            <w:pPr>
              <w:spacing w:before="40" w:after="40"/>
              <w:jc w:val="center"/>
              <w:rPr>
                <w:rFonts w:eastAsia="Arial" w:cs="Arial"/>
                <w:color w:val="394A58"/>
                <w:sz w:val="18"/>
                <w:szCs w:val="18"/>
              </w:rPr>
            </w:pPr>
            <w:r w:rsidRPr="00662906">
              <w:rPr>
                <w:rFonts w:eastAsia="Arial" w:cs="Arial"/>
                <w:color w:val="394A58"/>
                <w:sz w:val="18"/>
                <w:szCs w:val="18"/>
              </w:rPr>
              <w:t xml:space="preserve">Energy Information System that can </w:t>
            </w:r>
            <w:r w:rsidRPr="00662906">
              <w:rPr>
                <w:rFonts w:eastAsia="Arial" w:cs="Arial"/>
                <w:color w:val="394A58"/>
                <w:sz w:val="18"/>
                <w:szCs w:val="18"/>
              </w:rPr>
              <w:lastRenderedPageBreak/>
              <w:t>support Energy Transition</w:t>
            </w:r>
          </w:p>
        </w:tc>
        <w:tc>
          <w:tcPr>
            <w:tcW w:w="2084" w:type="dxa"/>
            <w:shd w:val="clear" w:color="auto" w:fill="FFFFFF" w:themeFill="background2"/>
            <w:tcMar>
              <w:left w:w="108" w:type="dxa"/>
              <w:right w:w="108" w:type="dxa"/>
            </w:tcMar>
            <w:vAlign w:val="center"/>
          </w:tcPr>
          <w:p w14:paraId="344C362F" w14:textId="362D1574" w:rsidR="001978F1" w:rsidRPr="00662906" w:rsidRDefault="001978F1" w:rsidP="00561F4E">
            <w:pPr>
              <w:jc w:val="center"/>
              <w:rPr>
                <w:rFonts w:eastAsia="Arial" w:cs="Arial"/>
                <w:color w:val="394A58"/>
                <w:sz w:val="18"/>
                <w:szCs w:val="18"/>
              </w:rPr>
            </w:pPr>
            <w:r w:rsidRPr="00662906">
              <w:rPr>
                <w:rFonts w:eastAsia="Arial" w:cs="Arial"/>
                <w:sz w:val="18"/>
                <w:szCs w:val="18"/>
              </w:rPr>
              <w:lastRenderedPageBreak/>
              <w:t xml:space="preserve">Creating a </w:t>
            </w:r>
            <w:r w:rsidR="004A0E7E" w:rsidRPr="00662906">
              <w:rPr>
                <w:rFonts w:eastAsia="Arial" w:cs="Arial"/>
                <w:sz w:val="18"/>
                <w:szCs w:val="18"/>
              </w:rPr>
              <w:t>functional ET compatible energy system</w:t>
            </w:r>
            <w:r w:rsidR="00253721" w:rsidRPr="00662906">
              <w:rPr>
                <w:rFonts w:eastAsia="Arial" w:cs="Arial"/>
                <w:sz w:val="18"/>
                <w:szCs w:val="18"/>
              </w:rPr>
              <w:t xml:space="preserve"> to support continental, regional </w:t>
            </w:r>
            <w:r w:rsidR="00253721" w:rsidRPr="00662906">
              <w:rPr>
                <w:rFonts w:eastAsia="Arial" w:cs="Arial"/>
                <w:sz w:val="18"/>
                <w:szCs w:val="18"/>
              </w:rPr>
              <w:lastRenderedPageBreak/>
              <w:t>and national ET Strategies</w:t>
            </w:r>
          </w:p>
        </w:tc>
        <w:tc>
          <w:tcPr>
            <w:tcW w:w="1872" w:type="dxa"/>
            <w:shd w:val="clear" w:color="auto" w:fill="FFFFFF" w:themeFill="background2"/>
            <w:tcMar>
              <w:left w:w="108" w:type="dxa"/>
              <w:right w:w="108" w:type="dxa"/>
            </w:tcMar>
            <w:vAlign w:val="center"/>
          </w:tcPr>
          <w:p w14:paraId="6AC77905" w14:textId="3EFC28C5"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lastRenderedPageBreak/>
              <w:t>Energy Information System that can support Energy Transition</w:t>
            </w:r>
          </w:p>
        </w:tc>
        <w:tc>
          <w:tcPr>
            <w:tcW w:w="2084" w:type="dxa"/>
            <w:shd w:val="clear" w:color="auto" w:fill="FFFFFF" w:themeFill="background2"/>
            <w:tcMar>
              <w:left w:w="108" w:type="dxa"/>
              <w:right w:w="108" w:type="dxa"/>
            </w:tcMar>
            <w:vAlign w:val="center"/>
          </w:tcPr>
          <w:p w14:paraId="017AADC1" w14:textId="1230DC0D"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t>Energy Transition compatible data sets in AFREC database</w:t>
            </w:r>
            <w:r w:rsidR="004A3857" w:rsidRPr="00662906">
              <w:rPr>
                <w:rFonts w:eastAsia="Arial" w:cs="Arial"/>
                <w:color w:val="394A58"/>
                <w:sz w:val="18"/>
                <w:szCs w:val="18"/>
              </w:rPr>
              <w:t xml:space="preserve"> for </w:t>
            </w:r>
            <w:r w:rsidR="004A3857" w:rsidRPr="00662906">
              <w:rPr>
                <w:rFonts w:eastAsia="Arial" w:cs="Arial"/>
                <w:color w:val="394A58"/>
                <w:sz w:val="18"/>
                <w:szCs w:val="18"/>
              </w:rPr>
              <w:lastRenderedPageBreak/>
              <w:t>all ETSAP energy subsectors</w:t>
            </w:r>
          </w:p>
        </w:tc>
      </w:tr>
      <w:tr w:rsidR="001978F1" w:rsidRPr="00662906" w14:paraId="6DC80C33" w14:textId="77777777" w:rsidTr="00561F4E">
        <w:trPr>
          <w:trHeight w:val="300"/>
        </w:trPr>
        <w:tc>
          <w:tcPr>
            <w:tcW w:w="1454" w:type="dxa"/>
            <w:shd w:val="clear" w:color="auto" w:fill="FFFFFF" w:themeFill="background2"/>
            <w:tcMar>
              <w:left w:w="108" w:type="dxa"/>
              <w:right w:w="108" w:type="dxa"/>
            </w:tcMar>
            <w:vAlign w:val="center"/>
          </w:tcPr>
          <w:p w14:paraId="2B8DC3BC" w14:textId="77777777" w:rsidR="001978F1" w:rsidRPr="00662906" w:rsidRDefault="001978F1" w:rsidP="00561F4E">
            <w:pPr>
              <w:spacing w:before="40" w:after="40"/>
              <w:jc w:val="center"/>
              <w:rPr>
                <w:rFonts w:eastAsia="Arial" w:cs="Arial"/>
                <w:color w:val="394A58"/>
                <w:sz w:val="18"/>
                <w:szCs w:val="18"/>
              </w:rPr>
            </w:pPr>
          </w:p>
        </w:tc>
        <w:tc>
          <w:tcPr>
            <w:tcW w:w="1520" w:type="dxa"/>
            <w:shd w:val="clear" w:color="auto" w:fill="FFFFFF" w:themeFill="background2"/>
            <w:tcMar>
              <w:left w:w="108" w:type="dxa"/>
              <w:right w:w="108" w:type="dxa"/>
            </w:tcMar>
            <w:vAlign w:val="center"/>
          </w:tcPr>
          <w:p w14:paraId="789ABEDD" w14:textId="495C4F70" w:rsidR="001978F1" w:rsidRPr="00662906" w:rsidRDefault="001978F1" w:rsidP="00561F4E">
            <w:pPr>
              <w:spacing w:before="40" w:after="40"/>
              <w:jc w:val="center"/>
              <w:rPr>
                <w:rFonts w:eastAsia="Arial" w:cs="Arial"/>
                <w:color w:val="394A58"/>
                <w:sz w:val="18"/>
                <w:szCs w:val="18"/>
              </w:rPr>
            </w:pPr>
            <w:r w:rsidRPr="00662906">
              <w:rPr>
                <w:rFonts w:eastAsia="Arial" w:cs="Arial"/>
                <w:color w:val="394A58"/>
                <w:sz w:val="18"/>
                <w:szCs w:val="18"/>
              </w:rPr>
              <w:t>Capacitated continental, regional and national ET agencies</w:t>
            </w:r>
          </w:p>
        </w:tc>
        <w:tc>
          <w:tcPr>
            <w:tcW w:w="2084" w:type="dxa"/>
            <w:shd w:val="clear" w:color="auto" w:fill="FFFFFF" w:themeFill="background2"/>
            <w:tcMar>
              <w:left w:w="108" w:type="dxa"/>
              <w:right w:w="108" w:type="dxa"/>
            </w:tcMar>
            <w:vAlign w:val="center"/>
          </w:tcPr>
          <w:p w14:paraId="59C366A9" w14:textId="77777777" w:rsidR="001978F1" w:rsidRPr="00662906" w:rsidRDefault="001978F1" w:rsidP="00561F4E">
            <w:pPr>
              <w:jc w:val="center"/>
              <w:rPr>
                <w:rFonts w:eastAsia="Arial" w:cs="Arial"/>
                <w:sz w:val="18"/>
                <w:szCs w:val="18"/>
              </w:rPr>
            </w:pPr>
            <w:r w:rsidRPr="00662906">
              <w:rPr>
                <w:rFonts w:eastAsia="Arial" w:cs="Arial"/>
                <w:sz w:val="18"/>
                <w:szCs w:val="18"/>
              </w:rPr>
              <w:t>Capacity Building of continental agencies</w:t>
            </w:r>
          </w:p>
          <w:p w14:paraId="384644AD" w14:textId="224063EE" w:rsidR="001978F1" w:rsidRPr="00662906" w:rsidRDefault="001978F1" w:rsidP="00561F4E">
            <w:pPr>
              <w:jc w:val="center"/>
              <w:rPr>
                <w:rFonts w:eastAsia="Arial" w:cs="Arial"/>
                <w:sz w:val="18"/>
                <w:szCs w:val="18"/>
              </w:rPr>
            </w:pPr>
            <w:r w:rsidRPr="00662906">
              <w:rPr>
                <w:rFonts w:eastAsia="Arial" w:cs="Arial"/>
                <w:sz w:val="18"/>
                <w:szCs w:val="18"/>
              </w:rPr>
              <w:t>Regional and National bodies</w:t>
            </w:r>
          </w:p>
          <w:p w14:paraId="63990DA2" w14:textId="3E9B1B0E" w:rsidR="001978F1" w:rsidRPr="00662906" w:rsidRDefault="001978F1" w:rsidP="00561F4E">
            <w:pPr>
              <w:spacing w:before="40" w:after="40"/>
              <w:jc w:val="center"/>
              <w:rPr>
                <w:rFonts w:eastAsia="Arial" w:cs="Arial"/>
                <w:color w:val="394A58"/>
                <w:sz w:val="18"/>
                <w:szCs w:val="18"/>
              </w:rPr>
            </w:pPr>
            <w:r w:rsidRPr="00662906">
              <w:rPr>
                <w:rFonts w:eastAsia="Arial" w:cs="Arial"/>
                <w:sz w:val="18"/>
                <w:szCs w:val="18"/>
              </w:rPr>
              <w:t>For development ET str</w:t>
            </w:r>
            <w:r w:rsidR="00253721" w:rsidRPr="00662906">
              <w:rPr>
                <w:rFonts w:eastAsia="Arial" w:cs="Arial"/>
                <w:sz w:val="18"/>
                <w:szCs w:val="18"/>
              </w:rPr>
              <w:t>a</w:t>
            </w:r>
            <w:r w:rsidRPr="00662906">
              <w:rPr>
                <w:rFonts w:eastAsia="Arial" w:cs="Arial"/>
                <w:sz w:val="18"/>
                <w:szCs w:val="18"/>
              </w:rPr>
              <w:t>tegies</w:t>
            </w:r>
          </w:p>
        </w:tc>
        <w:tc>
          <w:tcPr>
            <w:tcW w:w="1872" w:type="dxa"/>
            <w:shd w:val="clear" w:color="auto" w:fill="FFFFFF" w:themeFill="background2"/>
            <w:tcMar>
              <w:left w:w="108" w:type="dxa"/>
              <w:right w:w="108" w:type="dxa"/>
            </w:tcMar>
            <w:vAlign w:val="center"/>
          </w:tcPr>
          <w:p w14:paraId="01ACE888" w14:textId="39CDAA91"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t>Capacitated continental, regional and national ET agencies</w:t>
            </w:r>
          </w:p>
        </w:tc>
        <w:tc>
          <w:tcPr>
            <w:tcW w:w="2084" w:type="dxa"/>
            <w:shd w:val="clear" w:color="auto" w:fill="FFFFFF" w:themeFill="background2"/>
            <w:tcMar>
              <w:left w:w="108" w:type="dxa"/>
              <w:right w:w="108" w:type="dxa"/>
            </w:tcMar>
            <w:vAlign w:val="center"/>
          </w:tcPr>
          <w:p w14:paraId="6161535D" w14:textId="221540DD" w:rsidR="001978F1" w:rsidRPr="00662906" w:rsidRDefault="001978F1" w:rsidP="00561F4E">
            <w:pPr>
              <w:spacing w:after="0"/>
              <w:jc w:val="center"/>
              <w:rPr>
                <w:rFonts w:eastAsia="Arial" w:cs="Arial"/>
                <w:color w:val="394A58"/>
                <w:sz w:val="18"/>
                <w:szCs w:val="18"/>
              </w:rPr>
            </w:pPr>
            <w:r w:rsidRPr="00662906">
              <w:rPr>
                <w:rFonts w:eastAsia="Arial" w:cs="Arial"/>
                <w:color w:val="394A58"/>
                <w:sz w:val="18"/>
                <w:szCs w:val="18"/>
              </w:rPr>
              <w:t>Agencies capability to support ET strategies at continental, regional and national level</w:t>
            </w:r>
          </w:p>
        </w:tc>
      </w:tr>
      <w:tr w:rsidR="75BD6BB8" w:rsidRPr="00662906" w14:paraId="20C702BE" w14:textId="77777777" w:rsidTr="00561F4E">
        <w:trPr>
          <w:trHeight w:val="300"/>
        </w:trPr>
        <w:tc>
          <w:tcPr>
            <w:tcW w:w="1454" w:type="dxa"/>
            <w:vMerge w:val="restart"/>
            <w:shd w:val="clear" w:color="auto" w:fill="FFFFFF" w:themeFill="background2"/>
            <w:tcMar>
              <w:left w:w="108" w:type="dxa"/>
              <w:right w:w="108" w:type="dxa"/>
            </w:tcMar>
            <w:vAlign w:val="center"/>
          </w:tcPr>
          <w:p w14:paraId="476D9171" w14:textId="5AA3C8C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Cross Cutting</w:t>
            </w:r>
          </w:p>
        </w:tc>
        <w:tc>
          <w:tcPr>
            <w:tcW w:w="1520" w:type="dxa"/>
            <w:vMerge w:val="restart"/>
            <w:shd w:val="clear" w:color="auto" w:fill="FFFFFF" w:themeFill="background2"/>
            <w:tcMar>
              <w:left w:w="108" w:type="dxa"/>
              <w:right w:w="108" w:type="dxa"/>
            </w:tcMar>
            <w:vAlign w:val="center"/>
          </w:tcPr>
          <w:p w14:paraId="42F2279A" w14:textId="58598F12"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Gender- equitable distribution of energy benefits and the promotion of inclusive development</w:t>
            </w:r>
          </w:p>
        </w:tc>
        <w:tc>
          <w:tcPr>
            <w:tcW w:w="2084" w:type="dxa"/>
            <w:shd w:val="clear" w:color="auto" w:fill="FFFFFF" w:themeFill="background2"/>
            <w:tcMar>
              <w:left w:w="108" w:type="dxa"/>
              <w:right w:w="108" w:type="dxa"/>
            </w:tcMar>
            <w:vAlign w:val="center"/>
          </w:tcPr>
          <w:p w14:paraId="2007F654" w14:textId="7ED2822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integrating gender perspectives and emphasizing the involvement of women at all stages of energy policies, programs, and projects,</w:t>
            </w:r>
          </w:p>
        </w:tc>
        <w:tc>
          <w:tcPr>
            <w:tcW w:w="1872" w:type="dxa"/>
            <w:shd w:val="clear" w:color="auto" w:fill="FFFFFF" w:themeFill="background2"/>
            <w:tcMar>
              <w:left w:w="108" w:type="dxa"/>
              <w:right w:w="108" w:type="dxa"/>
            </w:tcMar>
            <w:vAlign w:val="center"/>
          </w:tcPr>
          <w:p w14:paraId="79D0FFA5" w14:textId="36EC072A"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Gender mainstreaming in policies, plans, budgets</w:t>
            </w:r>
          </w:p>
        </w:tc>
        <w:tc>
          <w:tcPr>
            <w:tcW w:w="2084" w:type="dxa"/>
            <w:shd w:val="clear" w:color="auto" w:fill="FFFFFF" w:themeFill="background2"/>
            <w:tcMar>
              <w:left w:w="108" w:type="dxa"/>
              <w:right w:w="108" w:type="dxa"/>
            </w:tcMar>
            <w:vAlign w:val="center"/>
          </w:tcPr>
          <w:p w14:paraId="746FC0B2" w14:textId="6CD7D91F"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US$ for gender</w:t>
            </w:r>
            <w:r w:rsidR="00EB290A" w:rsidRPr="00662906">
              <w:rPr>
                <w:rFonts w:eastAsia="Arial" w:cs="Arial"/>
                <w:color w:val="394A58"/>
                <w:sz w:val="18"/>
                <w:szCs w:val="18"/>
              </w:rPr>
              <w:t xml:space="preserve"> budgets</w:t>
            </w:r>
          </w:p>
        </w:tc>
      </w:tr>
      <w:tr w:rsidR="75BD6BB8" w:rsidRPr="00662906" w14:paraId="441308CF" w14:textId="77777777" w:rsidTr="00561F4E">
        <w:trPr>
          <w:trHeight w:val="300"/>
        </w:trPr>
        <w:tc>
          <w:tcPr>
            <w:tcW w:w="1454" w:type="dxa"/>
            <w:vMerge/>
            <w:vAlign w:val="center"/>
          </w:tcPr>
          <w:p w14:paraId="418BD715" w14:textId="77777777" w:rsidR="00E02662" w:rsidRPr="00662906" w:rsidRDefault="00E02662" w:rsidP="00561F4E">
            <w:pPr>
              <w:jc w:val="center"/>
              <w:rPr>
                <w:rFonts w:cs="Arial"/>
                <w:sz w:val="18"/>
                <w:szCs w:val="18"/>
              </w:rPr>
            </w:pPr>
          </w:p>
        </w:tc>
        <w:tc>
          <w:tcPr>
            <w:tcW w:w="1520" w:type="dxa"/>
            <w:vMerge/>
            <w:vAlign w:val="center"/>
          </w:tcPr>
          <w:p w14:paraId="7DB846C0"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2DA25AD1" w14:textId="2FB17B11"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Promote gender participation in decision making roles</w:t>
            </w:r>
          </w:p>
        </w:tc>
        <w:tc>
          <w:tcPr>
            <w:tcW w:w="1872" w:type="dxa"/>
            <w:vMerge w:val="restart"/>
            <w:shd w:val="clear" w:color="auto" w:fill="FFFFFF" w:themeFill="background2"/>
            <w:tcMar>
              <w:left w:w="108" w:type="dxa"/>
              <w:right w:w="108" w:type="dxa"/>
            </w:tcMar>
            <w:vAlign w:val="center"/>
          </w:tcPr>
          <w:p w14:paraId="23E1B7CF" w14:textId="46CAF7F1" w:rsidR="75BD6BB8" w:rsidRPr="00662906" w:rsidRDefault="75BD6BB8" w:rsidP="00561F4E">
            <w:pPr>
              <w:spacing w:after="0" w:line="230" w:lineRule="auto"/>
              <w:jc w:val="center"/>
              <w:rPr>
                <w:rFonts w:eastAsia="Arial" w:cs="Arial"/>
                <w:color w:val="394A58"/>
                <w:sz w:val="18"/>
                <w:szCs w:val="18"/>
              </w:rPr>
            </w:pPr>
            <w:r w:rsidRPr="00662906">
              <w:rPr>
                <w:rFonts w:eastAsia="Arial" w:cs="Arial"/>
                <w:color w:val="394A58"/>
                <w:sz w:val="18"/>
                <w:szCs w:val="18"/>
              </w:rPr>
              <w:t>Women participation</w:t>
            </w:r>
          </w:p>
          <w:p w14:paraId="3342B7E2" w14:textId="7396BE4D" w:rsidR="75BD6BB8" w:rsidRPr="00662906" w:rsidRDefault="75BD6BB8" w:rsidP="00561F4E">
            <w:pPr>
              <w:spacing w:before="240" w:after="240"/>
              <w:jc w:val="center"/>
              <w:rPr>
                <w:rFonts w:eastAsia="Arial" w:cs="Arial"/>
                <w:color w:val="394A58"/>
                <w:sz w:val="18"/>
                <w:szCs w:val="18"/>
              </w:rPr>
            </w:pPr>
          </w:p>
        </w:tc>
        <w:tc>
          <w:tcPr>
            <w:tcW w:w="2084" w:type="dxa"/>
            <w:vMerge w:val="restart"/>
            <w:shd w:val="clear" w:color="auto" w:fill="FFFFFF" w:themeFill="background2"/>
            <w:tcMar>
              <w:left w:w="108" w:type="dxa"/>
              <w:right w:w="108" w:type="dxa"/>
            </w:tcMar>
            <w:vAlign w:val="center"/>
          </w:tcPr>
          <w:p w14:paraId="271F7CE6" w14:textId="790F836F"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 of women participation in ETSAP implementation</w:t>
            </w:r>
          </w:p>
          <w:p w14:paraId="3FA02900" w14:textId="63323614" w:rsidR="75BD6BB8" w:rsidRPr="00662906" w:rsidRDefault="75BD6BB8" w:rsidP="00561F4E">
            <w:pPr>
              <w:spacing w:before="240" w:after="240"/>
              <w:jc w:val="center"/>
              <w:rPr>
                <w:rFonts w:eastAsia="Arial" w:cs="Arial"/>
                <w:color w:val="394A58"/>
                <w:sz w:val="18"/>
                <w:szCs w:val="18"/>
              </w:rPr>
            </w:pPr>
          </w:p>
        </w:tc>
      </w:tr>
      <w:tr w:rsidR="75BD6BB8" w:rsidRPr="00662906" w14:paraId="79EB61D5" w14:textId="77777777" w:rsidTr="00561F4E">
        <w:trPr>
          <w:trHeight w:val="300"/>
        </w:trPr>
        <w:tc>
          <w:tcPr>
            <w:tcW w:w="1454" w:type="dxa"/>
            <w:vMerge/>
            <w:vAlign w:val="center"/>
          </w:tcPr>
          <w:p w14:paraId="1F6E50D6" w14:textId="77777777" w:rsidR="00E02662" w:rsidRPr="00662906" w:rsidRDefault="00E02662" w:rsidP="00561F4E">
            <w:pPr>
              <w:jc w:val="center"/>
              <w:rPr>
                <w:rFonts w:cs="Arial"/>
                <w:sz w:val="18"/>
                <w:szCs w:val="18"/>
              </w:rPr>
            </w:pPr>
          </w:p>
        </w:tc>
        <w:tc>
          <w:tcPr>
            <w:tcW w:w="1520" w:type="dxa"/>
            <w:vMerge/>
            <w:vAlign w:val="center"/>
          </w:tcPr>
          <w:p w14:paraId="7F60220F"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72312DD3" w14:textId="185187BE"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Gender Balanced Skills development</w:t>
            </w:r>
          </w:p>
        </w:tc>
        <w:tc>
          <w:tcPr>
            <w:tcW w:w="1872" w:type="dxa"/>
            <w:vMerge/>
            <w:vAlign w:val="center"/>
          </w:tcPr>
          <w:p w14:paraId="46CBC74B" w14:textId="77777777" w:rsidR="00E02662" w:rsidRPr="00662906" w:rsidRDefault="00E02662" w:rsidP="00561F4E">
            <w:pPr>
              <w:jc w:val="center"/>
              <w:rPr>
                <w:rFonts w:cs="Arial"/>
                <w:sz w:val="18"/>
                <w:szCs w:val="18"/>
              </w:rPr>
            </w:pPr>
          </w:p>
        </w:tc>
        <w:tc>
          <w:tcPr>
            <w:tcW w:w="2084" w:type="dxa"/>
            <w:vMerge/>
            <w:vAlign w:val="center"/>
          </w:tcPr>
          <w:p w14:paraId="649A9400" w14:textId="77777777" w:rsidR="00E02662" w:rsidRPr="00662906" w:rsidRDefault="00E02662" w:rsidP="00561F4E">
            <w:pPr>
              <w:jc w:val="center"/>
              <w:rPr>
                <w:rFonts w:cs="Arial"/>
                <w:sz w:val="18"/>
                <w:szCs w:val="18"/>
              </w:rPr>
            </w:pPr>
          </w:p>
        </w:tc>
      </w:tr>
      <w:tr w:rsidR="75BD6BB8" w:rsidRPr="00662906" w14:paraId="0DB0C54D" w14:textId="77777777" w:rsidTr="00561F4E">
        <w:trPr>
          <w:trHeight w:val="300"/>
        </w:trPr>
        <w:tc>
          <w:tcPr>
            <w:tcW w:w="1454" w:type="dxa"/>
            <w:vMerge w:val="restart"/>
            <w:shd w:val="clear" w:color="auto" w:fill="FFFFFF" w:themeFill="background2"/>
            <w:tcMar>
              <w:left w:w="108" w:type="dxa"/>
              <w:right w:w="108" w:type="dxa"/>
            </w:tcMar>
            <w:vAlign w:val="center"/>
          </w:tcPr>
          <w:p w14:paraId="43CF938A" w14:textId="0AD13BC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Cross Sectoral</w:t>
            </w:r>
          </w:p>
        </w:tc>
        <w:tc>
          <w:tcPr>
            <w:tcW w:w="1520" w:type="dxa"/>
            <w:vMerge w:val="restart"/>
            <w:shd w:val="clear" w:color="auto" w:fill="FFFFFF" w:themeFill="background2"/>
            <w:tcMar>
              <w:left w:w="108" w:type="dxa"/>
              <w:right w:w="108" w:type="dxa"/>
            </w:tcMar>
            <w:vAlign w:val="center"/>
          </w:tcPr>
          <w:p w14:paraId="6F6B0062" w14:textId="17EED3CE"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Cross sectoral planning</w:t>
            </w:r>
          </w:p>
        </w:tc>
        <w:tc>
          <w:tcPr>
            <w:tcW w:w="2084" w:type="dxa"/>
            <w:shd w:val="clear" w:color="auto" w:fill="FFFFFF" w:themeFill="background2"/>
            <w:tcMar>
              <w:left w:w="108" w:type="dxa"/>
              <w:right w:w="108" w:type="dxa"/>
            </w:tcMar>
            <w:vAlign w:val="center"/>
          </w:tcPr>
          <w:p w14:paraId="53FFCF4B" w14:textId="40403424"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Assessment of subsector cross-sectoral issues and synergy including other relevant sectors such as water, ICT, Industrialization</w:t>
            </w:r>
          </w:p>
        </w:tc>
        <w:tc>
          <w:tcPr>
            <w:tcW w:w="1872" w:type="dxa"/>
            <w:vMerge w:val="restart"/>
            <w:shd w:val="clear" w:color="auto" w:fill="FFFFFF" w:themeFill="background2"/>
            <w:tcMar>
              <w:left w:w="108" w:type="dxa"/>
              <w:right w:w="108" w:type="dxa"/>
            </w:tcMar>
            <w:vAlign w:val="center"/>
          </w:tcPr>
          <w:p w14:paraId="3D8754EA" w14:textId="16E88124" w:rsidR="75BD6BB8" w:rsidRPr="00662906" w:rsidRDefault="75BD6BB8" w:rsidP="00561F4E">
            <w:pPr>
              <w:spacing w:before="240" w:after="240" w:line="230" w:lineRule="auto"/>
              <w:jc w:val="center"/>
              <w:rPr>
                <w:rFonts w:eastAsia="Arial" w:cs="Arial"/>
                <w:color w:val="394A58"/>
                <w:sz w:val="18"/>
                <w:szCs w:val="18"/>
              </w:rPr>
            </w:pPr>
            <w:r w:rsidRPr="00662906">
              <w:rPr>
                <w:rFonts w:eastAsia="Arial" w:cs="Arial"/>
                <w:color w:val="394A58"/>
                <w:sz w:val="18"/>
                <w:szCs w:val="18"/>
              </w:rPr>
              <w:t>Multisectoral Investment projects in ETSAP</w:t>
            </w:r>
          </w:p>
        </w:tc>
        <w:tc>
          <w:tcPr>
            <w:tcW w:w="2084" w:type="dxa"/>
            <w:vMerge w:val="restart"/>
            <w:shd w:val="clear" w:color="auto" w:fill="FFFFFF" w:themeFill="background2"/>
            <w:tcMar>
              <w:left w:w="108" w:type="dxa"/>
              <w:right w:w="108" w:type="dxa"/>
            </w:tcMar>
            <w:vAlign w:val="center"/>
          </w:tcPr>
          <w:p w14:paraId="5B7C4D1E" w14:textId="6CE4FBFC" w:rsidR="75BD6BB8" w:rsidRPr="00662906" w:rsidRDefault="75BD6BB8" w:rsidP="00561F4E">
            <w:pPr>
              <w:spacing w:after="0"/>
              <w:jc w:val="center"/>
              <w:rPr>
                <w:rFonts w:eastAsia="Arial" w:cs="Arial"/>
                <w:color w:val="394A58"/>
                <w:sz w:val="18"/>
                <w:szCs w:val="18"/>
              </w:rPr>
            </w:pPr>
            <w:r w:rsidRPr="00662906">
              <w:rPr>
                <w:rFonts w:eastAsia="Arial" w:cs="Arial"/>
                <w:color w:val="394A58"/>
                <w:sz w:val="18"/>
                <w:szCs w:val="18"/>
              </w:rPr>
              <w:t>US$ compared to all investment of ETSAP</w:t>
            </w:r>
          </w:p>
          <w:p w14:paraId="6B8E4CDC" w14:textId="7A1D2CA8" w:rsidR="75BD6BB8" w:rsidRPr="00662906" w:rsidRDefault="75BD6BB8" w:rsidP="00561F4E">
            <w:pPr>
              <w:spacing w:after="0"/>
              <w:jc w:val="center"/>
              <w:rPr>
                <w:rFonts w:eastAsia="Arial" w:cs="Arial"/>
                <w:color w:val="394A58"/>
                <w:sz w:val="18"/>
                <w:szCs w:val="18"/>
              </w:rPr>
            </w:pPr>
          </w:p>
          <w:p w14:paraId="763EB0E9" w14:textId="4C47123B" w:rsidR="75BD6BB8" w:rsidRPr="00662906" w:rsidRDefault="75BD6BB8" w:rsidP="00561F4E">
            <w:pPr>
              <w:spacing w:after="0"/>
              <w:jc w:val="center"/>
              <w:rPr>
                <w:rFonts w:eastAsia="Arial" w:cs="Arial"/>
                <w:color w:val="394A58"/>
                <w:sz w:val="18"/>
                <w:szCs w:val="18"/>
              </w:rPr>
            </w:pPr>
          </w:p>
          <w:p w14:paraId="75714E06" w14:textId="5D933C2C" w:rsidR="75BD6BB8" w:rsidRPr="00662906" w:rsidRDefault="75BD6BB8" w:rsidP="00561F4E">
            <w:pPr>
              <w:spacing w:before="240" w:after="240"/>
              <w:jc w:val="center"/>
              <w:rPr>
                <w:rFonts w:eastAsia="Arial" w:cs="Arial"/>
                <w:color w:val="394A58"/>
                <w:sz w:val="18"/>
                <w:szCs w:val="18"/>
              </w:rPr>
            </w:pPr>
          </w:p>
        </w:tc>
      </w:tr>
      <w:tr w:rsidR="75BD6BB8" w:rsidRPr="00662906" w14:paraId="46F4C39F" w14:textId="77777777" w:rsidTr="00561F4E">
        <w:trPr>
          <w:trHeight w:val="300"/>
        </w:trPr>
        <w:tc>
          <w:tcPr>
            <w:tcW w:w="1454" w:type="dxa"/>
            <w:vMerge/>
            <w:vAlign w:val="center"/>
          </w:tcPr>
          <w:p w14:paraId="4849FE22" w14:textId="77777777" w:rsidR="00E02662" w:rsidRPr="00662906" w:rsidRDefault="00E02662" w:rsidP="00561F4E">
            <w:pPr>
              <w:jc w:val="center"/>
              <w:rPr>
                <w:rFonts w:cs="Arial"/>
                <w:sz w:val="18"/>
                <w:szCs w:val="18"/>
              </w:rPr>
            </w:pPr>
          </w:p>
        </w:tc>
        <w:tc>
          <w:tcPr>
            <w:tcW w:w="1520" w:type="dxa"/>
            <w:vMerge/>
            <w:vAlign w:val="center"/>
          </w:tcPr>
          <w:p w14:paraId="3D044737"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61A68106" w14:textId="74783C8C"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Aggregation of costs of implementation and impact</w:t>
            </w:r>
          </w:p>
        </w:tc>
        <w:tc>
          <w:tcPr>
            <w:tcW w:w="1872" w:type="dxa"/>
            <w:vMerge/>
            <w:vAlign w:val="center"/>
          </w:tcPr>
          <w:p w14:paraId="19F000AB" w14:textId="77777777" w:rsidR="00E02662" w:rsidRPr="00662906" w:rsidRDefault="00E02662" w:rsidP="00561F4E">
            <w:pPr>
              <w:jc w:val="center"/>
              <w:rPr>
                <w:rFonts w:cs="Arial"/>
                <w:sz w:val="18"/>
                <w:szCs w:val="18"/>
              </w:rPr>
            </w:pPr>
          </w:p>
        </w:tc>
        <w:tc>
          <w:tcPr>
            <w:tcW w:w="2084" w:type="dxa"/>
            <w:vMerge/>
            <w:vAlign w:val="center"/>
          </w:tcPr>
          <w:p w14:paraId="0584995F" w14:textId="77777777" w:rsidR="00E02662" w:rsidRPr="00662906" w:rsidRDefault="00E02662" w:rsidP="00561F4E">
            <w:pPr>
              <w:jc w:val="center"/>
              <w:rPr>
                <w:rFonts w:cs="Arial"/>
                <w:sz w:val="18"/>
                <w:szCs w:val="18"/>
              </w:rPr>
            </w:pPr>
          </w:p>
        </w:tc>
      </w:tr>
      <w:tr w:rsidR="75BD6BB8" w:rsidRPr="00662906" w14:paraId="4A2BC9DB" w14:textId="77777777" w:rsidTr="00561F4E">
        <w:trPr>
          <w:trHeight w:val="300"/>
        </w:trPr>
        <w:tc>
          <w:tcPr>
            <w:tcW w:w="1454" w:type="dxa"/>
            <w:vMerge/>
            <w:vAlign w:val="center"/>
          </w:tcPr>
          <w:p w14:paraId="4E803086" w14:textId="77777777" w:rsidR="00E02662" w:rsidRPr="00662906" w:rsidRDefault="00E02662" w:rsidP="00561F4E">
            <w:pPr>
              <w:jc w:val="center"/>
              <w:rPr>
                <w:rFonts w:cs="Arial"/>
                <w:sz w:val="18"/>
                <w:szCs w:val="18"/>
              </w:rPr>
            </w:pPr>
          </w:p>
        </w:tc>
        <w:tc>
          <w:tcPr>
            <w:tcW w:w="1520" w:type="dxa"/>
            <w:vMerge/>
            <w:vAlign w:val="center"/>
          </w:tcPr>
          <w:p w14:paraId="5634BF0C"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2C9BECF7" w14:textId="43B7BB86"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Sub sector Stakeholder engagements</w:t>
            </w:r>
          </w:p>
        </w:tc>
        <w:tc>
          <w:tcPr>
            <w:tcW w:w="1872" w:type="dxa"/>
            <w:vMerge/>
            <w:vAlign w:val="center"/>
          </w:tcPr>
          <w:p w14:paraId="1820A40E" w14:textId="77777777" w:rsidR="00E02662" w:rsidRPr="00662906" w:rsidRDefault="00E02662" w:rsidP="00561F4E">
            <w:pPr>
              <w:jc w:val="center"/>
              <w:rPr>
                <w:rFonts w:cs="Arial"/>
                <w:sz w:val="18"/>
                <w:szCs w:val="18"/>
              </w:rPr>
            </w:pPr>
          </w:p>
        </w:tc>
        <w:tc>
          <w:tcPr>
            <w:tcW w:w="2084" w:type="dxa"/>
            <w:vMerge/>
            <w:vAlign w:val="center"/>
          </w:tcPr>
          <w:p w14:paraId="6D688AC0" w14:textId="77777777" w:rsidR="00E02662" w:rsidRPr="00662906" w:rsidRDefault="00E02662" w:rsidP="00561F4E">
            <w:pPr>
              <w:jc w:val="center"/>
              <w:rPr>
                <w:rFonts w:cs="Arial"/>
                <w:sz w:val="18"/>
                <w:szCs w:val="18"/>
              </w:rPr>
            </w:pPr>
          </w:p>
        </w:tc>
      </w:tr>
      <w:tr w:rsidR="75BD6BB8" w:rsidRPr="00662906" w14:paraId="33E0366C" w14:textId="77777777" w:rsidTr="00561F4E">
        <w:trPr>
          <w:trHeight w:val="300"/>
        </w:trPr>
        <w:tc>
          <w:tcPr>
            <w:tcW w:w="1454" w:type="dxa"/>
            <w:vMerge/>
            <w:vAlign w:val="center"/>
          </w:tcPr>
          <w:p w14:paraId="3B7C7C0A" w14:textId="77777777" w:rsidR="00E02662" w:rsidRPr="00662906" w:rsidRDefault="00E02662" w:rsidP="00561F4E">
            <w:pPr>
              <w:jc w:val="center"/>
              <w:rPr>
                <w:rFonts w:cs="Arial"/>
                <w:sz w:val="18"/>
                <w:szCs w:val="18"/>
              </w:rPr>
            </w:pPr>
          </w:p>
        </w:tc>
        <w:tc>
          <w:tcPr>
            <w:tcW w:w="1520" w:type="dxa"/>
            <w:vMerge/>
            <w:vAlign w:val="center"/>
          </w:tcPr>
          <w:p w14:paraId="1DF6EDCD" w14:textId="77777777" w:rsidR="00E02662" w:rsidRPr="00662906" w:rsidRDefault="00E02662" w:rsidP="00561F4E">
            <w:pPr>
              <w:jc w:val="center"/>
              <w:rPr>
                <w:rFonts w:cs="Arial"/>
                <w:sz w:val="18"/>
                <w:szCs w:val="18"/>
              </w:rPr>
            </w:pPr>
          </w:p>
        </w:tc>
        <w:tc>
          <w:tcPr>
            <w:tcW w:w="2084" w:type="dxa"/>
            <w:shd w:val="clear" w:color="auto" w:fill="FFFFFF" w:themeFill="background2"/>
            <w:tcMar>
              <w:left w:w="108" w:type="dxa"/>
              <w:right w:w="108" w:type="dxa"/>
            </w:tcMar>
            <w:vAlign w:val="center"/>
          </w:tcPr>
          <w:p w14:paraId="70AF9F3D" w14:textId="7AA1D679" w:rsidR="75BD6BB8" w:rsidRPr="00662906" w:rsidRDefault="75BD6BB8" w:rsidP="00561F4E">
            <w:pPr>
              <w:spacing w:before="40" w:after="40"/>
              <w:jc w:val="center"/>
              <w:rPr>
                <w:rFonts w:eastAsia="Arial" w:cs="Arial"/>
                <w:color w:val="394A58"/>
                <w:sz w:val="18"/>
                <w:szCs w:val="18"/>
              </w:rPr>
            </w:pPr>
            <w:r w:rsidRPr="00662906">
              <w:rPr>
                <w:rFonts w:eastAsia="Arial" w:cs="Arial"/>
                <w:color w:val="394A58"/>
                <w:sz w:val="18"/>
                <w:szCs w:val="18"/>
              </w:rPr>
              <w:t>Collective Resource mobilization</w:t>
            </w:r>
          </w:p>
        </w:tc>
        <w:tc>
          <w:tcPr>
            <w:tcW w:w="1872" w:type="dxa"/>
            <w:vMerge/>
            <w:vAlign w:val="center"/>
          </w:tcPr>
          <w:p w14:paraId="14BE2793" w14:textId="77777777" w:rsidR="00E02662" w:rsidRPr="00662906" w:rsidRDefault="00E02662" w:rsidP="00561F4E">
            <w:pPr>
              <w:jc w:val="center"/>
              <w:rPr>
                <w:rFonts w:cs="Arial"/>
                <w:sz w:val="18"/>
                <w:szCs w:val="18"/>
              </w:rPr>
            </w:pPr>
          </w:p>
        </w:tc>
        <w:tc>
          <w:tcPr>
            <w:tcW w:w="2084" w:type="dxa"/>
            <w:vMerge/>
            <w:vAlign w:val="center"/>
          </w:tcPr>
          <w:p w14:paraId="12A43BE4" w14:textId="77777777" w:rsidR="00E02662" w:rsidRPr="00662906" w:rsidRDefault="00E02662" w:rsidP="00561F4E">
            <w:pPr>
              <w:jc w:val="center"/>
              <w:rPr>
                <w:rFonts w:cs="Arial"/>
                <w:sz w:val="18"/>
                <w:szCs w:val="18"/>
              </w:rPr>
            </w:pPr>
          </w:p>
        </w:tc>
      </w:tr>
    </w:tbl>
    <w:p w14:paraId="61F67A39" w14:textId="5E65B3F1" w:rsidR="00144084" w:rsidRPr="00662906" w:rsidRDefault="004A1703" w:rsidP="004A1703">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38AA9625" w14:textId="1AC51D42" w:rsidR="00415EAC" w:rsidRPr="00662906" w:rsidRDefault="2D4B0C98" w:rsidP="00804761">
      <w:pPr>
        <w:pStyle w:val="Heading3"/>
      </w:pPr>
      <w:bookmarkStart w:id="868" w:name="_Toc176341856"/>
      <w:bookmarkStart w:id="869" w:name="_Toc176430250"/>
      <w:bookmarkStart w:id="870" w:name="_Toc176430307"/>
      <w:bookmarkStart w:id="871" w:name="_Toc176441439"/>
      <w:bookmarkStart w:id="872" w:name="_Toc176442094"/>
      <w:bookmarkStart w:id="873" w:name="_Toc178937511"/>
      <w:bookmarkStart w:id="874" w:name="_Toc197433875"/>
      <w:r w:rsidRPr="00662906">
        <w:t>Evaluation Framework</w:t>
      </w:r>
      <w:bookmarkEnd w:id="868"/>
      <w:bookmarkEnd w:id="869"/>
      <w:bookmarkEnd w:id="870"/>
      <w:bookmarkEnd w:id="871"/>
      <w:bookmarkEnd w:id="872"/>
      <w:bookmarkEnd w:id="873"/>
      <w:bookmarkEnd w:id="874"/>
    </w:p>
    <w:p w14:paraId="64F93A19" w14:textId="649AD0A5" w:rsidR="00A0093F" w:rsidRPr="00662906" w:rsidRDefault="7D7C6CF3" w:rsidP="00804761">
      <w:r w:rsidRPr="00662906">
        <w:t xml:space="preserve">Evaluation will be undertaken in 2030, 2040 and 2063 in accordance with the end of the ETSAP Short Term, Medium Term and </w:t>
      </w:r>
      <w:r w:rsidR="07A1CB6B" w:rsidRPr="00662906">
        <w:t>Long-Term</w:t>
      </w:r>
      <w:r w:rsidRPr="00662906">
        <w:t xml:space="preserve"> timelines.</w:t>
      </w:r>
      <w:r w:rsidR="07A1CB6B" w:rsidRPr="00662906">
        <w:t xml:space="preserve"> </w:t>
      </w:r>
      <w:r w:rsidR="4F3FEDE6" w:rsidRPr="00662906">
        <w:t>Evaluation will inform any adjustments that may be needed learning from past performance and also incorporating new and upcoming paradigms.</w:t>
      </w:r>
    </w:p>
    <w:p w14:paraId="7DF36903" w14:textId="4A724844" w:rsidR="009E4659" w:rsidRPr="00662906" w:rsidRDefault="67EDA7EA" w:rsidP="00804761">
      <w:pPr>
        <w:pStyle w:val="Heading2"/>
      </w:pPr>
      <w:bookmarkStart w:id="875" w:name="_Toc178936809"/>
      <w:bookmarkStart w:id="876" w:name="_Toc178937288"/>
      <w:bookmarkStart w:id="877" w:name="_Toc178937402"/>
      <w:bookmarkStart w:id="878" w:name="_Toc178937512"/>
      <w:bookmarkStart w:id="879" w:name="_Toc178937627"/>
      <w:bookmarkStart w:id="880" w:name="_Toc178937736"/>
      <w:bookmarkStart w:id="881" w:name="_Toc178937846"/>
      <w:bookmarkStart w:id="882" w:name="_Toc178937954"/>
      <w:bookmarkStart w:id="883" w:name="_Toc178938062"/>
      <w:bookmarkStart w:id="884" w:name="_Toc176341857"/>
      <w:bookmarkStart w:id="885" w:name="_Toc176430251"/>
      <w:bookmarkStart w:id="886" w:name="_Toc176430308"/>
      <w:bookmarkStart w:id="887" w:name="_Toc176441440"/>
      <w:bookmarkStart w:id="888" w:name="_Toc176442095"/>
      <w:bookmarkStart w:id="889" w:name="_Toc178937513"/>
      <w:bookmarkStart w:id="890" w:name="_Toc197433876"/>
      <w:bookmarkStart w:id="891" w:name="_Toc171955567"/>
      <w:bookmarkStart w:id="892" w:name="_Toc176190972"/>
      <w:bookmarkStart w:id="893" w:name="_Toc176191138"/>
      <w:bookmarkEnd w:id="875"/>
      <w:bookmarkEnd w:id="876"/>
      <w:bookmarkEnd w:id="877"/>
      <w:bookmarkEnd w:id="878"/>
      <w:bookmarkEnd w:id="879"/>
      <w:bookmarkEnd w:id="880"/>
      <w:bookmarkEnd w:id="881"/>
      <w:bookmarkEnd w:id="882"/>
      <w:bookmarkEnd w:id="883"/>
      <w:r w:rsidRPr="00662906">
        <w:t>Communication Plan</w:t>
      </w:r>
      <w:bookmarkEnd w:id="884"/>
      <w:bookmarkEnd w:id="885"/>
      <w:bookmarkEnd w:id="886"/>
      <w:bookmarkEnd w:id="887"/>
      <w:bookmarkEnd w:id="888"/>
      <w:bookmarkEnd w:id="889"/>
      <w:bookmarkEnd w:id="890"/>
      <w:r w:rsidR="05697052" w:rsidRPr="00662906">
        <w:t xml:space="preserve"> </w:t>
      </w:r>
      <w:bookmarkEnd w:id="891"/>
      <w:bookmarkEnd w:id="892"/>
      <w:bookmarkEnd w:id="893"/>
    </w:p>
    <w:p w14:paraId="7E10A6C0" w14:textId="599912AD" w:rsidR="009E4659" w:rsidRPr="00662906" w:rsidRDefault="009E4659" w:rsidP="008A2BB5">
      <w:pPr>
        <w:pStyle w:val="Heading3"/>
      </w:pPr>
      <w:bookmarkStart w:id="894" w:name="_Toc171955568"/>
      <w:bookmarkStart w:id="895" w:name="_Toc176190973"/>
      <w:bookmarkStart w:id="896" w:name="_Toc176191139"/>
      <w:bookmarkStart w:id="897" w:name="_Toc176341858"/>
      <w:bookmarkStart w:id="898" w:name="_Toc176430252"/>
      <w:bookmarkStart w:id="899" w:name="_Toc176430309"/>
      <w:bookmarkStart w:id="900" w:name="_Toc176441441"/>
      <w:bookmarkStart w:id="901" w:name="_Toc176442096"/>
      <w:bookmarkStart w:id="902" w:name="_Toc178937514"/>
      <w:bookmarkStart w:id="903" w:name="_Toc197433877"/>
      <w:r w:rsidRPr="00662906">
        <w:t>Specific Objectives of the C</w:t>
      </w:r>
      <w:r w:rsidR="00FA13A9" w:rsidRPr="00662906">
        <w:t>ommunication Plan</w:t>
      </w:r>
      <w:bookmarkEnd w:id="894"/>
      <w:bookmarkEnd w:id="895"/>
      <w:bookmarkEnd w:id="896"/>
      <w:bookmarkEnd w:id="897"/>
      <w:bookmarkEnd w:id="898"/>
      <w:bookmarkEnd w:id="899"/>
      <w:bookmarkEnd w:id="900"/>
      <w:bookmarkEnd w:id="901"/>
      <w:bookmarkEnd w:id="902"/>
      <w:bookmarkEnd w:id="903"/>
    </w:p>
    <w:p w14:paraId="5FDA0DF5" w14:textId="4F63F533" w:rsidR="009E4659" w:rsidRPr="00662906" w:rsidRDefault="009E4659" w:rsidP="009E4659">
      <w:r w:rsidRPr="00662906">
        <w:t>The communication plan</w:t>
      </w:r>
      <w:r w:rsidR="00FA13A9" w:rsidRPr="00662906">
        <w:t xml:space="preserve"> (CP)</w:t>
      </w:r>
      <w:r w:rsidRPr="00662906">
        <w:t xml:space="preserve"> for the African Union Energy Transition Strategy aims to </w:t>
      </w:r>
      <w:r w:rsidR="00472E0A" w:rsidRPr="00662906">
        <w:t>catalyse</w:t>
      </w:r>
      <w:r w:rsidRPr="00662906">
        <w:t xml:space="preserve"> effective communication and outreach efforts, essential for the successful implementation and widespread acceptance of the strategy. The overarching goals are to inform, engage, and mobilize all relevant stakeholders and the general</w:t>
      </w:r>
      <w:r w:rsidR="004A0E7E" w:rsidRPr="00662906">
        <w:t xml:space="preserve"> </w:t>
      </w:r>
      <w:r w:rsidRPr="00662906">
        <w:t>public towards achieving a sustainable and inclusive energy transition across Africa. Here is a detailed elaboration of the specific objectives and sub-objectives of this communication plan:</w:t>
      </w:r>
    </w:p>
    <w:p w14:paraId="4B5653BC" w14:textId="77777777" w:rsidR="009E4659" w:rsidRPr="00662906" w:rsidRDefault="009E4659" w:rsidP="009E4659">
      <w:pPr>
        <w:rPr>
          <w:b/>
          <w:bCs/>
        </w:rPr>
      </w:pPr>
      <w:r w:rsidRPr="00662906">
        <w:rPr>
          <w:b/>
          <w:bCs/>
        </w:rPr>
        <w:t>Objective 1: Enhance Awareness and Understanding of the Energy Transition</w:t>
      </w:r>
    </w:p>
    <w:p w14:paraId="49D72412" w14:textId="73215391" w:rsidR="009E4659" w:rsidRPr="00662906" w:rsidRDefault="009E4659" w:rsidP="009E4659">
      <w:r w:rsidRPr="00662906">
        <w:lastRenderedPageBreak/>
        <w:t xml:space="preserve">The primary aim is to increase awareness and deepen the understanding of the energy transition's objectives, challenges, and benefits among all stakeholders. This will involve disseminating information about energy </w:t>
      </w:r>
      <w:r w:rsidR="61759558" w:rsidRPr="00662906">
        <w:t>transition</w:t>
      </w:r>
      <w:r w:rsidRPr="00662906">
        <w:t xml:space="preserve"> measures, and the importance of </w:t>
      </w:r>
      <w:r w:rsidR="3DAF9A5D" w:rsidRPr="00662906">
        <w:t>trending along a low</w:t>
      </w:r>
      <w:r w:rsidRPr="00662906">
        <w:t xml:space="preserve"> carbon </w:t>
      </w:r>
      <w:r w:rsidR="3DAF9A5D" w:rsidRPr="00662906">
        <w:t>path</w:t>
      </w:r>
      <w:r w:rsidRPr="00662906">
        <w:t>.</w:t>
      </w:r>
    </w:p>
    <w:p w14:paraId="5D8F9909" w14:textId="3F247B30" w:rsidR="009E4659" w:rsidRPr="00662906" w:rsidRDefault="009E4659" w:rsidP="3AA1B05C">
      <w:pPr>
        <w:pStyle w:val="ListParagraph"/>
      </w:pPr>
      <w:r w:rsidRPr="00662906">
        <w:t xml:space="preserve">Sub-objective 1.1: Ensure that all AU </w:t>
      </w:r>
      <w:r w:rsidR="238367DF" w:rsidRPr="00662906">
        <w:t>Organizations, regional organizations</w:t>
      </w:r>
      <w:r w:rsidR="00F64667" w:rsidRPr="00662906">
        <w:t>,</w:t>
      </w:r>
      <w:r w:rsidR="238367DF" w:rsidRPr="00662906">
        <w:t xml:space="preserve"> and </w:t>
      </w:r>
      <w:r w:rsidR="6F2B58E0" w:rsidRPr="00662906">
        <w:t>MS</w:t>
      </w:r>
      <w:r w:rsidR="1B3B83D0" w:rsidRPr="00662906">
        <w:t>, energy</w:t>
      </w:r>
      <w:r w:rsidR="0DC8213E" w:rsidRPr="00662906">
        <w:t xml:space="preserve"> and related sectors’</w:t>
      </w:r>
      <w:r w:rsidRPr="00662906">
        <w:t xml:space="preserve"> stakeholders, and the wider public across the continent are well-informed about the goals of the ETSAP and are motivated to participate actively.</w:t>
      </w:r>
    </w:p>
    <w:p w14:paraId="68EEC795" w14:textId="77777777" w:rsidR="009E4659" w:rsidRPr="00662906" w:rsidRDefault="009E4659" w:rsidP="00E1605A">
      <w:pPr>
        <w:pStyle w:val="ListParagraph"/>
        <w:numPr>
          <w:ilvl w:val="0"/>
          <w:numId w:val="5"/>
        </w:numPr>
      </w:pPr>
      <w:r w:rsidRPr="00662906">
        <w:t>Sub-objective 1.2: Disseminate actionable information and best practices that can aid countries and communities in transitioning towards more sustainable energy systems.</w:t>
      </w:r>
    </w:p>
    <w:p w14:paraId="2B6B8CC0" w14:textId="77777777" w:rsidR="009E4659" w:rsidRPr="00662906" w:rsidRDefault="009E4659" w:rsidP="00E1605A">
      <w:pPr>
        <w:pStyle w:val="ListParagraph"/>
        <w:numPr>
          <w:ilvl w:val="0"/>
          <w:numId w:val="5"/>
        </w:numPr>
      </w:pPr>
      <w:r w:rsidRPr="00662906">
        <w:t>Sub-objective 1.3: Highlight successful case studies and role models in energy transition initiatives to inspire and motivate stakeholders and the general populace.</w:t>
      </w:r>
    </w:p>
    <w:p w14:paraId="5803719F" w14:textId="77777777" w:rsidR="009E4659" w:rsidRPr="00662906" w:rsidRDefault="009E4659" w:rsidP="00E1605A">
      <w:pPr>
        <w:pStyle w:val="ListParagraph"/>
        <w:numPr>
          <w:ilvl w:val="0"/>
          <w:numId w:val="5"/>
        </w:numPr>
      </w:pPr>
      <w:r w:rsidRPr="00662906">
        <w:t>Sub-objective 1.4: Execute targeted public awareness campaigns and educational programs that emphasize the environmental, economic, and social benefits of a robust energy transition.</w:t>
      </w:r>
    </w:p>
    <w:p w14:paraId="172AD2BB" w14:textId="77777777" w:rsidR="009E4659" w:rsidRPr="00662906" w:rsidRDefault="009E4659" w:rsidP="009E4659">
      <w:pPr>
        <w:rPr>
          <w:b/>
          <w:bCs/>
        </w:rPr>
      </w:pPr>
      <w:r w:rsidRPr="00662906">
        <w:rPr>
          <w:b/>
          <w:bCs/>
        </w:rPr>
        <w:t>Objective 2: Promote Advocacy and Political Support</w:t>
      </w:r>
    </w:p>
    <w:p w14:paraId="60E30DF9" w14:textId="77777777" w:rsidR="009E4659" w:rsidRPr="00662906" w:rsidRDefault="009E4659" w:rsidP="009E4659">
      <w:r w:rsidRPr="00662906">
        <w:t>Advocacy is crucial to gain the necessary political and financial support for implementing the ETSAP. This involves engaging with political leaders, policymakers, the private sector, and international donors to secure commitment and resources.</w:t>
      </w:r>
    </w:p>
    <w:p w14:paraId="019BF296" w14:textId="77777777" w:rsidR="009E4659" w:rsidRPr="00662906" w:rsidRDefault="009E4659" w:rsidP="00472E0A">
      <w:pPr>
        <w:pStyle w:val="Bullets"/>
        <w:rPr>
          <w:lang w:val="en-GB"/>
        </w:rPr>
      </w:pPr>
      <w:r w:rsidRPr="00662906">
        <w:rPr>
          <w:lang w:val="en-GB"/>
        </w:rPr>
        <w:t>Sub-objective 2.1: Leverage political will at both national and regional levels to support legislative and policy frameworks conducive to energy transition.</w:t>
      </w:r>
    </w:p>
    <w:p w14:paraId="56B611E6" w14:textId="49319FC6" w:rsidR="009E4659" w:rsidRPr="00662906" w:rsidRDefault="009E4659" w:rsidP="00472E0A">
      <w:pPr>
        <w:pStyle w:val="Bullets"/>
        <w:rPr>
          <w:lang w:val="en-GB"/>
        </w:rPr>
      </w:pPr>
      <w:r w:rsidRPr="00662906">
        <w:rPr>
          <w:lang w:val="en-GB"/>
        </w:rPr>
        <w:t xml:space="preserve">Sub-objective 2.2: Facilitate policy harmonization across </w:t>
      </w:r>
      <w:r w:rsidR="01966502" w:rsidRPr="00662906">
        <w:rPr>
          <w:lang w:val="en-GB"/>
        </w:rPr>
        <w:t>MS</w:t>
      </w:r>
      <w:r w:rsidRPr="00662906">
        <w:rPr>
          <w:lang w:val="en-GB"/>
        </w:rPr>
        <w:t xml:space="preserve"> to ensure a cohesive approach towards energy transition.</w:t>
      </w:r>
    </w:p>
    <w:p w14:paraId="21D9813F" w14:textId="77777777" w:rsidR="009E4659" w:rsidRPr="00662906" w:rsidRDefault="009E4659" w:rsidP="00472E0A">
      <w:pPr>
        <w:pStyle w:val="Bullets"/>
        <w:rPr>
          <w:lang w:val="en-GB"/>
        </w:rPr>
      </w:pPr>
      <w:r w:rsidRPr="00662906">
        <w:rPr>
          <w:lang w:val="en-GB"/>
        </w:rPr>
        <w:t>Sub-objective 2.3: Foster partnerships with international bodies and organizations to align the ETSAP with global energy goals and to attract funding.</w:t>
      </w:r>
    </w:p>
    <w:p w14:paraId="304000EA" w14:textId="5EAB896F" w:rsidR="009E4659" w:rsidRPr="00662906" w:rsidRDefault="009E4659" w:rsidP="00472E0A">
      <w:pPr>
        <w:pStyle w:val="Bullets"/>
        <w:rPr>
          <w:lang w:val="en-GB"/>
        </w:rPr>
      </w:pPr>
      <w:r w:rsidRPr="00662906">
        <w:rPr>
          <w:lang w:val="en-GB"/>
        </w:rPr>
        <w:t xml:space="preserve">Sub-objective 2.4: Engage with financial institutions and private sector investors to mobilize </w:t>
      </w:r>
      <w:r w:rsidR="3B2680DB" w:rsidRPr="00662906">
        <w:rPr>
          <w:lang w:val="en-GB"/>
        </w:rPr>
        <w:t>resources</w:t>
      </w:r>
      <w:r w:rsidRPr="00662906">
        <w:rPr>
          <w:lang w:val="en-GB"/>
        </w:rPr>
        <w:t xml:space="preserve"> for </w:t>
      </w:r>
      <w:r w:rsidR="5CCE0263" w:rsidRPr="00662906">
        <w:rPr>
          <w:lang w:val="en-GB"/>
        </w:rPr>
        <w:t>ET</w:t>
      </w:r>
      <w:r w:rsidR="1B3B83D0" w:rsidRPr="00662906">
        <w:rPr>
          <w:lang w:val="en-GB"/>
        </w:rPr>
        <w:t xml:space="preserve"> </w:t>
      </w:r>
      <w:r w:rsidR="45D99790" w:rsidRPr="00662906">
        <w:rPr>
          <w:lang w:val="en-GB"/>
        </w:rPr>
        <w:t>initia</w:t>
      </w:r>
      <w:r w:rsidR="553072C0" w:rsidRPr="00662906">
        <w:rPr>
          <w:lang w:val="en-GB"/>
        </w:rPr>
        <w:t>t</w:t>
      </w:r>
      <w:r w:rsidR="45D99790" w:rsidRPr="00662906">
        <w:rPr>
          <w:lang w:val="en-GB"/>
        </w:rPr>
        <w:t>ives</w:t>
      </w:r>
      <w:r w:rsidR="008C3EFF" w:rsidRPr="00662906">
        <w:rPr>
          <w:lang w:val="en-GB"/>
        </w:rPr>
        <w:t>.</w:t>
      </w:r>
    </w:p>
    <w:p w14:paraId="226FDF3C" w14:textId="77777777" w:rsidR="009E4659" w:rsidRPr="00662906" w:rsidRDefault="009E4659" w:rsidP="009E4659">
      <w:pPr>
        <w:rPr>
          <w:b/>
          <w:bCs/>
        </w:rPr>
      </w:pPr>
      <w:r w:rsidRPr="00662906">
        <w:rPr>
          <w:b/>
          <w:bCs/>
        </w:rPr>
        <w:t>Objective 3: Strengthen Stakeholder Engagement and Participation</w:t>
      </w:r>
    </w:p>
    <w:p w14:paraId="38D3CC8D" w14:textId="77777777" w:rsidR="009E4659" w:rsidRPr="00662906" w:rsidRDefault="009E4659" w:rsidP="009E4659">
      <w:r w:rsidRPr="00662906">
        <w:t>Building a collaborative platform for all stakeholders is essential for shared ownership and effective implementation of the ETSAP.</w:t>
      </w:r>
    </w:p>
    <w:p w14:paraId="305B0934" w14:textId="6C8874D9" w:rsidR="009E4659" w:rsidRPr="00662906" w:rsidRDefault="009E4659" w:rsidP="00472E0A">
      <w:pPr>
        <w:pStyle w:val="Bullets"/>
        <w:rPr>
          <w:lang w:val="en-GB"/>
        </w:rPr>
      </w:pPr>
      <w:r w:rsidRPr="00662906">
        <w:rPr>
          <w:lang w:val="en-GB"/>
        </w:rPr>
        <w:t xml:space="preserve">Sub-objective 3.1: Establish and strengthen platforms for </w:t>
      </w:r>
      <w:r w:rsidR="023AE058" w:rsidRPr="00662906">
        <w:rPr>
          <w:lang w:val="en-GB"/>
        </w:rPr>
        <w:t>the required</w:t>
      </w:r>
      <w:r w:rsidRPr="00662906">
        <w:rPr>
          <w:lang w:val="en-GB"/>
        </w:rPr>
        <w:t xml:space="preserve"> dialogue among government agencies, private sector players, NGOs, academia, and community representatives.</w:t>
      </w:r>
    </w:p>
    <w:p w14:paraId="2F7CCA69" w14:textId="77777777" w:rsidR="009E4659" w:rsidRPr="00662906" w:rsidRDefault="009E4659" w:rsidP="00472E0A">
      <w:pPr>
        <w:pStyle w:val="Bullets"/>
        <w:rPr>
          <w:lang w:val="en-GB"/>
        </w:rPr>
      </w:pPr>
      <w:r w:rsidRPr="00662906">
        <w:rPr>
          <w:lang w:val="en-GB"/>
        </w:rPr>
        <w:t>Sub-objective 3.2: Implement inclusive decision-making processes that allow for the contributions and concerns of diverse groups, particularly those most affected by energy policies.</w:t>
      </w:r>
    </w:p>
    <w:p w14:paraId="616DF2A9" w14:textId="77777777" w:rsidR="009E4659" w:rsidRPr="00662906" w:rsidRDefault="009E4659" w:rsidP="00472E0A">
      <w:pPr>
        <w:pStyle w:val="Bullets"/>
        <w:rPr>
          <w:lang w:val="en-GB"/>
        </w:rPr>
      </w:pPr>
      <w:r w:rsidRPr="00662906">
        <w:rPr>
          <w:lang w:val="en-GB"/>
        </w:rPr>
        <w:t>Sub-objective 3.3: Coordinate with educational institutions to integrate energy transition topics into curricula and public discourse to cultivate a new generation of informed citizens and professionals.</w:t>
      </w:r>
    </w:p>
    <w:p w14:paraId="52033966" w14:textId="77777777" w:rsidR="009E4659" w:rsidRPr="00662906" w:rsidRDefault="009E4659" w:rsidP="009E4659">
      <w:pPr>
        <w:rPr>
          <w:b/>
          <w:bCs/>
        </w:rPr>
      </w:pPr>
      <w:r w:rsidRPr="00662906">
        <w:rPr>
          <w:b/>
          <w:bCs/>
        </w:rPr>
        <w:t>Objective 4: Facilitate Knowledge Sharing and Capacity Building</w:t>
      </w:r>
    </w:p>
    <w:p w14:paraId="60BDEF7F" w14:textId="77777777" w:rsidR="009E4659" w:rsidRPr="00662906" w:rsidRDefault="009E4659" w:rsidP="009E4659">
      <w:r w:rsidRPr="00662906">
        <w:t>Information dissemination and capacity building are vital to equip stakeholders with the knowledge and skills needed for the energy transition.</w:t>
      </w:r>
    </w:p>
    <w:p w14:paraId="7199B51F" w14:textId="77777777" w:rsidR="009E4659" w:rsidRPr="00662906" w:rsidRDefault="009E4659" w:rsidP="00E1605A">
      <w:pPr>
        <w:pStyle w:val="ListParagraph"/>
        <w:numPr>
          <w:ilvl w:val="0"/>
          <w:numId w:val="6"/>
        </w:numPr>
      </w:pPr>
      <w:r w:rsidRPr="00662906">
        <w:t>Sub-objective 4.1: Develop and distribute informational materials, such as guidelines, toolkits, and online resources, that provide practical advice on adopting renewable energy and improving energy efficiency.</w:t>
      </w:r>
    </w:p>
    <w:p w14:paraId="30C66C3C" w14:textId="77777777" w:rsidR="009E4659" w:rsidRPr="00662906" w:rsidRDefault="009E4659" w:rsidP="00E1605A">
      <w:pPr>
        <w:pStyle w:val="ListParagraph"/>
        <w:numPr>
          <w:ilvl w:val="0"/>
          <w:numId w:val="6"/>
        </w:numPr>
      </w:pPr>
      <w:r w:rsidRPr="00662906">
        <w:t>Sub-objective 4.2: Organize workshops, seminars, and training sessions to build the technical capacities of stakeholders involved in energy projects.</w:t>
      </w:r>
    </w:p>
    <w:p w14:paraId="47330AF2" w14:textId="77777777" w:rsidR="009E4659" w:rsidRPr="00662906" w:rsidRDefault="009E4659" w:rsidP="00E1605A">
      <w:pPr>
        <w:pStyle w:val="ListParagraph"/>
        <w:numPr>
          <w:ilvl w:val="0"/>
          <w:numId w:val="6"/>
        </w:numPr>
      </w:pPr>
      <w:r w:rsidRPr="00662906">
        <w:t>Sub-objective 4.3: Promote the use of digital platforms for continuous learning and interaction among stakeholders across the continent.</w:t>
      </w:r>
    </w:p>
    <w:p w14:paraId="0C37B4E4" w14:textId="1504871F" w:rsidR="009E4659" w:rsidRPr="00662906" w:rsidRDefault="009E4659" w:rsidP="00804761">
      <w:r w:rsidRPr="00662906">
        <w:t xml:space="preserve">This comprehensive communication </w:t>
      </w:r>
      <w:r w:rsidR="4E141E4F" w:rsidRPr="00662906">
        <w:t>Plan</w:t>
      </w:r>
      <w:r w:rsidRPr="00662906">
        <w:t xml:space="preserve"> will ensure that the objectives of the ETSAP are clearly communicated, understood, and supported across diverse </w:t>
      </w:r>
      <w:r w:rsidR="0084AFB5" w:rsidRPr="00662906">
        <w:t xml:space="preserve">relevant </w:t>
      </w:r>
      <w:r w:rsidRPr="00662906">
        <w:t>sectors and communities, laying a solid foundation for its successful implementation and the attainment of its long-term goals.</w:t>
      </w:r>
    </w:p>
    <w:p w14:paraId="76489E43" w14:textId="005E7888" w:rsidR="009E4659" w:rsidRPr="00662906" w:rsidRDefault="009E4659" w:rsidP="00804761">
      <w:pPr>
        <w:pStyle w:val="Heading3"/>
      </w:pPr>
      <w:bookmarkStart w:id="904" w:name="_Toc178936812"/>
      <w:bookmarkStart w:id="905" w:name="_Toc178937291"/>
      <w:bookmarkStart w:id="906" w:name="_Toc178937405"/>
      <w:bookmarkStart w:id="907" w:name="_Toc178937515"/>
      <w:bookmarkStart w:id="908" w:name="_Toc178937630"/>
      <w:bookmarkStart w:id="909" w:name="_Toc178937739"/>
      <w:bookmarkStart w:id="910" w:name="_Toc178937849"/>
      <w:bookmarkStart w:id="911" w:name="_Toc178937957"/>
      <w:bookmarkStart w:id="912" w:name="_Toc178938065"/>
      <w:bookmarkStart w:id="913" w:name="_Toc171955569"/>
      <w:bookmarkStart w:id="914" w:name="_Toc176190974"/>
      <w:bookmarkStart w:id="915" w:name="_Toc176191140"/>
      <w:bookmarkStart w:id="916" w:name="_Toc176341859"/>
      <w:bookmarkStart w:id="917" w:name="_Toc176430253"/>
      <w:bookmarkStart w:id="918" w:name="_Toc176430310"/>
      <w:bookmarkStart w:id="919" w:name="_Toc176441442"/>
      <w:bookmarkStart w:id="920" w:name="_Toc176442097"/>
      <w:bookmarkStart w:id="921" w:name="_Toc178937516"/>
      <w:bookmarkStart w:id="922" w:name="_Toc197433878"/>
      <w:bookmarkEnd w:id="904"/>
      <w:bookmarkEnd w:id="905"/>
      <w:bookmarkEnd w:id="906"/>
      <w:bookmarkEnd w:id="907"/>
      <w:bookmarkEnd w:id="908"/>
      <w:bookmarkEnd w:id="909"/>
      <w:bookmarkEnd w:id="910"/>
      <w:bookmarkEnd w:id="911"/>
      <w:bookmarkEnd w:id="912"/>
      <w:r w:rsidRPr="00662906">
        <w:lastRenderedPageBreak/>
        <w:t>Communication Principles and General Approach</w:t>
      </w:r>
      <w:bookmarkEnd w:id="913"/>
      <w:bookmarkEnd w:id="914"/>
      <w:bookmarkEnd w:id="915"/>
      <w:bookmarkEnd w:id="916"/>
      <w:bookmarkEnd w:id="917"/>
      <w:bookmarkEnd w:id="918"/>
      <w:bookmarkEnd w:id="919"/>
      <w:bookmarkEnd w:id="920"/>
      <w:bookmarkEnd w:id="921"/>
      <w:bookmarkEnd w:id="922"/>
    </w:p>
    <w:p w14:paraId="5AEC54F8" w14:textId="3D62FF2D" w:rsidR="009E4659" w:rsidRPr="00662906" w:rsidRDefault="009E4659" w:rsidP="009E4659">
      <w:r w:rsidRPr="00662906">
        <w:t xml:space="preserve">To ensure the success of the African Union's Energy Transition Strategy, it is crucial to establish a robust communication </w:t>
      </w:r>
      <w:r w:rsidR="7AD3533D" w:rsidRPr="00662906">
        <w:t>Plan</w:t>
      </w:r>
      <w:r w:rsidRPr="00662906">
        <w:t xml:space="preserve"> grounded in clear principles and a thoughtful approach. This communication </w:t>
      </w:r>
      <w:r w:rsidR="35A0FABF" w:rsidRPr="00662906">
        <w:t>Plan</w:t>
      </w:r>
      <w:r w:rsidRPr="00662906">
        <w:t xml:space="preserve"> aims to effectively disseminate the vision, goals, and ongoing progress of the ETSAP while fostering stakeholder engagement and public support. The following principles and general approaches form the backbone of this </w:t>
      </w:r>
      <w:r w:rsidR="2A4A94CF" w:rsidRPr="00662906">
        <w:t>Plan</w:t>
      </w:r>
      <w:r w:rsidRPr="00662906">
        <w:t>, ensuring that communications are coherent, effective, and inclusive:</w:t>
      </w:r>
    </w:p>
    <w:p w14:paraId="378485D6" w14:textId="77777777" w:rsidR="009E4659" w:rsidRPr="00662906" w:rsidRDefault="009E4659" w:rsidP="009E4659">
      <w:pPr>
        <w:rPr>
          <w:b/>
          <w:bCs/>
        </w:rPr>
      </w:pPr>
      <w:r w:rsidRPr="00662906">
        <w:rPr>
          <w:b/>
          <w:bCs/>
        </w:rPr>
        <w:t>Clarity and Accessibility</w:t>
      </w:r>
    </w:p>
    <w:p w14:paraId="720F311D" w14:textId="77777777" w:rsidR="009E4659" w:rsidRPr="00662906" w:rsidRDefault="009E4659" w:rsidP="009E4659">
      <w:r w:rsidRPr="00662906">
        <w:t>Communication should be straightforward and free of jargon to ensure it is accessible to a broad audience, including stakeholders who may not have technical backgrounds. Information should be conveyed clearly, with technical terms and abbreviations explained upon first use to ensure comprehensibility.</w:t>
      </w:r>
    </w:p>
    <w:p w14:paraId="4BDC2596" w14:textId="77777777" w:rsidR="009E4659" w:rsidRPr="00662906" w:rsidRDefault="009E4659" w:rsidP="009E4659">
      <w:pPr>
        <w:rPr>
          <w:b/>
          <w:bCs/>
        </w:rPr>
      </w:pPr>
      <w:r w:rsidRPr="00662906">
        <w:rPr>
          <w:b/>
          <w:bCs/>
        </w:rPr>
        <w:t>Evidence-Based Messaging</w:t>
      </w:r>
    </w:p>
    <w:p w14:paraId="579AD5AA" w14:textId="77777777" w:rsidR="009E4659" w:rsidRPr="00662906" w:rsidRDefault="009E4659" w:rsidP="009E4659">
      <w:r w:rsidRPr="00662906">
        <w:t>All communications should be grounded in accurate, evidence-based information. Providing scientific data and proof points will not only enhance the credibility of the messages but also reinforce the rationale behind the energy transition initiatives.</w:t>
      </w:r>
    </w:p>
    <w:p w14:paraId="6A03C35B" w14:textId="77777777" w:rsidR="009E4659" w:rsidRPr="00662906" w:rsidRDefault="009E4659" w:rsidP="009E4659">
      <w:pPr>
        <w:rPr>
          <w:b/>
          <w:bCs/>
        </w:rPr>
      </w:pPr>
      <w:r w:rsidRPr="00662906">
        <w:rPr>
          <w:b/>
          <w:bCs/>
        </w:rPr>
        <w:t>Multilingual Communications</w:t>
      </w:r>
    </w:p>
    <w:p w14:paraId="2D6A69C7" w14:textId="77777777" w:rsidR="009E4659" w:rsidRPr="00662906" w:rsidRDefault="009E4659" w:rsidP="009E4659">
      <w:r w:rsidRPr="00662906">
        <w:t>To reach a wider audience across Africa’s diverse linguistic landscape, key communications should be available in English and French, with considerations for translations into additional local languages as necessary. This ensures inclusivity and broader accessibility.</w:t>
      </w:r>
    </w:p>
    <w:p w14:paraId="6668CA76" w14:textId="77777777" w:rsidR="009E4659" w:rsidRPr="00662906" w:rsidRDefault="009E4659" w:rsidP="009E4659">
      <w:pPr>
        <w:rPr>
          <w:b/>
          <w:bCs/>
        </w:rPr>
      </w:pPr>
      <w:r w:rsidRPr="00662906">
        <w:rPr>
          <w:b/>
          <w:bCs/>
        </w:rPr>
        <w:t>Positive and Constructive Messaging</w:t>
      </w:r>
    </w:p>
    <w:p w14:paraId="5D2C0288" w14:textId="77777777" w:rsidR="009E4659" w:rsidRPr="00662906" w:rsidRDefault="009E4659" w:rsidP="009E4659">
      <w:r w:rsidRPr="00662906">
        <w:t>The communication strategy should emphasize the positive aspects of the energy transition, highlighting benefits such as economic opportunities, improved energy security, and environmental sustainability. While it's important to maintain a positive tone, communications must also be balanced and realistic, avoiding exaggeration and ensuring that challenges are also acknowledged.</w:t>
      </w:r>
    </w:p>
    <w:p w14:paraId="7C6A0A4C" w14:textId="77777777" w:rsidR="009E4659" w:rsidRPr="00662906" w:rsidRDefault="009E4659" w:rsidP="009E4659">
      <w:pPr>
        <w:rPr>
          <w:b/>
          <w:bCs/>
        </w:rPr>
      </w:pPr>
      <w:r w:rsidRPr="00662906">
        <w:rPr>
          <w:b/>
          <w:bCs/>
        </w:rPr>
        <w:t>Minimize Negative Connotations</w:t>
      </w:r>
    </w:p>
    <w:p w14:paraId="693843D6" w14:textId="2DADD525" w:rsidR="004A0E7E" w:rsidRPr="00662906" w:rsidRDefault="009E4659" w:rsidP="009E4659">
      <w:r w:rsidRPr="00662906">
        <w:t>It's advisable to avoid focusing solely on negative or alarmist messaging, which can lead to desensitization or a sense of helplessness among the audience. Instead, the strategy should focus on constructive and aspirational messages that encourage proactive involvement and convey a sense of hope and progress.</w:t>
      </w:r>
    </w:p>
    <w:p w14:paraId="7F60D9B0" w14:textId="77777777" w:rsidR="009E4659" w:rsidRPr="00662906" w:rsidRDefault="009E4659" w:rsidP="009E4659">
      <w:pPr>
        <w:rPr>
          <w:b/>
          <w:bCs/>
        </w:rPr>
      </w:pPr>
      <w:r w:rsidRPr="00662906">
        <w:rPr>
          <w:b/>
          <w:bCs/>
        </w:rPr>
        <w:t>Human-Centric and Inclusive Approach</w:t>
      </w:r>
    </w:p>
    <w:p w14:paraId="418C26AE" w14:textId="77777777" w:rsidR="009E4659" w:rsidRPr="00662906" w:rsidRDefault="009E4659" w:rsidP="009E4659">
      <w:r w:rsidRPr="00662906">
        <w:t>Wherever possible, communication should highlight personal stories and case studies that illustrate the impact of the energy transition on individuals’ lives. This approach helps to personalize the abstract concepts of policy and technology, showing tangible benefits and real-world changes.</w:t>
      </w:r>
    </w:p>
    <w:p w14:paraId="38B4B0DC" w14:textId="77777777" w:rsidR="009E4659" w:rsidRPr="00662906" w:rsidRDefault="009E4659" w:rsidP="009E4659">
      <w:pPr>
        <w:rPr>
          <w:b/>
          <w:bCs/>
        </w:rPr>
      </w:pPr>
      <w:r w:rsidRPr="00662906">
        <w:rPr>
          <w:b/>
          <w:bCs/>
        </w:rPr>
        <w:t>Gender-Sensitivity and Inclusiveness</w:t>
      </w:r>
    </w:p>
    <w:p w14:paraId="06F1C4FD" w14:textId="77777777" w:rsidR="009E4659" w:rsidRPr="00662906" w:rsidRDefault="009E4659" w:rsidP="009E4659">
      <w:r w:rsidRPr="00662906">
        <w:t>Messages should be crafted to be gender-sensitive and inclusive, using language that reflects diversity and promotes equality. This includes adhering to guidelines that encourage gender equity and inclusiveness, ensuring that communications resonate with all segments of society.</w:t>
      </w:r>
    </w:p>
    <w:p w14:paraId="041EC1F4" w14:textId="77777777" w:rsidR="009E4659" w:rsidRPr="00662906" w:rsidRDefault="009E4659" w:rsidP="009E4659">
      <w:pPr>
        <w:rPr>
          <w:b/>
          <w:bCs/>
        </w:rPr>
      </w:pPr>
      <w:r w:rsidRPr="00662906">
        <w:rPr>
          <w:b/>
          <w:bCs/>
        </w:rPr>
        <w:t>Integration with Other Initiatives</w:t>
      </w:r>
    </w:p>
    <w:p w14:paraId="2B036F48" w14:textId="77777777" w:rsidR="009E4659" w:rsidRPr="00662906" w:rsidRDefault="009E4659" w:rsidP="009E4659">
      <w:r w:rsidRPr="00662906">
        <w:t>The communication strategy should align with and support other ongoing energy and development initiatives across the continent. By linking with these initiatives, the strategy can leverage synergies and amplify its impact, avoiding duplication of efforts and enhancing resource efficiency.</w:t>
      </w:r>
    </w:p>
    <w:p w14:paraId="3DD0D521" w14:textId="77777777" w:rsidR="009E4659" w:rsidRPr="00662906" w:rsidRDefault="009E4659" w:rsidP="009E4659">
      <w:pPr>
        <w:rPr>
          <w:b/>
          <w:bCs/>
        </w:rPr>
      </w:pPr>
      <w:r w:rsidRPr="00662906">
        <w:rPr>
          <w:b/>
          <w:bCs/>
        </w:rPr>
        <w:t>Leverage Existing Communication Channels</w:t>
      </w:r>
    </w:p>
    <w:p w14:paraId="0F8D20C4" w14:textId="77777777" w:rsidR="009E4659" w:rsidRPr="00662906" w:rsidRDefault="009E4659" w:rsidP="009E4659">
      <w:r w:rsidRPr="00662906">
        <w:t>To maximize reach and efficiency, the strategy should utilize existing communication channels and platforms. This includes leveraging networks and resources from various AU initiatives, regional partnerships, and international collaborations.</w:t>
      </w:r>
    </w:p>
    <w:p w14:paraId="342EC783" w14:textId="77777777" w:rsidR="009E4659" w:rsidRPr="00662906" w:rsidRDefault="009E4659" w:rsidP="009E4659">
      <w:pPr>
        <w:rPr>
          <w:b/>
          <w:bCs/>
        </w:rPr>
      </w:pPr>
      <w:r w:rsidRPr="00662906">
        <w:rPr>
          <w:b/>
          <w:bCs/>
        </w:rPr>
        <w:t>Flexibility and Responsiveness</w:t>
      </w:r>
    </w:p>
    <w:p w14:paraId="01A8AAEF" w14:textId="77777777" w:rsidR="009E4659" w:rsidRPr="00662906" w:rsidRDefault="009E4659" w:rsidP="009E4659">
      <w:r w:rsidRPr="00662906">
        <w:lastRenderedPageBreak/>
        <w:t>The communication strategy should remain flexible to adapt to new developments, feedback, and changing circumstances. This adaptability ensures that the strategy remains relevant and effective over time, capable of addressing emerging issues and capitalizing on new opportunities.</w:t>
      </w:r>
    </w:p>
    <w:p w14:paraId="381B2B68" w14:textId="49272719" w:rsidR="0204753B" w:rsidRPr="00662906" w:rsidRDefault="009E4659">
      <w:r w:rsidRPr="00662906">
        <w:t>By adhering to these principles, the communication plan for the ETSAP will support the strategic objectives of the strategy, promoting widespread understanding and engagement, and ultimately contributing to the successful implementation of the energy transition across Africa.</w:t>
      </w:r>
      <w:bookmarkStart w:id="923" w:name="_Toc171955570"/>
      <w:bookmarkStart w:id="924" w:name="_Toc176190975"/>
      <w:bookmarkStart w:id="925" w:name="_Toc176191141"/>
    </w:p>
    <w:p w14:paraId="255FA1F3" w14:textId="53A92E29" w:rsidR="1AF4A274" w:rsidRPr="00662906" w:rsidRDefault="4E8661FC" w:rsidP="00804761">
      <w:pPr>
        <w:pStyle w:val="Heading3"/>
      </w:pPr>
      <w:bookmarkStart w:id="926" w:name="_Toc176341860"/>
      <w:bookmarkStart w:id="927" w:name="_Toc176430254"/>
      <w:bookmarkStart w:id="928" w:name="_Toc176430311"/>
      <w:bookmarkStart w:id="929" w:name="_Toc176441443"/>
      <w:bookmarkStart w:id="930" w:name="_Toc176442098"/>
      <w:bookmarkStart w:id="931" w:name="_Toc178937517"/>
      <w:bookmarkStart w:id="932" w:name="_Toc197433879"/>
      <w:r w:rsidRPr="00662906">
        <w:t>Target Audiences and Key Messages to be disseminated</w:t>
      </w:r>
      <w:bookmarkEnd w:id="923"/>
      <w:bookmarkEnd w:id="924"/>
      <w:bookmarkEnd w:id="925"/>
      <w:bookmarkEnd w:id="926"/>
      <w:bookmarkEnd w:id="927"/>
      <w:bookmarkEnd w:id="928"/>
      <w:bookmarkEnd w:id="929"/>
      <w:bookmarkEnd w:id="930"/>
      <w:bookmarkEnd w:id="931"/>
      <w:bookmarkEnd w:id="932"/>
    </w:p>
    <w:p w14:paraId="477E8034" w14:textId="54C73885" w:rsidR="1AF4A274" w:rsidRPr="00662906" w:rsidRDefault="060BF1D7" w:rsidP="1AF4A274">
      <w:r w:rsidRPr="00662906">
        <w:t xml:space="preserve">The various stakeholders targeted for this Communication and the key messages to </w:t>
      </w:r>
      <w:r w:rsidR="313244BD" w:rsidRPr="00662906">
        <w:t>communicate</w:t>
      </w:r>
      <w:r w:rsidRPr="00662906">
        <w:t xml:space="preserve"> are presented in </w:t>
      </w:r>
      <w:r w:rsidR="36A405C9" w:rsidRPr="00662906">
        <w:t>T</w:t>
      </w:r>
      <w:r w:rsidR="5453E582" w:rsidRPr="00662906">
        <w:t>able</w:t>
      </w:r>
      <w:r w:rsidR="1127A410" w:rsidRPr="00662906">
        <w:t xml:space="preserve"> </w:t>
      </w:r>
      <w:r w:rsidR="00D81B03" w:rsidRPr="00662906">
        <w:t>5</w:t>
      </w:r>
      <w:r w:rsidR="007D27F1" w:rsidRPr="00662906">
        <w:t>0</w:t>
      </w:r>
      <w:r w:rsidR="5453E582" w:rsidRPr="00662906">
        <w:t xml:space="preserve"> below</w:t>
      </w:r>
      <w:r w:rsidR="2EA92DE4" w:rsidRPr="00662906">
        <w:t>.</w:t>
      </w:r>
    </w:p>
    <w:p w14:paraId="000B1B32" w14:textId="6DB92592" w:rsidR="4CB57EA8" w:rsidRPr="00662906" w:rsidRDefault="3126F674" w:rsidP="001C34B9">
      <w:pPr>
        <w:pStyle w:val="Caption"/>
        <w:rPr>
          <w:highlight w:val="yellow"/>
        </w:rPr>
      </w:pPr>
      <w:bookmarkStart w:id="933" w:name="_Toc171955617"/>
      <w:bookmarkStart w:id="934" w:name="_Toc176430346"/>
      <w:bookmarkStart w:id="935" w:name="_Toc197433938"/>
      <w:r w:rsidRPr="00662906">
        <w:t xml:space="preserve">Table </w:t>
      </w:r>
      <w:fldSimple w:instr=" SEQ Table \* ARABIC ">
        <w:r w:rsidR="00610F61">
          <w:rPr>
            <w:noProof/>
          </w:rPr>
          <w:t>50</w:t>
        </w:r>
      </w:fldSimple>
      <w:r w:rsidR="1A69E892" w:rsidRPr="00662906">
        <w:t>: Key Communication Messages and Stakeholders</w:t>
      </w:r>
      <w:bookmarkEnd w:id="933"/>
      <w:bookmarkEnd w:id="934"/>
      <w:bookmarkEnd w:id="935"/>
    </w:p>
    <w:tbl>
      <w:tblPr>
        <w:tblW w:w="0" w:type="auto"/>
        <w:tblBorders>
          <w:top w:val="single" w:sz="2" w:space="0" w:color="9F2241" w:themeColor="background1"/>
          <w:left w:val="single" w:sz="2" w:space="0" w:color="9F2241" w:themeColor="background1"/>
          <w:bottom w:val="single" w:sz="2" w:space="0" w:color="9F2241" w:themeColor="background1"/>
          <w:right w:val="single" w:sz="2" w:space="0" w:color="9F2241" w:themeColor="background1"/>
          <w:insideH w:val="single" w:sz="2" w:space="0" w:color="9F2241" w:themeColor="background1"/>
          <w:insideV w:val="single" w:sz="2" w:space="0" w:color="9F2241" w:themeColor="background1"/>
        </w:tblBorders>
        <w:tblCellMar>
          <w:top w:w="15" w:type="dxa"/>
          <w:left w:w="15" w:type="dxa"/>
          <w:bottom w:w="15" w:type="dxa"/>
          <w:right w:w="15" w:type="dxa"/>
        </w:tblCellMar>
        <w:tblLook w:val="04A0" w:firstRow="1" w:lastRow="0" w:firstColumn="1" w:lastColumn="0" w:noHBand="0" w:noVBand="1"/>
      </w:tblPr>
      <w:tblGrid>
        <w:gridCol w:w="1797"/>
        <w:gridCol w:w="7223"/>
      </w:tblGrid>
      <w:tr w:rsidR="009E4659" w:rsidRPr="00662906" w14:paraId="3B8A3F53" w14:textId="77777777" w:rsidTr="00561F4E">
        <w:trPr>
          <w:trHeight w:val="454"/>
        </w:trPr>
        <w:tc>
          <w:tcPr>
            <w:tcW w:w="1797" w:type="dxa"/>
            <w:shd w:val="clear" w:color="auto" w:fill="B4A269" w:themeFill="text2"/>
            <w:tcMar>
              <w:top w:w="0" w:type="dxa"/>
              <w:left w:w="57" w:type="dxa"/>
              <w:bottom w:w="0" w:type="dxa"/>
              <w:right w:w="0" w:type="dxa"/>
            </w:tcMar>
            <w:vAlign w:val="center"/>
            <w:hideMark/>
          </w:tcPr>
          <w:p w14:paraId="38D79C4C" w14:textId="77777777" w:rsidR="009E4659" w:rsidRPr="00662906" w:rsidRDefault="009E4659" w:rsidP="00561F4E">
            <w:pPr>
              <w:spacing w:after="0"/>
              <w:jc w:val="center"/>
              <w:rPr>
                <w:color w:val="FFFFFF" w:themeColor="background2"/>
                <w:sz w:val="18"/>
                <w:szCs w:val="18"/>
              </w:rPr>
            </w:pPr>
            <w:r w:rsidRPr="00662906">
              <w:rPr>
                <w:b/>
                <w:bCs/>
                <w:color w:val="FFFFFF" w:themeColor="background2"/>
                <w:sz w:val="18"/>
                <w:szCs w:val="18"/>
              </w:rPr>
              <w:t>Stakeholder</w:t>
            </w:r>
          </w:p>
        </w:tc>
        <w:tc>
          <w:tcPr>
            <w:tcW w:w="7223" w:type="dxa"/>
            <w:shd w:val="clear" w:color="auto" w:fill="B4A269" w:themeFill="text2"/>
            <w:tcMar>
              <w:top w:w="0" w:type="dxa"/>
              <w:left w:w="57" w:type="dxa"/>
              <w:bottom w:w="0" w:type="dxa"/>
              <w:right w:w="0" w:type="dxa"/>
            </w:tcMar>
            <w:vAlign w:val="center"/>
            <w:hideMark/>
          </w:tcPr>
          <w:p w14:paraId="4293CF73" w14:textId="77777777" w:rsidR="009E4659" w:rsidRPr="00662906" w:rsidRDefault="009E4659" w:rsidP="00561F4E">
            <w:pPr>
              <w:spacing w:after="0"/>
              <w:jc w:val="center"/>
              <w:rPr>
                <w:color w:val="FFFFFF" w:themeColor="background2"/>
                <w:sz w:val="18"/>
                <w:szCs w:val="18"/>
              </w:rPr>
            </w:pPr>
            <w:r w:rsidRPr="00662906">
              <w:rPr>
                <w:b/>
                <w:bCs/>
                <w:color w:val="FFFFFF" w:themeColor="background2"/>
                <w:sz w:val="18"/>
                <w:szCs w:val="18"/>
              </w:rPr>
              <w:t>Key Messages</w:t>
            </w:r>
          </w:p>
        </w:tc>
      </w:tr>
      <w:tr w:rsidR="009E4659" w:rsidRPr="00662906" w14:paraId="31DF3D8B" w14:textId="77777777" w:rsidTr="00561F4E">
        <w:tc>
          <w:tcPr>
            <w:tcW w:w="1797" w:type="dxa"/>
            <w:tcMar>
              <w:top w:w="0" w:type="dxa"/>
              <w:left w:w="57" w:type="dxa"/>
              <w:bottom w:w="0" w:type="dxa"/>
              <w:right w:w="0" w:type="dxa"/>
            </w:tcMar>
            <w:vAlign w:val="center"/>
          </w:tcPr>
          <w:p w14:paraId="41AC371B" w14:textId="597BA5DC" w:rsidR="009E4659" w:rsidRPr="00662906" w:rsidRDefault="7432CD6D" w:rsidP="00561F4E">
            <w:pPr>
              <w:spacing w:before="40" w:after="40" w:line="240" w:lineRule="auto"/>
              <w:jc w:val="center"/>
              <w:rPr>
                <w:rFonts w:eastAsia="Arial" w:cs="Arial"/>
                <w:sz w:val="18"/>
                <w:szCs w:val="18"/>
              </w:rPr>
            </w:pPr>
            <w:r w:rsidRPr="00662906">
              <w:rPr>
                <w:rFonts w:eastAsia="Arial" w:cs="Arial"/>
                <w:sz w:val="18"/>
                <w:szCs w:val="18"/>
              </w:rPr>
              <w:t>AU Institutions</w:t>
            </w:r>
          </w:p>
        </w:tc>
        <w:tc>
          <w:tcPr>
            <w:tcW w:w="7223" w:type="dxa"/>
            <w:tcMar>
              <w:top w:w="0" w:type="dxa"/>
              <w:left w:w="57" w:type="dxa"/>
              <w:bottom w:w="0" w:type="dxa"/>
              <w:right w:w="0" w:type="dxa"/>
            </w:tcMar>
            <w:vAlign w:val="center"/>
          </w:tcPr>
          <w:p w14:paraId="197BE69A" w14:textId="6DD45825" w:rsidR="009E4659" w:rsidRPr="00662906" w:rsidRDefault="7432CD6D"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The ETSAP serves as a continental flagship, driving sustainable energy practices and reinforcing Africa’s commitment to carbon neutrality by 2063. This strategy positions the AU as a leader in global environmental sustainability efforts.</w:t>
            </w:r>
          </w:p>
          <w:p w14:paraId="382AE25C" w14:textId="5ABACCF4" w:rsidR="009E4659" w:rsidRPr="00662906" w:rsidRDefault="7432CD6D"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Through ETS, AU institutions will coordinate and oversee the integration of renewable energy resources across the continent, fostering economic resilience and energy security.</w:t>
            </w:r>
          </w:p>
          <w:p w14:paraId="2FD99B78" w14:textId="639D398D" w:rsidR="009E4659" w:rsidRPr="00662906" w:rsidRDefault="7432CD6D"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AFREC will champion the </w:t>
            </w:r>
            <w:r w:rsidR="1D428501" w:rsidRPr="00662906">
              <w:rPr>
                <w:rFonts w:eastAsia="Arial" w:cs="Arial"/>
                <w:sz w:val="18"/>
                <w:szCs w:val="18"/>
              </w:rPr>
              <w:t>adoption and implementation of the ETSAP</w:t>
            </w:r>
            <w:r w:rsidRPr="00662906">
              <w:rPr>
                <w:rFonts w:eastAsia="Arial" w:cs="Arial"/>
                <w:sz w:val="18"/>
                <w:szCs w:val="18"/>
              </w:rPr>
              <w:t xml:space="preserve">, emphasizing its role in economic development, social improvement, and environmental protection at </w:t>
            </w:r>
            <w:r w:rsidR="6F3A580A" w:rsidRPr="00662906">
              <w:rPr>
                <w:rFonts w:eastAsia="Arial" w:cs="Arial"/>
                <w:sz w:val="18"/>
                <w:szCs w:val="18"/>
              </w:rPr>
              <w:t>national,</w:t>
            </w:r>
            <w:r w:rsidRPr="00662906">
              <w:rPr>
                <w:rFonts w:eastAsia="Arial" w:cs="Arial"/>
                <w:sz w:val="18"/>
                <w:szCs w:val="18"/>
              </w:rPr>
              <w:t xml:space="preserve"> regional</w:t>
            </w:r>
            <w:r w:rsidR="00F64667" w:rsidRPr="00662906">
              <w:rPr>
                <w:rFonts w:eastAsia="Arial" w:cs="Arial"/>
                <w:sz w:val="18"/>
                <w:szCs w:val="18"/>
              </w:rPr>
              <w:t>,</w:t>
            </w:r>
            <w:r w:rsidRPr="00662906">
              <w:rPr>
                <w:rFonts w:eastAsia="Arial" w:cs="Arial"/>
                <w:sz w:val="18"/>
                <w:szCs w:val="18"/>
              </w:rPr>
              <w:t xml:space="preserve"> and international platforms.</w:t>
            </w:r>
          </w:p>
          <w:p w14:paraId="418D95FD" w14:textId="5616A052" w:rsidR="009E4659" w:rsidRPr="00662906" w:rsidRDefault="7432CD6D"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Collaborative efforts among AU entities such as AUC, AUDA-NEPAD, and others are crucial for the successful implementation of ETSAP, ensuring a unified approach towards a sustainable energy future.</w:t>
            </w:r>
          </w:p>
          <w:p w14:paraId="6BE7758E" w14:textId="59E19763" w:rsidR="009E4659" w:rsidRPr="00662906" w:rsidRDefault="575B8C02"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ETS</w:t>
            </w:r>
            <w:r w:rsidR="0E0C71DA" w:rsidRPr="00662906">
              <w:rPr>
                <w:rFonts w:eastAsia="Arial" w:cs="Arial"/>
                <w:sz w:val="18"/>
                <w:szCs w:val="18"/>
              </w:rPr>
              <w:t>AP</w:t>
            </w:r>
            <w:r w:rsidR="510953DB" w:rsidRPr="00662906">
              <w:rPr>
                <w:rFonts w:eastAsia="Arial" w:cs="Arial"/>
                <w:sz w:val="18"/>
                <w:szCs w:val="18"/>
              </w:rPr>
              <w:t xml:space="preserve"> will enable the AU to leverage new technologies and innovations in energy </w:t>
            </w:r>
            <w:r w:rsidR="14D223D4" w:rsidRPr="00662906">
              <w:rPr>
                <w:rFonts w:eastAsia="Arial" w:cs="Arial"/>
                <w:sz w:val="18"/>
                <w:szCs w:val="18"/>
              </w:rPr>
              <w:t>transition</w:t>
            </w:r>
            <w:r w:rsidR="510953DB" w:rsidRPr="00662906">
              <w:rPr>
                <w:rFonts w:eastAsia="Arial" w:cs="Arial"/>
                <w:sz w:val="18"/>
                <w:szCs w:val="18"/>
              </w:rPr>
              <w:t>, setting the continent on a path to technological independence and sustainability.</w:t>
            </w:r>
          </w:p>
          <w:p w14:paraId="06CAEC7D" w14:textId="3310138A" w:rsidR="009E4659" w:rsidRPr="00662906" w:rsidRDefault="510953DB"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The </w:t>
            </w:r>
            <w:r w:rsidR="160F4CEE" w:rsidRPr="00662906">
              <w:rPr>
                <w:rFonts w:eastAsia="Arial" w:cs="Arial"/>
                <w:sz w:val="18"/>
                <w:szCs w:val="18"/>
              </w:rPr>
              <w:t>ETSAP</w:t>
            </w:r>
            <w:r w:rsidRPr="00662906">
              <w:rPr>
                <w:rFonts w:eastAsia="Arial" w:cs="Arial"/>
                <w:sz w:val="18"/>
                <w:szCs w:val="18"/>
              </w:rPr>
              <w:t xml:space="preserve"> calls for the AU to facilitate a continent-wide dialogue and consensus on energy transition, bridging gaps between diverse energy needs and capacities of Member States.</w:t>
            </w:r>
          </w:p>
        </w:tc>
      </w:tr>
      <w:tr w:rsidR="009E4659" w:rsidRPr="00662906" w14:paraId="5B5D6C85" w14:textId="77777777" w:rsidTr="00561F4E">
        <w:tc>
          <w:tcPr>
            <w:tcW w:w="1797" w:type="dxa"/>
            <w:tcMar>
              <w:top w:w="0" w:type="dxa"/>
              <w:left w:w="57" w:type="dxa"/>
              <w:bottom w:w="0" w:type="dxa"/>
              <w:right w:w="0" w:type="dxa"/>
            </w:tcMar>
            <w:vAlign w:val="center"/>
          </w:tcPr>
          <w:p w14:paraId="5C48D7EF" w14:textId="375508CC" w:rsidR="009E4659" w:rsidRPr="00662906" w:rsidRDefault="7432CD6D" w:rsidP="00561F4E">
            <w:pPr>
              <w:spacing w:before="40" w:after="40" w:line="240" w:lineRule="auto"/>
              <w:jc w:val="center"/>
              <w:rPr>
                <w:rFonts w:eastAsia="Arial" w:cs="Arial"/>
                <w:sz w:val="18"/>
                <w:szCs w:val="18"/>
              </w:rPr>
            </w:pPr>
            <w:r w:rsidRPr="00662906">
              <w:rPr>
                <w:rFonts w:eastAsia="Arial" w:cs="Arial"/>
                <w:sz w:val="18"/>
                <w:szCs w:val="18"/>
              </w:rPr>
              <w:t>National Governments, Policymakers, and Regulating Institutions</w:t>
            </w:r>
          </w:p>
        </w:tc>
        <w:tc>
          <w:tcPr>
            <w:tcW w:w="7223" w:type="dxa"/>
            <w:tcMar>
              <w:top w:w="0" w:type="dxa"/>
              <w:left w:w="57" w:type="dxa"/>
              <w:bottom w:w="0" w:type="dxa"/>
              <w:right w:w="0" w:type="dxa"/>
            </w:tcMar>
            <w:vAlign w:val="center"/>
          </w:tcPr>
          <w:p w14:paraId="10D0F280" w14:textId="363C1B6F"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is a strategic tool to enhance national energy autonomy, </w:t>
            </w:r>
            <w:r w:rsidR="391B9B34" w:rsidRPr="00662906">
              <w:rPr>
                <w:rFonts w:eastAsia="Arial" w:cs="Arial"/>
                <w:sz w:val="18"/>
                <w:szCs w:val="18"/>
              </w:rPr>
              <w:t xml:space="preserve">optimally </w:t>
            </w:r>
            <w:r w:rsidRPr="00662906">
              <w:rPr>
                <w:rFonts w:eastAsia="Arial" w:cs="Arial"/>
                <w:sz w:val="18"/>
                <w:szCs w:val="18"/>
              </w:rPr>
              <w:t>reduce reliance on fossil fuels, and facilitate a transition to a green economy, aligning with national interests and sustainable development goals.</w:t>
            </w:r>
          </w:p>
          <w:p w14:paraId="75EDD1C2" w14:textId="11EFE7C1"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Governments are encouraged to integrate ETSAP recommendations into national legislation and policies to streamline </w:t>
            </w:r>
            <w:r w:rsidR="6A1CE661" w:rsidRPr="00662906">
              <w:rPr>
                <w:rFonts w:eastAsia="Arial" w:cs="Arial"/>
                <w:sz w:val="18"/>
                <w:szCs w:val="18"/>
              </w:rPr>
              <w:t>Energy transition initiatives towards low cardon economies</w:t>
            </w:r>
            <w:r w:rsidRPr="00662906">
              <w:rPr>
                <w:rFonts w:eastAsia="Arial" w:cs="Arial"/>
                <w:sz w:val="18"/>
                <w:szCs w:val="18"/>
              </w:rPr>
              <w:t>.</w:t>
            </w:r>
          </w:p>
          <w:p w14:paraId="386ACB98" w14:textId="21EDD544"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National policymakers play a pivotal role in mobilizing resources, enacting supportive regulations, and engaging the public to foster a conducive environment for energy transition.</w:t>
            </w:r>
          </w:p>
          <w:p w14:paraId="7CEF0A28" w14:textId="1C902235" w:rsidR="009E4659" w:rsidRPr="00662906" w:rsidRDefault="76422A8A"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ETS</w:t>
            </w:r>
            <w:r w:rsidR="75A06DF0" w:rsidRPr="00662906">
              <w:rPr>
                <w:rFonts w:eastAsia="Arial" w:cs="Arial"/>
                <w:sz w:val="18"/>
                <w:szCs w:val="18"/>
              </w:rPr>
              <w:t>AP</w:t>
            </w:r>
            <w:r w:rsidR="0293515F" w:rsidRPr="00662906">
              <w:rPr>
                <w:rFonts w:eastAsia="Arial" w:cs="Arial"/>
                <w:sz w:val="18"/>
                <w:szCs w:val="18"/>
              </w:rPr>
              <w:t xml:space="preserve"> encourages governments to foster local industries through supportive policies for </w:t>
            </w:r>
            <w:r w:rsidR="241231B5" w:rsidRPr="00662906">
              <w:rPr>
                <w:rFonts w:eastAsia="Arial" w:cs="Arial"/>
                <w:sz w:val="18"/>
                <w:szCs w:val="18"/>
              </w:rPr>
              <w:t>the Energy transition</w:t>
            </w:r>
            <w:r w:rsidR="0293515F" w:rsidRPr="00662906">
              <w:rPr>
                <w:rFonts w:eastAsia="Arial" w:cs="Arial"/>
                <w:sz w:val="18"/>
                <w:szCs w:val="18"/>
              </w:rPr>
              <w:t xml:space="preserve"> sectors, driving job creation and domestic technological advancements.</w:t>
            </w:r>
          </w:p>
          <w:p w14:paraId="2DD1F68F" w14:textId="7B3A2BB4" w:rsidR="4027F5E8" w:rsidRPr="00662906" w:rsidRDefault="4027F5E8"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MS are alerted to seriously consider multisectoral planning in implementing their energy transition initiatives and to factor in cross cutting issues of gender, climate resil</w:t>
            </w:r>
            <w:r w:rsidR="178E3FE2" w:rsidRPr="00662906">
              <w:rPr>
                <w:rFonts w:eastAsia="Arial" w:cs="Arial"/>
                <w:sz w:val="18"/>
                <w:szCs w:val="18"/>
              </w:rPr>
              <w:t xml:space="preserve">ience and </w:t>
            </w:r>
            <w:r w:rsidR="00F56989" w:rsidRPr="00662906">
              <w:rPr>
                <w:rFonts w:eastAsia="Arial" w:cs="Arial"/>
                <w:sz w:val="18"/>
                <w:szCs w:val="18"/>
              </w:rPr>
              <w:t>poverty</w:t>
            </w:r>
            <w:r w:rsidR="178E3FE2" w:rsidRPr="00662906">
              <w:rPr>
                <w:rFonts w:eastAsia="Arial" w:cs="Arial"/>
                <w:sz w:val="18"/>
                <w:szCs w:val="18"/>
              </w:rPr>
              <w:t xml:space="preserve"> alleviation.</w:t>
            </w:r>
          </w:p>
          <w:p w14:paraId="7190CEE0" w14:textId="5C3D2517" w:rsidR="009E4659" w:rsidRPr="00662906" w:rsidRDefault="0293515F"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National authorities are urged to implement robust monitoring and reporting mechanisms that ensure transparency and accountability in energy transition initiatives.</w:t>
            </w:r>
          </w:p>
        </w:tc>
      </w:tr>
      <w:tr w:rsidR="009E4659" w:rsidRPr="00662906" w14:paraId="2EDAF8C4" w14:textId="77777777" w:rsidTr="00561F4E">
        <w:tc>
          <w:tcPr>
            <w:tcW w:w="1797" w:type="dxa"/>
            <w:tcMar>
              <w:top w:w="0" w:type="dxa"/>
              <w:left w:w="57" w:type="dxa"/>
              <w:bottom w:w="0" w:type="dxa"/>
              <w:right w:w="0" w:type="dxa"/>
            </w:tcMar>
            <w:vAlign w:val="center"/>
          </w:tcPr>
          <w:p w14:paraId="2A1921FB" w14:textId="395B9D4F" w:rsidR="009E4659" w:rsidRPr="00662906" w:rsidRDefault="14EB8CD5" w:rsidP="00561F4E">
            <w:pPr>
              <w:spacing w:before="40" w:after="40" w:line="240" w:lineRule="auto"/>
              <w:jc w:val="center"/>
              <w:rPr>
                <w:rFonts w:eastAsia="Arial" w:cs="Arial"/>
                <w:sz w:val="18"/>
                <w:szCs w:val="18"/>
              </w:rPr>
            </w:pPr>
            <w:r w:rsidRPr="00662906">
              <w:rPr>
                <w:rFonts w:eastAsia="Arial" w:cs="Arial"/>
                <w:sz w:val="18"/>
                <w:szCs w:val="18"/>
              </w:rPr>
              <w:t>RECs and Power Pools / Regional Regulators / Associations of Regulators</w:t>
            </w:r>
          </w:p>
        </w:tc>
        <w:tc>
          <w:tcPr>
            <w:tcW w:w="7223" w:type="dxa"/>
            <w:tcMar>
              <w:top w:w="0" w:type="dxa"/>
              <w:left w:w="57" w:type="dxa"/>
              <w:bottom w:w="0" w:type="dxa"/>
              <w:right w:w="0" w:type="dxa"/>
            </w:tcMar>
            <w:vAlign w:val="center"/>
          </w:tcPr>
          <w:p w14:paraId="506667B9" w14:textId="04E3C7AD"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promotes regional collaboration to achieve energy security through shared </w:t>
            </w:r>
            <w:r w:rsidR="05464D44" w:rsidRPr="00662906">
              <w:rPr>
                <w:rFonts w:eastAsia="Arial" w:cs="Arial"/>
                <w:sz w:val="18"/>
                <w:szCs w:val="18"/>
              </w:rPr>
              <w:t>clean</w:t>
            </w:r>
            <w:r w:rsidRPr="00662906">
              <w:rPr>
                <w:rFonts w:eastAsia="Arial" w:cs="Arial"/>
                <w:sz w:val="18"/>
                <w:szCs w:val="18"/>
              </w:rPr>
              <w:t xml:space="preserve"> energy initiatives</w:t>
            </w:r>
            <w:r w:rsidR="492C0B03" w:rsidRPr="00662906">
              <w:rPr>
                <w:rFonts w:eastAsia="Arial" w:cs="Arial"/>
                <w:sz w:val="18"/>
                <w:szCs w:val="18"/>
              </w:rPr>
              <w:t>,</w:t>
            </w:r>
            <w:r w:rsidRPr="00662906">
              <w:rPr>
                <w:rFonts w:eastAsia="Arial" w:cs="Arial"/>
                <w:sz w:val="18"/>
                <w:szCs w:val="18"/>
              </w:rPr>
              <w:t xml:space="preserve"> infrastructural investments.</w:t>
            </w:r>
          </w:p>
          <w:p w14:paraId="3D63BEAA" w14:textId="3F02DA5A"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Power Pools and RECs are instrumental in implementing cross-border energy projects that reduce costs and enhance energy access, driving regional energy market integration.</w:t>
            </w:r>
          </w:p>
          <w:p w14:paraId="0F39728B" w14:textId="6C53F1C3"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Regional regulators will ensure that energy policies are harmonized across borders, facilitating a seamless energy market</w:t>
            </w:r>
            <w:r w:rsidR="00F64667" w:rsidRPr="00662906">
              <w:rPr>
                <w:rFonts w:eastAsia="Arial" w:cs="Arial"/>
                <w:sz w:val="18"/>
                <w:szCs w:val="18"/>
              </w:rPr>
              <w:t>,</w:t>
            </w:r>
            <w:r w:rsidRPr="00662906">
              <w:rPr>
                <w:rFonts w:eastAsia="Arial" w:cs="Arial"/>
                <w:sz w:val="18"/>
                <w:szCs w:val="18"/>
              </w:rPr>
              <w:t xml:space="preserve"> and supporting sustainable energy investments.</w:t>
            </w:r>
          </w:p>
          <w:p w14:paraId="213950BC" w14:textId="10EA3DC1" w:rsidR="009E4659" w:rsidRPr="00662906" w:rsidRDefault="34FC2701"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ETSAP empowers regional bodies to develop targeted energy resilience plans that address specific regional vulnerabilities to climate change and energy access disparities.</w:t>
            </w:r>
          </w:p>
        </w:tc>
      </w:tr>
      <w:tr w:rsidR="009E4659" w:rsidRPr="00662906" w14:paraId="3FBE32CD" w14:textId="77777777" w:rsidTr="00561F4E">
        <w:tc>
          <w:tcPr>
            <w:tcW w:w="1797" w:type="dxa"/>
            <w:tcMar>
              <w:top w:w="0" w:type="dxa"/>
              <w:left w:w="57" w:type="dxa"/>
              <w:bottom w:w="0" w:type="dxa"/>
              <w:right w:w="0" w:type="dxa"/>
            </w:tcMar>
            <w:vAlign w:val="center"/>
          </w:tcPr>
          <w:p w14:paraId="21864116" w14:textId="30350284" w:rsidR="009E4659" w:rsidRPr="00662906" w:rsidRDefault="008A2BB5" w:rsidP="00561F4E">
            <w:pPr>
              <w:spacing w:before="40" w:after="40" w:line="240" w:lineRule="auto"/>
              <w:jc w:val="center"/>
              <w:rPr>
                <w:rFonts w:eastAsia="Arial" w:cs="Arial"/>
                <w:sz w:val="18"/>
                <w:szCs w:val="18"/>
              </w:rPr>
            </w:pPr>
            <w:r w:rsidRPr="00662906">
              <w:rPr>
                <w:rFonts w:eastAsia="Arial" w:cs="Arial"/>
                <w:sz w:val="18"/>
                <w:szCs w:val="18"/>
              </w:rPr>
              <w:lastRenderedPageBreak/>
              <w:t>R</w:t>
            </w:r>
            <w:r w:rsidR="00AB16A4" w:rsidRPr="00662906">
              <w:rPr>
                <w:rFonts w:eastAsia="Arial" w:cs="Arial"/>
                <w:sz w:val="18"/>
                <w:szCs w:val="18"/>
              </w:rPr>
              <w:t>CREEEs</w:t>
            </w:r>
          </w:p>
        </w:tc>
        <w:tc>
          <w:tcPr>
            <w:tcW w:w="7223" w:type="dxa"/>
            <w:tcMar>
              <w:top w:w="0" w:type="dxa"/>
              <w:left w:w="57" w:type="dxa"/>
              <w:bottom w:w="0" w:type="dxa"/>
              <w:right w:w="0" w:type="dxa"/>
            </w:tcMar>
            <w:vAlign w:val="center"/>
          </w:tcPr>
          <w:p w14:paraId="4446BEF8" w14:textId="3AD24886" w:rsidR="009E4659" w:rsidRPr="00662906" w:rsidRDefault="1AC9D43B"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The</w:t>
            </w:r>
            <w:r w:rsidR="716E9CAE" w:rsidRPr="00662906">
              <w:rPr>
                <w:rFonts w:eastAsia="Arial" w:cs="Arial"/>
                <w:sz w:val="18"/>
                <w:szCs w:val="18"/>
              </w:rPr>
              <w:t xml:space="preserve"> </w:t>
            </w:r>
            <w:r w:rsidR="008A2BB5" w:rsidRPr="00662906">
              <w:rPr>
                <w:rFonts w:eastAsia="Arial" w:cs="Arial"/>
                <w:sz w:val="18"/>
                <w:szCs w:val="18"/>
              </w:rPr>
              <w:t>R</w:t>
            </w:r>
            <w:r w:rsidR="00AB16A4" w:rsidRPr="00662906">
              <w:rPr>
                <w:rFonts w:eastAsia="Arial" w:cs="Arial"/>
                <w:sz w:val="18"/>
                <w:szCs w:val="18"/>
              </w:rPr>
              <w:t>CREEEs</w:t>
            </w:r>
            <w:r w:rsidR="14EB8CD5" w:rsidRPr="00662906">
              <w:rPr>
                <w:rFonts w:eastAsia="Arial" w:cs="Arial"/>
                <w:sz w:val="18"/>
                <w:szCs w:val="18"/>
              </w:rPr>
              <w:t xml:space="preserve"> are vital for disseminating best practices, providing training, and facilitating the adoption of renewable energy and energy efficiency technologies within the region.</w:t>
            </w:r>
          </w:p>
          <w:p w14:paraId="616494FD" w14:textId="3AACEE07"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supports these </w:t>
            </w:r>
            <w:r w:rsidR="1AC9D43B" w:rsidRPr="00662906">
              <w:rPr>
                <w:rFonts w:eastAsia="Arial" w:cs="Arial"/>
                <w:sz w:val="18"/>
                <w:szCs w:val="18"/>
              </w:rPr>
              <w:t>centr</w:t>
            </w:r>
            <w:r w:rsidR="0226D0D6" w:rsidRPr="00662906">
              <w:rPr>
                <w:rFonts w:eastAsia="Arial" w:cs="Arial"/>
                <w:sz w:val="18"/>
                <w:szCs w:val="18"/>
              </w:rPr>
              <w:t>e</w:t>
            </w:r>
            <w:r w:rsidR="1AC9D43B" w:rsidRPr="00662906">
              <w:rPr>
                <w:rFonts w:eastAsia="Arial" w:cs="Arial"/>
                <w:sz w:val="18"/>
                <w:szCs w:val="18"/>
              </w:rPr>
              <w:t>s</w:t>
            </w:r>
            <w:r w:rsidRPr="00662906">
              <w:rPr>
                <w:rFonts w:eastAsia="Arial" w:cs="Arial"/>
                <w:sz w:val="18"/>
                <w:szCs w:val="18"/>
              </w:rPr>
              <w:t xml:space="preserve"> by providing a framework for action and a channel for funding and resources, enhancing their capacity to lead local and regional energy initiatives.</w:t>
            </w:r>
          </w:p>
          <w:p w14:paraId="4A44F7E7" w14:textId="7CAE4084" w:rsidR="009E4659" w:rsidRPr="00662906" w:rsidRDefault="008A2BB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R</w:t>
            </w:r>
            <w:r w:rsidR="00AB16A4" w:rsidRPr="00662906">
              <w:rPr>
                <w:rFonts w:eastAsia="Arial" w:cs="Arial"/>
                <w:sz w:val="18"/>
                <w:szCs w:val="18"/>
              </w:rPr>
              <w:t>CREEEs</w:t>
            </w:r>
            <w:r w:rsidR="3A152D11" w:rsidRPr="00662906">
              <w:rPr>
                <w:rFonts w:eastAsia="Arial" w:cs="Arial"/>
                <w:sz w:val="18"/>
                <w:szCs w:val="18"/>
              </w:rPr>
              <w:t xml:space="preserve"> are tasked with pioneering pilot projects that demonstrate the viability and benefits of new energy technologies within local communities and economies.</w:t>
            </w:r>
          </w:p>
          <w:p w14:paraId="367BA037" w14:textId="193BD344" w:rsidR="009E4659" w:rsidRPr="00662906" w:rsidRDefault="3A152D11"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They should act as knowledge-sharing platforms, facilitating the exchange of data, success stories, and lessons learned across the continent to speed up the energy transition process.</w:t>
            </w:r>
          </w:p>
        </w:tc>
      </w:tr>
      <w:tr w:rsidR="009E4659" w:rsidRPr="00662906" w14:paraId="2D9D6545" w14:textId="77777777" w:rsidTr="00561F4E">
        <w:tc>
          <w:tcPr>
            <w:tcW w:w="1797" w:type="dxa"/>
            <w:tcMar>
              <w:top w:w="0" w:type="dxa"/>
              <w:left w:w="57" w:type="dxa"/>
              <w:bottom w:w="0" w:type="dxa"/>
              <w:right w:w="0" w:type="dxa"/>
            </w:tcMar>
            <w:vAlign w:val="center"/>
          </w:tcPr>
          <w:p w14:paraId="7EAFAD9F" w14:textId="516C0C28" w:rsidR="009E4659" w:rsidRPr="00662906" w:rsidRDefault="14EB8CD5" w:rsidP="00561F4E">
            <w:pPr>
              <w:spacing w:before="40" w:after="40" w:line="240" w:lineRule="auto"/>
              <w:jc w:val="center"/>
              <w:rPr>
                <w:rFonts w:eastAsia="Arial" w:cs="Arial"/>
                <w:sz w:val="18"/>
                <w:szCs w:val="18"/>
              </w:rPr>
            </w:pPr>
            <w:r w:rsidRPr="00662906">
              <w:rPr>
                <w:rFonts w:eastAsia="Arial" w:cs="Arial"/>
                <w:sz w:val="18"/>
                <w:szCs w:val="18"/>
              </w:rPr>
              <w:t>African Communities and Consumers</w:t>
            </w:r>
          </w:p>
        </w:tc>
        <w:tc>
          <w:tcPr>
            <w:tcW w:w="7223" w:type="dxa"/>
            <w:tcMar>
              <w:top w:w="0" w:type="dxa"/>
              <w:left w:w="57" w:type="dxa"/>
              <w:bottom w:w="0" w:type="dxa"/>
              <w:right w:w="0" w:type="dxa"/>
            </w:tcMar>
            <w:vAlign w:val="center"/>
          </w:tcPr>
          <w:p w14:paraId="7F44C976" w14:textId="258DE8A3"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ETSAP aims to make sustainable energy accessible and affordable for all Africans, enhancing the quality of life and economic opportunities.</w:t>
            </w:r>
          </w:p>
          <w:p w14:paraId="74D8DE4A" w14:textId="29DC166B"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Community engagement and consumer education are key components of ETSAP, ensuring that the benefits of energy transition, such as improved energy reliability and reduced costs, are widely understood and supported.</w:t>
            </w:r>
          </w:p>
          <w:p w14:paraId="2FD1DB52" w14:textId="7BBC527A"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The </w:t>
            </w:r>
            <w:r w:rsidR="6FD849C0" w:rsidRPr="00662906">
              <w:rPr>
                <w:rFonts w:eastAsia="Arial" w:cs="Arial"/>
                <w:sz w:val="18"/>
                <w:szCs w:val="18"/>
              </w:rPr>
              <w:t>ETSAP</w:t>
            </w:r>
            <w:r w:rsidRPr="00662906">
              <w:rPr>
                <w:rFonts w:eastAsia="Arial" w:cs="Arial"/>
                <w:sz w:val="18"/>
                <w:szCs w:val="18"/>
              </w:rPr>
              <w:t xml:space="preserve"> focuses on empowering consumers through knowledge, providing them with the tools to make informed energy choices and participate actively in Africa’s energy transition.</w:t>
            </w:r>
          </w:p>
          <w:p w14:paraId="52F1B691" w14:textId="30F89CC4" w:rsidR="009E4659" w:rsidRPr="00662906" w:rsidRDefault="53E16746"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emphasizes the role of energy education in schools and community </w:t>
            </w:r>
            <w:r w:rsidR="4B314837" w:rsidRPr="00662906">
              <w:rPr>
                <w:rFonts w:eastAsia="Arial" w:cs="Arial"/>
                <w:sz w:val="18"/>
                <w:szCs w:val="18"/>
              </w:rPr>
              <w:t>centr</w:t>
            </w:r>
            <w:r w:rsidR="00A2B2CE" w:rsidRPr="00662906">
              <w:rPr>
                <w:rFonts w:eastAsia="Arial" w:cs="Arial"/>
                <w:sz w:val="18"/>
                <w:szCs w:val="18"/>
              </w:rPr>
              <w:t>e</w:t>
            </w:r>
            <w:r w:rsidR="4B314837" w:rsidRPr="00662906">
              <w:rPr>
                <w:rFonts w:eastAsia="Arial" w:cs="Arial"/>
                <w:sz w:val="18"/>
                <w:szCs w:val="18"/>
              </w:rPr>
              <w:t>s</w:t>
            </w:r>
            <w:r w:rsidRPr="00662906">
              <w:rPr>
                <w:rFonts w:eastAsia="Arial" w:cs="Arial"/>
                <w:sz w:val="18"/>
                <w:szCs w:val="18"/>
              </w:rPr>
              <w:t xml:space="preserve"> to cultivate a generation that is knowledgeable about sustainable energy practices.</w:t>
            </w:r>
          </w:p>
          <w:p w14:paraId="34A4B415" w14:textId="2EB81C07" w:rsidR="009E4659" w:rsidRPr="00662906" w:rsidRDefault="53E16746"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The </w:t>
            </w:r>
            <w:r w:rsidR="50D0E4F7" w:rsidRPr="00662906">
              <w:rPr>
                <w:rFonts w:eastAsia="Arial" w:cs="Arial"/>
                <w:sz w:val="18"/>
                <w:szCs w:val="18"/>
              </w:rPr>
              <w:t>ETSAP</w:t>
            </w:r>
            <w:r w:rsidRPr="00662906">
              <w:rPr>
                <w:rFonts w:eastAsia="Arial" w:cs="Arial"/>
                <w:sz w:val="18"/>
                <w:szCs w:val="18"/>
              </w:rPr>
              <w:t xml:space="preserve"> advocates for consumer rights to access clean and sustainable energy, promoting policies that protect consumers </w:t>
            </w:r>
            <w:r w:rsidR="57D6681F" w:rsidRPr="00662906">
              <w:rPr>
                <w:rFonts w:eastAsia="Arial" w:cs="Arial"/>
                <w:sz w:val="18"/>
                <w:szCs w:val="18"/>
              </w:rPr>
              <w:t xml:space="preserve">and gender equality </w:t>
            </w:r>
            <w:r w:rsidRPr="00662906">
              <w:rPr>
                <w:rFonts w:eastAsia="Arial" w:cs="Arial"/>
                <w:sz w:val="18"/>
                <w:szCs w:val="18"/>
              </w:rPr>
              <w:t>as the energy market transitions.</w:t>
            </w:r>
          </w:p>
        </w:tc>
      </w:tr>
      <w:tr w:rsidR="009E4659" w:rsidRPr="00662906" w14:paraId="1B0571D0" w14:textId="77777777" w:rsidTr="00561F4E">
        <w:tc>
          <w:tcPr>
            <w:tcW w:w="1797" w:type="dxa"/>
            <w:tcMar>
              <w:top w:w="0" w:type="dxa"/>
              <w:left w:w="57" w:type="dxa"/>
              <w:bottom w:w="0" w:type="dxa"/>
              <w:right w:w="0" w:type="dxa"/>
            </w:tcMar>
            <w:vAlign w:val="center"/>
          </w:tcPr>
          <w:p w14:paraId="0A42C12A" w14:textId="6B96E0B5" w:rsidR="009E4659" w:rsidRPr="00662906" w:rsidRDefault="14EB8CD5" w:rsidP="00561F4E">
            <w:pPr>
              <w:spacing w:before="40" w:after="40" w:line="240" w:lineRule="auto"/>
              <w:jc w:val="center"/>
              <w:rPr>
                <w:rFonts w:eastAsia="Arial" w:cs="Arial"/>
                <w:sz w:val="18"/>
                <w:szCs w:val="18"/>
              </w:rPr>
            </w:pPr>
            <w:r w:rsidRPr="00662906">
              <w:rPr>
                <w:rFonts w:eastAsia="Arial" w:cs="Arial"/>
                <w:sz w:val="18"/>
                <w:szCs w:val="18"/>
              </w:rPr>
              <w:t>Investors and Donors</w:t>
            </w:r>
          </w:p>
        </w:tc>
        <w:tc>
          <w:tcPr>
            <w:tcW w:w="7223" w:type="dxa"/>
            <w:tcMar>
              <w:top w:w="0" w:type="dxa"/>
              <w:left w:w="57" w:type="dxa"/>
              <w:bottom w:w="0" w:type="dxa"/>
              <w:right w:w="0" w:type="dxa"/>
            </w:tcMar>
            <w:vAlign w:val="center"/>
          </w:tcPr>
          <w:p w14:paraId="0F198DDD" w14:textId="7A3B2408"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offers a stable and transparent investment landscape, highlighting opportunities in </w:t>
            </w:r>
            <w:r w:rsidR="1E8C1B38" w:rsidRPr="00662906">
              <w:rPr>
                <w:rFonts w:eastAsia="Arial" w:cs="Arial"/>
                <w:sz w:val="18"/>
                <w:szCs w:val="18"/>
              </w:rPr>
              <w:t>energy transition initiatives</w:t>
            </w:r>
            <w:r w:rsidRPr="00662906">
              <w:rPr>
                <w:rFonts w:eastAsia="Arial" w:cs="Arial"/>
                <w:sz w:val="18"/>
                <w:szCs w:val="18"/>
              </w:rPr>
              <w:t xml:space="preserve"> across Africa.</w:t>
            </w:r>
          </w:p>
          <w:p w14:paraId="6A26367F" w14:textId="3B03AEA5"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By investing in Africa’s energy transition, donors and investors contribute to sustainable development, promoting social equity and environmental stewardship.</w:t>
            </w:r>
          </w:p>
          <w:p w14:paraId="31EA567D" w14:textId="05C5D4F2" w:rsidR="009E4659" w:rsidRPr="00662906" w:rsidRDefault="14EB8CD5"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The </w:t>
            </w:r>
            <w:r w:rsidR="25E8FC02" w:rsidRPr="00662906">
              <w:rPr>
                <w:rFonts w:eastAsia="Arial" w:cs="Arial"/>
                <w:sz w:val="18"/>
                <w:szCs w:val="18"/>
              </w:rPr>
              <w:t>ETSAP</w:t>
            </w:r>
            <w:r w:rsidRPr="00662906">
              <w:rPr>
                <w:rFonts w:eastAsia="Arial" w:cs="Arial"/>
                <w:sz w:val="18"/>
                <w:szCs w:val="18"/>
              </w:rPr>
              <w:t xml:space="preserve"> ensures that investments are safeguarded through policy support and incentives, making Africa an attractive destination for sustainable energy investments.</w:t>
            </w:r>
          </w:p>
          <w:p w14:paraId="1F9B035A" w14:textId="4458266C" w:rsidR="009E4659" w:rsidRPr="00662906" w:rsidRDefault="3A1113F1"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 xml:space="preserve">ETSAP outlines a strategic plan for phased investment opportunities that align with the progressive deployment of </w:t>
            </w:r>
            <w:r w:rsidR="37502C9D" w:rsidRPr="00662906">
              <w:rPr>
                <w:rFonts w:eastAsia="Arial" w:cs="Arial"/>
                <w:sz w:val="18"/>
                <w:szCs w:val="18"/>
              </w:rPr>
              <w:t>Energy transition measures</w:t>
            </w:r>
            <w:r w:rsidRPr="00662906">
              <w:rPr>
                <w:rFonts w:eastAsia="Arial" w:cs="Arial"/>
                <w:sz w:val="18"/>
                <w:szCs w:val="18"/>
              </w:rPr>
              <w:t xml:space="preserve"> and capabilities across the continent.</w:t>
            </w:r>
          </w:p>
          <w:p w14:paraId="3DF92B78" w14:textId="64B435A1" w:rsidR="009E4659" w:rsidRPr="00662906" w:rsidRDefault="3A1113F1" w:rsidP="00561F4E">
            <w:pPr>
              <w:pStyle w:val="ListParagraph"/>
              <w:spacing w:before="40" w:after="40" w:line="240" w:lineRule="auto"/>
              <w:ind w:left="413" w:hanging="283"/>
              <w:jc w:val="left"/>
              <w:rPr>
                <w:rFonts w:eastAsia="Arial" w:cs="Arial"/>
                <w:sz w:val="18"/>
                <w:szCs w:val="18"/>
              </w:rPr>
            </w:pPr>
            <w:r w:rsidRPr="00662906">
              <w:rPr>
                <w:rFonts w:eastAsia="Arial" w:cs="Arial"/>
                <w:sz w:val="18"/>
                <w:szCs w:val="18"/>
              </w:rPr>
              <w:t>Investors are invited to participate in financing models that not only yield returns but also generate social and environmental benefits, aligning with global sustainable investment trends.</w:t>
            </w:r>
          </w:p>
        </w:tc>
      </w:tr>
    </w:tbl>
    <w:p w14:paraId="6EE9E462" w14:textId="2A7654AA" w:rsidR="001A600A" w:rsidRPr="00662906" w:rsidRDefault="001A600A" w:rsidP="001A600A">
      <w:pPr>
        <w:rPr>
          <w:rFonts w:eastAsia="Arial" w:cs="Arial"/>
          <w:i/>
          <w:iCs/>
          <w:color w:val="B4A169"/>
          <w:sz w:val="16"/>
          <w:szCs w:val="16"/>
        </w:rPr>
      </w:pPr>
      <w:r w:rsidRPr="00662906">
        <w:rPr>
          <w:rFonts w:eastAsia="Arial" w:cs="Arial"/>
          <w:i/>
          <w:iCs/>
          <w:color w:val="B4A169"/>
          <w:sz w:val="16"/>
          <w:szCs w:val="16"/>
        </w:rPr>
        <w:t>Source:</w:t>
      </w:r>
      <w:r w:rsidRPr="00662906">
        <w:t xml:space="preserve"> </w:t>
      </w:r>
      <w:r w:rsidRPr="00662906">
        <w:rPr>
          <w:rFonts w:eastAsia="Arial" w:cs="Arial"/>
          <w:i/>
          <w:iCs/>
          <w:color w:val="B4A169"/>
          <w:sz w:val="16"/>
          <w:szCs w:val="16"/>
        </w:rPr>
        <w:t xml:space="preserve">Authors' own creation </w:t>
      </w:r>
    </w:p>
    <w:p w14:paraId="625EB4E4" w14:textId="2E0081DF" w:rsidR="009E4659" w:rsidRPr="00662906" w:rsidRDefault="009E4659" w:rsidP="00804761">
      <w:pPr>
        <w:pStyle w:val="Heading3"/>
      </w:pPr>
      <w:bookmarkStart w:id="936" w:name="_Toc171955571"/>
      <w:bookmarkStart w:id="937" w:name="_Toc176190976"/>
      <w:bookmarkStart w:id="938" w:name="_Toc176191142"/>
      <w:bookmarkStart w:id="939" w:name="_Toc176341861"/>
      <w:bookmarkStart w:id="940" w:name="_Toc176430255"/>
      <w:bookmarkStart w:id="941" w:name="_Toc176430312"/>
      <w:bookmarkStart w:id="942" w:name="_Toc176441444"/>
      <w:bookmarkStart w:id="943" w:name="_Toc176442099"/>
      <w:bookmarkStart w:id="944" w:name="_Toc178937518"/>
      <w:bookmarkStart w:id="945" w:name="_Toc197433880"/>
      <w:r w:rsidRPr="00662906">
        <w:t>Specific Communication Tools and Channels</w:t>
      </w:r>
      <w:bookmarkEnd w:id="936"/>
      <w:bookmarkEnd w:id="937"/>
      <w:bookmarkEnd w:id="938"/>
      <w:bookmarkEnd w:id="939"/>
      <w:bookmarkEnd w:id="940"/>
      <w:bookmarkEnd w:id="941"/>
      <w:bookmarkEnd w:id="942"/>
      <w:bookmarkEnd w:id="943"/>
      <w:bookmarkEnd w:id="944"/>
      <w:bookmarkEnd w:id="945"/>
    </w:p>
    <w:p w14:paraId="6E703BF9" w14:textId="5346FEF1" w:rsidR="009E4659" w:rsidRPr="00662906" w:rsidRDefault="009E4659" w:rsidP="009E4659">
      <w:r w:rsidRPr="00662906">
        <w:t xml:space="preserve">For the successful implementation of the African Union's ETSAP, a comprehensive communication plan leveraging diverse tools and channels is essential. This plan will not only facilitate stakeholder engagement and public awareness but also ensure the dissemination of key information and updates throughout the lifecycle of the </w:t>
      </w:r>
      <w:r w:rsidR="2B0B1B86" w:rsidRPr="00662906">
        <w:t>ETSAP</w:t>
      </w:r>
      <w:r w:rsidR="1B3B83D0" w:rsidRPr="00662906">
        <w:t>.</w:t>
      </w:r>
      <w:r w:rsidRPr="00662906">
        <w:t xml:space="preserve"> The tools and activities recommended below are contingent on available budget and staff resources and should be adaptable based on evolving operational contexts.</w:t>
      </w:r>
    </w:p>
    <w:p w14:paraId="62B9B1DF" w14:textId="77777777" w:rsidR="009E4659" w:rsidRPr="00662906" w:rsidRDefault="009E4659" w:rsidP="009E4659">
      <w:pPr>
        <w:rPr>
          <w:b/>
          <w:bCs/>
        </w:rPr>
      </w:pPr>
      <w:r w:rsidRPr="00662906">
        <w:rPr>
          <w:b/>
          <w:bCs/>
        </w:rPr>
        <w:t>Visual Identity</w:t>
      </w:r>
    </w:p>
    <w:p w14:paraId="08E99FF1" w14:textId="7D78D1EA" w:rsidR="009E4659" w:rsidRPr="00662906" w:rsidRDefault="009E4659" w:rsidP="009E4659">
      <w:r w:rsidRPr="00662906">
        <w:t xml:space="preserve">Developing a distinct visual identity for the ETSAP is crucial. This includes the creation of a consistent </w:t>
      </w:r>
      <w:r w:rsidR="6AC076C1" w:rsidRPr="00662906">
        <w:t>colour</w:t>
      </w:r>
      <w:r w:rsidRPr="00662906">
        <w:t xml:space="preserve"> scheme, fonts, and the use of partner logos in publications and digital content to foster brand recognition. A dedicated logo may also be considered to symbolize the </w:t>
      </w:r>
      <w:r w:rsidR="0A07ED98" w:rsidRPr="00662906">
        <w:t>ETSAP</w:t>
      </w:r>
      <w:r w:rsidR="1B3B83D0" w:rsidRPr="00662906">
        <w:t>'s</w:t>
      </w:r>
      <w:r w:rsidRPr="00662906">
        <w:t xml:space="preserve"> objectives and values. Additionally, a </w:t>
      </w:r>
      <w:r w:rsidR="009C3CBA" w:rsidRPr="00662906">
        <w:t>brand book</w:t>
      </w:r>
      <w:r w:rsidRPr="00662906">
        <w:t xml:space="preserve"> will be created to standardize templates for official documents, presentations, and social media visuals, ensuring coherence across all communications.</w:t>
      </w:r>
    </w:p>
    <w:p w14:paraId="05A9918F" w14:textId="77777777" w:rsidR="009E4659" w:rsidRPr="00662906" w:rsidRDefault="009E4659" w:rsidP="009E4659">
      <w:pPr>
        <w:rPr>
          <w:b/>
          <w:bCs/>
        </w:rPr>
      </w:pPr>
      <w:r w:rsidRPr="00662906">
        <w:rPr>
          <w:b/>
          <w:bCs/>
        </w:rPr>
        <w:t>Promotional Materials and Basic Visuals</w:t>
      </w:r>
    </w:p>
    <w:p w14:paraId="5541C67B" w14:textId="77777777" w:rsidR="009E4659" w:rsidRPr="00662906" w:rsidRDefault="009E4659" w:rsidP="009E4659">
      <w:r w:rsidRPr="00662906">
        <w:t>Once the brand identity is established, various promotional materials will be produced. Essential items like roll-ups and backdrops for events will be prioritized to ensure visibility during public engagements. Other promotional items, such as eco-friendly bags, pens, folders, or notebooks, will also be considered for use in events and conferences to enhance the strategy’s outreach.</w:t>
      </w:r>
    </w:p>
    <w:p w14:paraId="57684AFA" w14:textId="77777777" w:rsidR="009E4659" w:rsidRPr="00662906" w:rsidRDefault="009E4659" w:rsidP="009E4659">
      <w:pPr>
        <w:rPr>
          <w:b/>
          <w:bCs/>
        </w:rPr>
      </w:pPr>
      <w:r w:rsidRPr="00662906">
        <w:rPr>
          <w:b/>
          <w:bCs/>
        </w:rPr>
        <w:t>Publications</w:t>
      </w:r>
    </w:p>
    <w:p w14:paraId="5711410B" w14:textId="77777777" w:rsidR="009E4659" w:rsidRPr="00662906" w:rsidRDefault="009E4659" w:rsidP="009E4659">
      <w:r w:rsidRPr="00662906">
        <w:lastRenderedPageBreak/>
        <w:t>A series of publications will be crucial for communicating the nuances and successes of the ETSAP:</w:t>
      </w:r>
    </w:p>
    <w:p w14:paraId="4BF9363C" w14:textId="77777777" w:rsidR="009E4659" w:rsidRPr="00662906" w:rsidRDefault="009E4659" w:rsidP="00E1605A">
      <w:pPr>
        <w:pStyle w:val="ListParagraph"/>
        <w:numPr>
          <w:ilvl w:val="0"/>
          <w:numId w:val="4"/>
        </w:numPr>
      </w:pPr>
      <w:r w:rsidRPr="00662906">
        <w:rPr>
          <w:b/>
          <w:bCs/>
        </w:rPr>
        <w:t>General Factsheet/Brochure:</w:t>
      </w:r>
      <w:r w:rsidRPr="00662906">
        <w:t xml:space="preserve"> An overview document that explains the strategy’s goals, processes, and benefits.</w:t>
      </w:r>
    </w:p>
    <w:p w14:paraId="32A28393" w14:textId="77777777" w:rsidR="009E4659" w:rsidRPr="00662906" w:rsidRDefault="009E4659" w:rsidP="00E1605A">
      <w:pPr>
        <w:pStyle w:val="ListParagraph"/>
        <w:numPr>
          <w:ilvl w:val="0"/>
          <w:numId w:val="4"/>
        </w:numPr>
      </w:pPr>
      <w:r w:rsidRPr="00662906">
        <w:rPr>
          <w:b/>
          <w:bCs/>
        </w:rPr>
        <w:t>Sectoral Factsheets:</w:t>
      </w:r>
      <w:r w:rsidRPr="00662906">
        <w:t xml:space="preserve"> Detailed guides for specific sectors such as renewable energy, clean cooking, and energy efficiency, incorporating infographics and visual data to illustrate progress and key points.</w:t>
      </w:r>
    </w:p>
    <w:p w14:paraId="1F9E67D6" w14:textId="77777777" w:rsidR="009E4659" w:rsidRPr="00662906" w:rsidRDefault="009E4659" w:rsidP="00E1605A">
      <w:pPr>
        <w:pStyle w:val="ListParagraph"/>
        <w:numPr>
          <w:ilvl w:val="0"/>
          <w:numId w:val="4"/>
        </w:numPr>
      </w:pPr>
      <w:r w:rsidRPr="00662906">
        <w:rPr>
          <w:b/>
          <w:bCs/>
        </w:rPr>
        <w:t>Success Stories:</w:t>
      </w:r>
      <w:r w:rsidRPr="00662906">
        <w:t xml:space="preserve"> Narrative-driven content that showcases the impact of the strategy through real-life examples, highlighting how specific initiatives have transformed energy access and sustainability in Africa. These stories will be adapted for various formats, including web articles and social media content, to maximize reach and engagement.</w:t>
      </w:r>
    </w:p>
    <w:p w14:paraId="1B023085" w14:textId="77777777" w:rsidR="009E4659" w:rsidRPr="00662906" w:rsidRDefault="009E4659" w:rsidP="009E4659">
      <w:pPr>
        <w:rPr>
          <w:b/>
          <w:bCs/>
        </w:rPr>
      </w:pPr>
      <w:r w:rsidRPr="00662906">
        <w:rPr>
          <w:b/>
          <w:bCs/>
        </w:rPr>
        <w:t>Videos</w:t>
      </w:r>
    </w:p>
    <w:p w14:paraId="3E0C2580" w14:textId="77777777" w:rsidR="009E4659" w:rsidRPr="00662906" w:rsidRDefault="009E4659" w:rsidP="009E4659">
      <w:r w:rsidRPr="00662906">
        <w:t>Video content will play a significant role in the communication strategy:</w:t>
      </w:r>
    </w:p>
    <w:p w14:paraId="73076867" w14:textId="77777777" w:rsidR="009E4659" w:rsidRPr="00662906" w:rsidRDefault="009E4659" w:rsidP="00E1605A">
      <w:pPr>
        <w:pStyle w:val="ListParagraph"/>
        <w:numPr>
          <w:ilvl w:val="0"/>
          <w:numId w:val="7"/>
        </w:numPr>
      </w:pPr>
      <w:r w:rsidRPr="00662906">
        <w:rPr>
          <w:b/>
          <w:bCs/>
        </w:rPr>
        <w:t>Overview Video</w:t>
      </w:r>
      <w:r w:rsidRPr="00662906">
        <w:t>: Introducing the ETSAP and outlining its importance and benefits.</w:t>
      </w:r>
    </w:p>
    <w:p w14:paraId="7E3D2D80" w14:textId="77777777" w:rsidR="009E4659" w:rsidRPr="00662906" w:rsidRDefault="009E4659" w:rsidP="00E1605A">
      <w:pPr>
        <w:pStyle w:val="ListParagraph"/>
        <w:numPr>
          <w:ilvl w:val="0"/>
          <w:numId w:val="7"/>
        </w:numPr>
      </w:pPr>
      <w:r w:rsidRPr="00662906">
        <w:rPr>
          <w:b/>
          <w:bCs/>
        </w:rPr>
        <w:t>Thematic Videos:</w:t>
      </w:r>
      <w:r w:rsidRPr="00662906">
        <w:t xml:space="preserve"> Focused on specific themes or sectors, these videos will target social media platforms to engage a broader audience.</w:t>
      </w:r>
    </w:p>
    <w:p w14:paraId="0C0791E5" w14:textId="77777777" w:rsidR="009E4659" w:rsidRPr="00662906" w:rsidRDefault="009E4659" w:rsidP="00E1605A">
      <w:pPr>
        <w:pStyle w:val="ListParagraph"/>
        <w:numPr>
          <w:ilvl w:val="0"/>
          <w:numId w:val="7"/>
        </w:numPr>
      </w:pPr>
      <w:r w:rsidRPr="00662906">
        <w:rPr>
          <w:b/>
          <w:bCs/>
        </w:rPr>
        <w:t>Testimonial Videos:</w:t>
      </w:r>
      <w:r w:rsidRPr="00662906">
        <w:t xml:space="preserve"> Featuring interviews with stakeholders and beneficiaries, these videos will personalize the strategy’s impact.</w:t>
      </w:r>
    </w:p>
    <w:p w14:paraId="1974C48D" w14:textId="77777777" w:rsidR="009E4659" w:rsidRPr="00662906" w:rsidRDefault="009E4659" w:rsidP="00E1605A">
      <w:pPr>
        <w:pStyle w:val="ListParagraph"/>
        <w:numPr>
          <w:ilvl w:val="0"/>
          <w:numId w:val="7"/>
        </w:numPr>
      </w:pPr>
      <w:r w:rsidRPr="00662906">
        <w:rPr>
          <w:b/>
          <w:bCs/>
        </w:rPr>
        <w:t>Event Summaries and Explainer Videos:</w:t>
      </w:r>
      <w:r w:rsidRPr="00662906">
        <w:t xml:space="preserve"> Capturing key moments from conferences and workshops, and detailed explanations of complex topics within the strategy.</w:t>
      </w:r>
    </w:p>
    <w:p w14:paraId="2FA51E34" w14:textId="77777777" w:rsidR="009E4659" w:rsidRPr="00662906" w:rsidRDefault="009E4659" w:rsidP="009E4659">
      <w:pPr>
        <w:rPr>
          <w:b/>
          <w:bCs/>
        </w:rPr>
      </w:pPr>
      <w:r w:rsidRPr="00662906">
        <w:rPr>
          <w:b/>
          <w:bCs/>
        </w:rPr>
        <w:t>Events</w:t>
      </w:r>
    </w:p>
    <w:p w14:paraId="6C848795" w14:textId="77777777" w:rsidR="009E4659" w:rsidRPr="00662906" w:rsidRDefault="009E4659" w:rsidP="009E4659">
      <w:r w:rsidRPr="00662906">
        <w:t>Events are pivotal for advocacy, networking, and stakeholder engagement:</w:t>
      </w:r>
    </w:p>
    <w:p w14:paraId="33523F0A" w14:textId="498B20B8" w:rsidR="009E4659" w:rsidRPr="00662906" w:rsidRDefault="009E4659" w:rsidP="00E1605A">
      <w:pPr>
        <w:pStyle w:val="ListParagraph"/>
        <w:numPr>
          <w:ilvl w:val="0"/>
          <w:numId w:val="8"/>
        </w:numPr>
      </w:pPr>
      <w:r w:rsidRPr="00662906">
        <w:rPr>
          <w:b/>
          <w:bCs/>
        </w:rPr>
        <w:t>High-Level Meetings and Conferences:</w:t>
      </w:r>
      <w:r w:rsidRPr="00662906">
        <w:t xml:space="preserve"> Participation in global and regional platforms like the Conference of the Parties and other significant energy and climate-related events.</w:t>
      </w:r>
    </w:p>
    <w:p w14:paraId="7549294A" w14:textId="77777777" w:rsidR="009E4659" w:rsidRPr="00662906" w:rsidRDefault="009E4659" w:rsidP="00E1605A">
      <w:pPr>
        <w:pStyle w:val="ListParagraph"/>
        <w:numPr>
          <w:ilvl w:val="0"/>
          <w:numId w:val="8"/>
        </w:numPr>
      </w:pPr>
      <w:r w:rsidRPr="00662906">
        <w:rPr>
          <w:b/>
          <w:bCs/>
        </w:rPr>
        <w:t>Workshops and Information Sessions:</w:t>
      </w:r>
      <w:r w:rsidRPr="00662906">
        <w:t xml:space="preserve"> Targeted events to engage specific stakeholder groups such as the private sector, offering updates and fostering collaboration.</w:t>
      </w:r>
    </w:p>
    <w:p w14:paraId="12C1E0BD" w14:textId="77777777" w:rsidR="009E4659" w:rsidRPr="00662906" w:rsidRDefault="009E4659" w:rsidP="00E1605A">
      <w:pPr>
        <w:pStyle w:val="ListParagraph"/>
        <w:numPr>
          <w:ilvl w:val="0"/>
          <w:numId w:val="8"/>
        </w:numPr>
      </w:pPr>
      <w:r w:rsidRPr="00662906">
        <w:rPr>
          <w:b/>
          <w:bCs/>
        </w:rPr>
        <w:t xml:space="preserve">Media Events: </w:t>
      </w:r>
      <w:r w:rsidRPr="00662906">
        <w:t>Press conferences or media briefings to highlight milestones and achievements, enhancing media coverage and public understanding of the strategy’s progress.</w:t>
      </w:r>
    </w:p>
    <w:p w14:paraId="32D77905" w14:textId="3E3E6D22" w:rsidR="009E4659" w:rsidRPr="00662906" w:rsidRDefault="009E4659" w:rsidP="009E4659">
      <w:pPr>
        <w:rPr>
          <w:b/>
        </w:rPr>
      </w:pPr>
      <w:r w:rsidRPr="00662906">
        <w:rPr>
          <w:b/>
        </w:rPr>
        <w:t>Social Media</w:t>
      </w:r>
    </w:p>
    <w:p w14:paraId="0F4A7DCD" w14:textId="77777777" w:rsidR="009E4659" w:rsidRPr="00662906" w:rsidRDefault="009E4659" w:rsidP="009E4659">
      <w:r w:rsidRPr="00662906">
        <w:t>Social media will be utilized to maintain continuous engagement and update the public and stakeholders:</w:t>
      </w:r>
    </w:p>
    <w:p w14:paraId="37C8D1CD" w14:textId="7CD9BE8A" w:rsidR="009E4659" w:rsidRPr="00662906" w:rsidRDefault="009E4659" w:rsidP="00E320DD">
      <w:pPr>
        <w:pStyle w:val="Bullets"/>
        <w:rPr>
          <w:lang w:val="en-GB"/>
        </w:rPr>
      </w:pPr>
      <w:r w:rsidRPr="00662906">
        <w:rPr>
          <w:lang w:val="en-GB"/>
        </w:rPr>
        <w:t xml:space="preserve">Social </w:t>
      </w:r>
      <w:r w:rsidR="00B61978" w:rsidRPr="00662906">
        <w:rPr>
          <w:lang w:val="en-GB"/>
        </w:rPr>
        <w:t>media</w:t>
      </w:r>
      <w:r w:rsidRPr="00662906">
        <w:rPr>
          <w:lang w:val="en-GB"/>
        </w:rPr>
        <w:t xml:space="preserve">: </w:t>
      </w:r>
      <w:r w:rsidRPr="00662906">
        <w:rPr>
          <w:b/>
          <w:lang w:val="en-GB"/>
        </w:rPr>
        <w:t>Planning for regular updates, key announcements, and special events to keep the audience informed and engaged.</w:t>
      </w:r>
    </w:p>
    <w:p w14:paraId="2E258562" w14:textId="77777777" w:rsidR="009E4659" w:rsidRPr="00662906" w:rsidRDefault="009E4659" w:rsidP="00E320DD">
      <w:pPr>
        <w:pStyle w:val="Bullets"/>
        <w:rPr>
          <w:b/>
          <w:lang w:val="en-GB"/>
        </w:rPr>
      </w:pPr>
      <w:r w:rsidRPr="00662906">
        <w:rPr>
          <w:lang w:val="en-GB"/>
        </w:rPr>
        <w:t xml:space="preserve">Integration with Partner Platforms: </w:t>
      </w:r>
      <w:r w:rsidRPr="00662906">
        <w:rPr>
          <w:b/>
          <w:bCs/>
          <w:lang w:val="en-GB"/>
        </w:rPr>
        <w:t>Utilizing existing social media accounts from AU and EU institutions, as well as other partners like RECs and Power Pools, to leverage their reach and influence.</w:t>
      </w:r>
    </w:p>
    <w:p w14:paraId="43420DED" w14:textId="77777777" w:rsidR="00867ED1" w:rsidRPr="00662906" w:rsidRDefault="380A1A05">
      <w:pPr>
        <w:sectPr w:rsidR="00867ED1" w:rsidRPr="00662906" w:rsidSect="00A37F01">
          <w:footerReference w:type="default" r:id="rId31"/>
          <w:pgSz w:w="11906" w:h="16838"/>
          <w:pgMar w:top="1440" w:right="1440" w:bottom="1440" w:left="1440" w:header="708" w:footer="708" w:gutter="0"/>
          <w:cols w:space="708"/>
          <w:docGrid w:linePitch="360"/>
        </w:sectPr>
      </w:pPr>
      <w:r w:rsidRPr="00662906">
        <w:br w:type="page"/>
      </w:r>
    </w:p>
    <w:p w14:paraId="3B25F501" w14:textId="58E8CF35" w:rsidR="00867ED1" w:rsidRPr="00662906" w:rsidRDefault="00867ED1" w:rsidP="001312F6">
      <w:pPr>
        <w:pStyle w:val="Heading1"/>
      </w:pPr>
      <w:bookmarkStart w:id="946" w:name="_Toc176430256"/>
      <w:bookmarkStart w:id="947" w:name="_Toc176430313"/>
      <w:bookmarkStart w:id="948" w:name="_Toc176441445"/>
      <w:bookmarkStart w:id="949" w:name="_Toc176442100"/>
      <w:bookmarkStart w:id="950" w:name="_Toc178937519"/>
      <w:bookmarkStart w:id="951" w:name="_Toc197433881"/>
      <w:r w:rsidRPr="00662906">
        <w:lastRenderedPageBreak/>
        <w:t>ANNEXES</w:t>
      </w:r>
      <w:bookmarkEnd w:id="946"/>
      <w:bookmarkEnd w:id="947"/>
      <w:bookmarkEnd w:id="948"/>
      <w:bookmarkEnd w:id="949"/>
      <w:bookmarkEnd w:id="950"/>
      <w:bookmarkEnd w:id="951"/>
    </w:p>
    <w:p w14:paraId="7BAA8369" w14:textId="4DDA0E4D" w:rsidR="00372408" w:rsidRPr="00662906" w:rsidRDefault="00005A46" w:rsidP="00804761">
      <w:pPr>
        <w:pStyle w:val="Heading2"/>
      </w:pPr>
      <w:bookmarkStart w:id="952" w:name="_Ref185538399"/>
      <w:bookmarkStart w:id="953" w:name="_Toc197433882"/>
      <w:bookmarkStart w:id="954" w:name="_Toc176430257"/>
      <w:bookmarkStart w:id="955" w:name="_Toc176430314"/>
      <w:bookmarkStart w:id="956" w:name="_Toc176441446"/>
      <w:bookmarkStart w:id="957" w:name="_Toc176442101"/>
      <w:bookmarkStart w:id="958" w:name="_Toc178937520"/>
      <w:r w:rsidRPr="00662906">
        <w:t>NDCs targets analysis</w:t>
      </w:r>
      <w:bookmarkEnd w:id="952"/>
      <w:bookmarkEnd w:id="953"/>
    </w:p>
    <w:p w14:paraId="3999CF82" w14:textId="433ED958" w:rsidR="00005A46" w:rsidRPr="00662906" w:rsidRDefault="00005A46" w:rsidP="00005A46">
      <w:r w:rsidRPr="00662906">
        <w:t>The following table presents an overview of the targets analysis of the NDCs performed by Netherlands Environmental Assessment Agency</w:t>
      </w:r>
      <w:r w:rsidR="001F5D44" w:rsidRPr="00662906">
        <w:t xml:space="preserve"> (PBL)</w:t>
      </w:r>
      <w:r w:rsidRPr="00662906">
        <w:t xml:space="preserve">. The details are presented graphically on the website: </w:t>
      </w:r>
      <w:hyperlink r:id="rId32" w:history="1">
        <w:r w:rsidRPr="00662906">
          <w:rPr>
            <w:rStyle w:val="Hyperlink"/>
          </w:rPr>
          <w:t>https://themasites.pbl.nl/o/climate-ndc-policies-tool/</w:t>
        </w:r>
      </w:hyperlink>
      <w:r w:rsidRPr="00662906">
        <w:t xml:space="preserve"> </w:t>
      </w:r>
    </w:p>
    <w:p w14:paraId="5CBA740F" w14:textId="77777777" w:rsidR="00005A46" w:rsidRPr="00662906" w:rsidRDefault="00005A46" w:rsidP="00005A46">
      <w:r w:rsidRPr="00662906">
        <w:t>The emissions presented are total emissions, including or excluding Land Use, Land Use Change and Forestry (LULUCF), as can be seen in the table below.</w:t>
      </w:r>
    </w:p>
    <w:p w14:paraId="78034860" w14:textId="21BE51A6" w:rsidR="00005A46" w:rsidRPr="00662906" w:rsidRDefault="00D81B03" w:rsidP="00D81B03">
      <w:pPr>
        <w:pStyle w:val="Caption"/>
        <w:rPr>
          <w:i w:val="0"/>
          <w:iCs w:val="0"/>
        </w:rPr>
      </w:pPr>
      <w:bookmarkStart w:id="959" w:name="_Toc197433939"/>
      <w:r w:rsidRPr="00662906">
        <w:t xml:space="preserve">Table </w:t>
      </w:r>
      <w:fldSimple w:instr=" SEQ Table \* ARABIC ">
        <w:r w:rsidR="00610F61">
          <w:rPr>
            <w:noProof/>
          </w:rPr>
          <w:t>51</w:t>
        </w:r>
      </w:fldSimple>
      <w:r w:rsidR="00005A46" w:rsidRPr="00662906">
        <w:t>: Overview of Nationally determined contributions of AU MS</w:t>
      </w:r>
      <w:bookmarkEnd w:id="959"/>
    </w:p>
    <w:tbl>
      <w:tblPr>
        <w:tblW w:w="9121" w:type="dxa"/>
        <w:tblBorders>
          <w:top w:val="single" w:sz="4" w:space="0" w:color="9F2241" w:themeColor="background1"/>
          <w:left w:val="single" w:sz="4" w:space="0" w:color="9F2241" w:themeColor="background1"/>
          <w:bottom w:val="single" w:sz="4" w:space="0" w:color="9F2241" w:themeColor="background1"/>
          <w:right w:val="single" w:sz="4" w:space="0" w:color="9F2241" w:themeColor="background1"/>
          <w:insideH w:val="single" w:sz="4" w:space="0" w:color="9F2241" w:themeColor="background1"/>
          <w:insideV w:val="single" w:sz="4" w:space="0" w:color="9F2241" w:themeColor="background1"/>
        </w:tblBorders>
        <w:tblLook w:val="04A0" w:firstRow="1" w:lastRow="0" w:firstColumn="1" w:lastColumn="0" w:noHBand="0" w:noVBand="1"/>
      </w:tblPr>
      <w:tblGrid>
        <w:gridCol w:w="2113"/>
        <w:gridCol w:w="1143"/>
        <w:gridCol w:w="1100"/>
        <w:gridCol w:w="1553"/>
        <w:gridCol w:w="1685"/>
        <w:gridCol w:w="1527"/>
      </w:tblGrid>
      <w:tr w:rsidR="00005A46" w:rsidRPr="00662906" w14:paraId="586B7481" w14:textId="77777777" w:rsidTr="00A8504E">
        <w:trPr>
          <w:trHeight w:val="300"/>
        </w:trPr>
        <w:tc>
          <w:tcPr>
            <w:tcW w:w="2113" w:type="dxa"/>
            <w:shd w:val="clear" w:color="auto" w:fill="B4A269" w:themeFill="text2"/>
            <w:noWrap/>
            <w:vAlign w:val="center"/>
          </w:tcPr>
          <w:p w14:paraId="30FC7E6A" w14:textId="77777777" w:rsidR="00005A46" w:rsidRPr="00662906" w:rsidRDefault="00005A46" w:rsidP="00BC0340">
            <w:pPr>
              <w:spacing w:before="0" w:after="0" w:line="240" w:lineRule="auto"/>
              <w:jc w:val="center"/>
              <w:rPr>
                <w:rFonts w:cs="Arial"/>
                <w:b/>
                <w:bCs/>
                <w:color w:val="FFFFFF" w:themeColor="background2"/>
                <w:sz w:val="18"/>
                <w:szCs w:val="18"/>
              </w:rPr>
            </w:pPr>
          </w:p>
        </w:tc>
        <w:tc>
          <w:tcPr>
            <w:tcW w:w="1143" w:type="dxa"/>
            <w:shd w:val="clear" w:color="auto" w:fill="B4A269" w:themeFill="text2"/>
            <w:vAlign w:val="center"/>
          </w:tcPr>
          <w:p w14:paraId="618A85F1" w14:textId="77777777" w:rsidR="00005A46" w:rsidRPr="00662906" w:rsidRDefault="00005A46" w:rsidP="00BC0340">
            <w:pPr>
              <w:spacing w:before="0" w:after="0" w:line="240" w:lineRule="auto"/>
              <w:jc w:val="center"/>
              <w:rPr>
                <w:rFonts w:cs="Arial"/>
                <w:b/>
                <w:bCs/>
                <w:color w:val="FFFFFF" w:themeColor="background2"/>
                <w:sz w:val="18"/>
                <w:szCs w:val="18"/>
              </w:rPr>
            </w:pPr>
          </w:p>
        </w:tc>
        <w:tc>
          <w:tcPr>
            <w:tcW w:w="5865" w:type="dxa"/>
            <w:gridSpan w:val="4"/>
            <w:shd w:val="clear" w:color="auto" w:fill="B4A269" w:themeFill="text2"/>
            <w:noWrap/>
            <w:vAlign w:val="center"/>
            <w:hideMark/>
          </w:tcPr>
          <w:p w14:paraId="1A415BCD" w14:textId="77777777" w:rsidR="00005A46" w:rsidRPr="00662906" w:rsidRDefault="00005A46" w:rsidP="00BC0340">
            <w:pPr>
              <w:spacing w:before="0" w:after="0" w:line="240" w:lineRule="auto"/>
              <w:jc w:val="center"/>
              <w:rPr>
                <w:rFonts w:cs="Arial"/>
                <w:color w:val="FFFFFF" w:themeColor="background2"/>
                <w:sz w:val="18"/>
                <w:szCs w:val="18"/>
              </w:rPr>
            </w:pPr>
            <w:r w:rsidRPr="00662906">
              <w:rPr>
                <w:rFonts w:cs="Arial"/>
                <w:b/>
                <w:bCs/>
                <w:color w:val="FFFFFF" w:themeColor="background2"/>
                <w:sz w:val="18"/>
                <w:szCs w:val="18"/>
              </w:rPr>
              <w:t>Overall emissions in Mt CO2 equivalent</w:t>
            </w:r>
          </w:p>
        </w:tc>
      </w:tr>
      <w:tr w:rsidR="00DF7F42" w:rsidRPr="00662906" w14:paraId="72EE28F3" w14:textId="77777777" w:rsidTr="00A8504E">
        <w:trPr>
          <w:trHeight w:val="300"/>
        </w:trPr>
        <w:tc>
          <w:tcPr>
            <w:tcW w:w="2113" w:type="dxa"/>
            <w:noWrap/>
            <w:vAlign w:val="center"/>
            <w:hideMark/>
          </w:tcPr>
          <w:p w14:paraId="2D615913" w14:textId="77777777" w:rsidR="00DF7F42" w:rsidRPr="00662906" w:rsidRDefault="00DF7F42" w:rsidP="00BC0340">
            <w:pPr>
              <w:spacing w:before="0" w:after="0" w:line="240" w:lineRule="auto"/>
              <w:rPr>
                <w:rFonts w:cs="Arial"/>
                <w:b/>
                <w:bCs/>
                <w:sz w:val="18"/>
                <w:szCs w:val="18"/>
              </w:rPr>
            </w:pPr>
          </w:p>
        </w:tc>
        <w:tc>
          <w:tcPr>
            <w:tcW w:w="1143" w:type="dxa"/>
            <w:vAlign w:val="center"/>
          </w:tcPr>
          <w:p w14:paraId="0AA2EA13" w14:textId="77777777" w:rsidR="00DF7F42" w:rsidRPr="00662906" w:rsidRDefault="00DF7F42" w:rsidP="00BC0340">
            <w:pPr>
              <w:spacing w:before="0" w:after="0" w:line="240" w:lineRule="auto"/>
              <w:rPr>
                <w:rFonts w:cs="Arial"/>
                <w:b/>
                <w:bCs/>
                <w:sz w:val="18"/>
                <w:szCs w:val="18"/>
              </w:rPr>
            </w:pPr>
          </w:p>
        </w:tc>
        <w:tc>
          <w:tcPr>
            <w:tcW w:w="1100" w:type="dxa"/>
            <w:noWrap/>
            <w:vAlign w:val="center"/>
            <w:hideMark/>
          </w:tcPr>
          <w:p w14:paraId="26FA88E9" w14:textId="77777777" w:rsidR="00DF7F42" w:rsidRPr="00662906" w:rsidRDefault="00DF7F42" w:rsidP="00BC0340">
            <w:pPr>
              <w:spacing w:before="0" w:after="0" w:line="240" w:lineRule="auto"/>
              <w:rPr>
                <w:rFonts w:cs="Arial"/>
                <w:b/>
                <w:bCs/>
                <w:sz w:val="18"/>
                <w:szCs w:val="18"/>
              </w:rPr>
            </w:pPr>
          </w:p>
        </w:tc>
        <w:tc>
          <w:tcPr>
            <w:tcW w:w="1553" w:type="dxa"/>
            <w:shd w:val="clear" w:color="auto" w:fill="D2C7A5" w:themeFill="text2" w:themeFillTint="99"/>
            <w:noWrap/>
            <w:vAlign w:val="center"/>
            <w:hideMark/>
          </w:tcPr>
          <w:p w14:paraId="74631A59" w14:textId="3CAF2F17" w:rsidR="00DF7F42" w:rsidRPr="00662906" w:rsidRDefault="00DF7F42" w:rsidP="00BC0340">
            <w:pPr>
              <w:spacing w:before="0" w:after="0" w:line="240" w:lineRule="auto"/>
              <w:jc w:val="center"/>
              <w:rPr>
                <w:rFonts w:cs="Arial"/>
                <w:b/>
                <w:bCs/>
                <w:sz w:val="18"/>
                <w:szCs w:val="18"/>
              </w:rPr>
            </w:pPr>
            <w:r w:rsidRPr="00662906">
              <w:rPr>
                <w:rFonts w:cs="Arial"/>
                <w:b/>
                <w:bCs/>
                <w:sz w:val="18"/>
                <w:szCs w:val="18"/>
              </w:rPr>
              <w:t>Business as usual (BAU) national projection</w:t>
            </w:r>
          </w:p>
        </w:tc>
        <w:tc>
          <w:tcPr>
            <w:tcW w:w="3212" w:type="dxa"/>
            <w:gridSpan w:val="2"/>
            <w:shd w:val="clear" w:color="auto" w:fill="D2C7A5" w:themeFill="text2" w:themeFillTint="99"/>
            <w:noWrap/>
            <w:vAlign w:val="center"/>
            <w:hideMark/>
          </w:tcPr>
          <w:p w14:paraId="4D7DECB1" w14:textId="6DC9413A" w:rsidR="00DF7F42" w:rsidRPr="00662906" w:rsidRDefault="00DF7F42" w:rsidP="00DF7F42">
            <w:pPr>
              <w:spacing w:before="0" w:after="0" w:line="240" w:lineRule="auto"/>
              <w:jc w:val="center"/>
              <w:rPr>
                <w:rFonts w:cs="Arial"/>
                <w:b/>
                <w:bCs/>
                <w:sz w:val="18"/>
                <w:szCs w:val="18"/>
              </w:rPr>
            </w:pPr>
            <w:r w:rsidRPr="00662906">
              <w:rPr>
                <w:rFonts w:cs="Arial"/>
                <w:b/>
                <w:bCs/>
                <w:sz w:val="18"/>
                <w:szCs w:val="18"/>
              </w:rPr>
              <w:t>2030 NDCs</w:t>
            </w:r>
          </w:p>
        </w:tc>
      </w:tr>
      <w:tr w:rsidR="00005A46" w:rsidRPr="00662906" w14:paraId="04065D1F" w14:textId="77777777" w:rsidTr="00A8504E">
        <w:trPr>
          <w:trHeight w:val="300"/>
        </w:trPr>
        <w:tc>
          <w:tcPr>
            <w:tcW w:w="2113" w:type="dxa"/>
            <w:shd w:val="clear" w:color="auto" w:fill="E1D9C3" w:themeFill="text2" w:themeFillTint="66"/>
            <w:noWrap/>
            <w:vAlign w:val="center"/>
            <w:hideMark/>
          </w:tcPr>
          <w:p w14:paraId="35A5ECA3" w14:textId="77777777" w:rsidR="00005A46" w:rsidRPr="00662906" w:rsidRDefault="00005A46" w:rsidP="00BC0340">
            <w:pPr>
              <w:spacing w:before="0" w:after="0" w:line="240" w:lineRule="auto"/>
              <w:jc w:val="center"/>
              <w:rPr>
                <w:rFonts w:cs="Arial"/>
                <w:b/>
                <w:bCs/>
                <w:sz w:val="18"/>
                <w:szCs w:val="18"/>
              </w:rPr>
            </w:pPr>
            <w:r w:rsidRPr="00662906">
              <w:rPr>
                <w:rFonts w:cs="Arial"/>
                <w:b/>
                <w:bCs/>
                <w:sz w:val="18"/>
                <w:szCs w:val="18"/>
              </w:rPr>
              <w:t>Country name</w:t>
            </w:r>
          </w:p>
        </w:tc>
        <w:tc>
          <w:tcPr>
            <w:tcW w:w="1143" w:type="dxa"/>
            <w:shd w:val="clear" w:color="auto" w:fill="E1D9C3" w:themeFill="text2" w:themeFillTint="66"/>
            <w:vAlign w:val="center"/>
          </w:tcPr>
          <w:p w14:paraId="3973F485" w14:textId="77777777" w:rsidR="00005A46" w:rsidRPr="00662906" w:rsidRDefault="00005A46" w:rsidP="00BC0340">
            <w:pPr>
              <w:spacing w:before="0" w:after="0" w:line="240" w:lineRule="auto"/>
              <w:jc w:val="center"/>
              <w:rPr>
                <w:rFonts w:cs="Arial"/>
                <w:b/>
                <w:bCs/>
                <w:sz w:val="18"/>
                <w:szCs w:val="18"/>
              </w:rPr>
            </w:pPr>
            <w:r w:rsidRPr="00662906">
              <w:rPr>
                <w:rFonts w:cs="Arial"/>
                <w:b/>
                <w:bCs/>
                <w:sz w:val="18"/>
                <w:szCs w:val="18"/>
              </w:rPr>
              <w:t>LULUCF</w:t>
            </w:r>
          </w:p>
        </w:tc>
        <w:tc>
          <w:tcPr>
            <w:tcW w:w="1100" w:type="dxa"/>
            <w:shd w:val="clear" w:color="auto" w:fill="E1D9C3" w:themeFill="text2" w:themeFillTint="66"/>
            <w:noWrap/>
            <w:vAlign w:val="center"/>
            <w:hideMark/>
          </w:tcPr>
          <w:p w14:paraId="30785AD9" w14:textId="77777777" w:rsidR="00005A46" w:rsidRPr="00662906" w:rsidRDefault="00005A46" w:rsidP="00BC0340">
            <w:pPr>
              <w:spacing w:before="0" w:after="0" w:line="240" w:lineRule="auto"/>
              <w:jc w:val="center"/>
              <w:rPr>
                <w:rFonts w:cs="Arial"/>
                <w:b/>
                <w:bCs/>
                <w:sz w:val="18"/>
                <w:szCs w:val="18"/>
              </w:rPr>
            </w:pPr>
            <w:r w:rsidRPr="00662906">
              <w:rPr>
                <w:rFonts w:cs="Arial"/>
                <w:b/>
                <w:bCs/>
                <w:sz w:val="18"/>
                <w:szCs w:val="18"/>
              </w:rPr>
              <w:t>2020</w:t>
            </w:r>
          </w:p>
        </w:tc>
        <w:tc>
          <w:tcPr>
            <w:tcW w:w="1553" w:type="dxa"/>
            <w:shd w:val="clear" w:color="auto" w:fill="E1D9C3" w:themeFill="text2" w:themeFillTint="66"/>
            <w:noWrap/>
            <w:vAlign w:val="center"/>
            <w:hideMark/>
          </w:tcPr>
          <w:p w14:paraId="14420A15" w14:textId="77777777" w:rsidR="00005A46" w:rsidRPr="00662906" w:rsidRDefault="00005A46" w:rsidP="00BC0340">
            <w:pPr>
              <w:spacing w:before="0" w:after="0" w:line="240" w:lineRule="auto"/>
              <w:jc w:val="center"/>
              <w:rPr>
                <w:rFonts w:cs="Arial"/>
                <w:b/>
                <w:bCs/>
                <w:sz w:val="18"/>
                <w:szCs w:val="18"/>
              </w:rPr>
            </w:pPr>
            <w:r w:rsidRPr="00662906">
              <w:rPr>
                <w:rFonts w:cs="Arial"/>
                <w:b/>
                <w:bCs/>
                <w:sz w:val="18"/>
                <w:szCs w:val="18"/>
              </w:rPr>
              <w:t>2030</w:t>
            </w:r>
          </w:p>
        </w:tc>
        <w:tc>
          <w:tcPr>
            <w:tcW w:w="1685" w:type="dxa"/>
            <w:shd w:val="clear" w:color="auto" w:fill="E1D9C3" w:themeFill="text2" w:themeFillTint="66"/>
            <w:noWrap/>
            <w:vAlign w:val="center"/>
            <w:hideMark/>
          </w:tcPr>
          <w:p w14:paraId="276CC637" w14:textId="77777777" w:rsidR="005977BA" w:rsidRPr="00662906" w:rsidRDefault="00005A46" w:rsidP="00BC0340">
            <w:pPr>
              <w:spacing w:before="0" w:after="0" w:line="240" w:lineRule="auto"/>
              <w:jc w:val="center"/>
              <w:rPr>
                <w:rFonts w:cs="Arial"/>
                <w:b/>
                <w:bCs/>
                <w:sz w:val="18"/>
                <w:szCs w:val="18"/>
              </w:rPr>
            </w:pPr>
            <w:r w:rsidRPr="00662906">
              <w:rPr>
                <w:rFonts w:cs="Arial"/>
                <w:b/>
                <w:bCs/>
                <w:sz w:val="18"/>
                <w:szCs w:val="18"/>
              </w:rPr>
              <w:t xml:space="preserve">Unconditional </w:t>
            </w:r>
          </w:p>
          <w:p w14:paraId="44897389" w14:textId="03C7F901" w:rsidR="00005A46" w:rsidRPr="00662906" w:rsidRDefault="005977BA" w:rsidP="005977BA">
            <w:pPr>
              <w:spacing w:before="0" w:after="0" w:line="240" w:lineRule="auto"/>
              <w:jc w:val="center"/>
              <w:rPr>
                <w:rFonts w:cs="Arial"/>
                <w:b/>
                <w:bCs/>
                <w:sz w:val="18"/>
                <w:szCs w:val="18"/>
              </w:rPr>
            </w:pPr>
            <w:r w:rsidRPr="00662906">
              <w:rPr>
                <w:rFonts w:cs="Arial"/>
                <w:b/>
                <w:bCs/>
                <w:sz w:val="18"/>
                <w:szCs w:val="18"/>
              </w:rPr>
              <w:t xml:space="preserve">Intended Nationally Determined Contributions </w:t>
            </w:r>
          </w:p>
        </w:tc>
        <w:tc>
          <w:tcPr>
            <w:tcW w:w="1527" w:type="dxa"/>
            <w:shd w:val="clear" w:color="auto" w:fill="E1D9C3" w:themeFill="text2" w:themeFillTint="66"/>
            <w:noWrap/>
            <w:vAlign w:val="center"/>
            <w:hideMark/>
          </w:tcPr>
          <w:p w14:paraId="6822398A" w14:textId="0694673C" w:rsidR="00005A46" w:rsidRPr="00662906" w:rsidRDefault="00005A46" w:rsidP="00BC0340">
            <w:pPr>
              <w:spacing w:before="0" w:after="0" w:line="240" w:lineRule="auto"/>
              <w:jc w:val="center"/>
              <w:rPr>
                <w:rFonts w:cs="Arial"/>
                <w:b/>
                <w:bCs/>
                <w:sz w:val="18"/>
                <w:szCs w:val="18"/>
              </w:rPr>
            </w:pPr>
            <w:r w:rsidRPr="00662906">
              <w:rPr>
                <w:rFonts w:cs="Arial"/>
                <w:b/>
                <w:bCs/>
                <w:sz w:val="18"/>
                <w:szCs w:val="18"/>
              </w:rPr>
              <w:t xml:space="preserve">Conditional </w:t>
            </w:r>
            <w:r w:rsidR="00DF7F42" w:rsidRPr="00662906">
              <w:rPr>
                <w:rFonts w:cs="Arial"/>
                <w:b/>
                <w:bCs/>
                <w:sz w:val="18"/>
                <w:szCs w:val="18"/>
              </w:rPr>
              <w:t>Intended Nationally Determined Contributions</w:t>
            </w:r>
          </w:p>
        </w:tc>
      </w:tr>
      <w:tr w:rsidR="00005A46" w:rsidRPr="00662906" w14:paraId="3692BAD6" w14:textId="77777777" w:rsidTr="00A8504E">
        <w:trPr>
          <w:trHeight w:val="300"/>
        </w:trPr>
        <w:tc>
          <w:tcPr>
            <w:tcW w:w="2113" w:type="dxa"/>
            <w:noWrap/>
            <w:vAlign w:val="bottom"/>
            <w:hideMark/>
          </w:tcPr>
          <w:p w14:paraId="032F16A7" w14:textId="77777777" w:rsidR="00005A46" w:rsidRPr="00662906" w:rsidRDefault="00005A46" w:rsidP="00BC0340">
            <w:pPr>
              <w:spacing w:before="0" w:after="0" w:line="240" w:lineRule="auto"/>
              <w:rPr>
                <w:rFonts w:cs="Arial"/>
                <w:sz w:val="18"/>
                <w:szCs w:val="18"/>
              </w:rPr>
            </w:pPr>
            <w:r w:rsidRPr="00662906">
              <w:rPr>
                <w:rFonts w:cs="Arial"/>
                <w:sz w:val="18"/>
                <w:szCs w:val="18"/>
              </w:rPr>
              <w:t>Algeria</w:t>
            </w:r>
          </w:p>
        </w:tc>
        <w:tc>
          <w:tcPr>
            <w:tcW w:w="1143" w:type="dxa"/>
            <w:vAlign w:val="bottom"/>
          </w:tcPr>
          <w:p w14:paraId="4084B479"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3E0C5B7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257</w:t>
            </w:r>
          </w:p>
        </w:tc>
        <w:tc>
          <w:tcPr>
            <w:tcW w:w="1553" w:type="dxa"/>
            <w:noWrap/>
            <w:vAlign w:val="bottom"/>
            <w:hideMark/>
          </w:tcPr>
          <w:p w14:paraId="7B1D454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251</w:t>
            </w:r>
          </w:p>
        </w:tc>
        <w:tc>
          <w:tcPr>
            <w:tcW w:w="1685" w:type="dxa"/>
            <w:noWrap/>
            <w:vAlign w:val="bottom"/>
            <w:hideMark/>
          </w:tcPr>
          <w:p w14:paraId="2CF7DAB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234</w:t>
            </w:r>
          </w:p>
        </w:tc>
        <w:tc>
          <w:tcPr>
            <w:tcW w:w="1527" w:type="dxa"/>
            <w:noWrap/>
            <w:vAlign w:val="bottom"/>
            <w:hideMark/>
          </w:tcPr>
          <w:p w14:paraId="3B8D4B6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196</w:t>
            </w:r>
          </w:p>
        </w:tc>
      </w:tr>
      <w:tr w:rsidR="00005A46" w:rsidRPr="00662906" w14:paraId="05E65F92" w14:textId="77777777" w:rsidTr="00A8504E">
        <w:trPr>
          <w:trHeight w:val="300"/>
        </w:trPr>
        <w:tc>
          <w:tcPr>
            <w:tcW w:w="2113" w:type="dxa"/>
            <w:noWrap/>
            <w:vAlign w:val="bottom"/>
            <w:hideMark/>
          </w:tcPr>
          <w:p w14:paraId="3616665B" w14:textId="77777777" w:rsidR="00005A46" w:rsidRPr="00662906" w:rsidRDefault="00005A46" w:rsidP="00BC0340">
            <w:pPr>
              <w:spacing w:before="0" w:after="0" w:line="240" w:lineRule="auto"/>
              <w:rPr>
                <w:rFonts w:cs="Arial"/>
                <w:sz w:val="18"/>
                <w:szCs w:val="18"/>
              </w:rPr>
            </w:pPr>
            <w:r w:rsidRPr="00662906">
              <w:rPr>
                <w:rFonts w:cs="Arial"/>
                <w:sz w:val="18"/>
                <w:szCs w:val="18"/>
              </w:rPr>
              <w:t>Angola</w:t>
            </w:r>
          </w:p>
        </w:tc>
        <w:tc>
          <w:tcPr>
            <w:tcW w:w="1143" w:type="dxa"/>
            <w:vAlign w:val="bottom"/>
          </w:tcPr>
          <w:p w14:paraId="146176E5"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7A1AEDC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156</w:t>
            </w:r>
          </w:p>
        </w:tc>
        <w:tc>
          <w:tcPr>
            <w:tcW w:w="1553" w:type="dxa"/>
            <w:noWrap/>
            <w:vAlign w:val="bottom"/>
            <w:hideMark/>
          </w:tcPr>
          <w:p w14:paraId="761FF8A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193</w:t>
            </w:r>
          </w:p>
        </w:tc>
        <w:tc>
          <w:tcPr>
            <w:tcW w:w="1685" w:type="dxa"/>
            <w:noWrap/>
            <w:vAlign w:val="bottom"/>
            <w:hideMark/>
          </w:tcPr>
          <w:p w14:paraId="4392FC1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93</w:t>
            </w:r>
          </w:p>
        </w:tc>
        <w:tc>
          <w:tcPr>
            <w:tcW w:w="1527" w:type="dxa"/>
            <w:noWrap/>
            <w:vAlign w:val="bottom"/>
            <w:hideMark/>
          </w:tcPr>
          <w:p w14:paraId="78DE5EC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82</w:t>
            </w:r>
          </w:p>
        </w:tc>
      </w:tr>
      <w:tr w:rsidR="00005A46" w:rsidRPr="00662906" w14:paraId="468347D1" w14:textId="77777777" w:rsidTr="00A8504E">
        <w:trPr>
          <w:trHeight w:val="300"/>
        </w:trPr>
        <w:tc>
          <w:tcPr>
            <w:tcW w:w="2113" w:type="dxa"/>
            <w:noWrap/>
            <w:vAlign w:val="bottom"/>
            <w:hideMark/>
          </w:tcPr>
          <w:p w14:paraId="71ED19E9" w14:textId="77777777" w:rsidR="00005A46" w:rsidRPr="00662906" w:rsidRDefault="00005A46" w:rsidP="00BC0340">
            <w:pPr>
              <w:spacing w:before="0" w:after="0" w:line="240" w:lineRule="auto"/>
              <w:rPr>
                <w:rFonts w:cs="Arial"/>
                <w:sz w:val="18"/>
                <w:szCs w:val="18"/>
              </w:rPr>
            </w:pPr>
            <w:r w:rsidRPr="00662906">
              <w:rPr>
                <w:rFonts w:cs="Arial"/>
                <w:sz w:val="18"/>
                <w:szCs w:val="18"/>
              </w:rPr>
              <w:t>Benin</w:t>
            </w:r>
          </w:p>
        </w:tc>
        <w:tc>
          <w:tcPr>
            <w:tcW w:w="1143" w:type="dxa"/>
            <w:vAlign w:val="bottom"/>
          </w:tcPr>
          <w:p w14:paraId="3007F07D"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BA1B42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18</w:t>
            </w:r>
          </w:p>
        </w:tc>
        <w:tc>
          <w:tcPr>
            <w:tcW w:w="1553" w:type="dxa"/>
            <w:noWrap/>
            <w:vAlign w:val="bottom"/>
            <w:hideMark/>
          </w:tcPr>
          <w:p w14:paraId="45899768"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4A825D0D"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0638A7A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18</w:t>
            </w:r>
          </w:p>
        </w:tc>
      </w:tr>
      <w:tr w:rsidR="00005A46" w:rsidRPr="00662906" w14:paraId="7456A943" w14:textId="77777777" w:rsidTr="00A8504E">
        <w:trPr>
          <w:trHeight w:val="300"/>
        </w:trPr>
        <w:tc>
          <w:tcPr>
            <w:tcW w:w="2113" w:type="dxa"/>
            <w:noWrap/>
            <w:vAlign w:val="bottom"/>
            <w:hideMark/>
          </w:tcPr>
          <w:p w14:paraId="3566FA96" w14:textId="77777777" w:rsidR="00005A46" w:rsidRPr="00662906" w:rsidRDefault="00005A46" w:rsidP="00BC0340">
            <w:pPr>
              <w:spacing w:before="0" w:after="0" w:line="240" w:lineRule="auto"/>
              <w:rPr>
                <w:rFonts w:cs="Arial"/>
                <w:sz w:val="18"/>
                <w:szCs w:val="18"/>
              </w:rPr>
            </w:pPr>
            <w:r w:rsidRPr="00662906">
              <w:rPr>
                <w:rFonts w:cs="Arial"/>
                <w:sz w:val="18"/>
                <w:szCs w:val="18"/>
              </w:rPr>
              <w:t>Botswana</w:t>
            </w:r>
          </w:p>
        </w:tc>
        <w:tc>
          <w:tcPr>
            <w:tcW w:w="1143" w:type="dxa"/>
            <w:vAlign w:val="bottom"/>
          </w:tcPr>
          <w:p w14:paraId="4AA82847"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01E193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15</w:t>
            </w:r>
          </w:p>
        </w:tc>
        <w:tc>
          <w:tcPr>
            <w:tcW w:w="1553" w:type="dxa"/>
            <w:noWrap/>
            <w:vAlign w:val="bottom"/>
            <w:hideMark/>
          </w:tcPr>
          <w:p w14:paraId="0DB927C6"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13378889"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547DACA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19</w:t>
            </w:r>
          </w:p>
        </w:tc>
      </w:tr>
      <w:tr w:rsidR="00005A46" w:rsidRPr="00662906" w14:paraId="3AD1F47B" w14:textId="77777777" w:rsidTr="00A8504E">
        <w:trPr>
          <w:trHeight w:val="300"/>
        </w:trPr>
        <w:tc>
          <w:tcPr>
            <w:tcW w:w="2113" w:type="dxa"/>
            <w:noWrap/>
            <w:vAlign w:val="bottom"/>
            <w:hideMark/>
          </w:tcPr>
          <w:p w14:paraId="3BA85A90" w14:textId="77777777" w:rsidR="00005A46" w:rsidRPr="00662906" w:rsidRDefault="00005A46" w:rsidP="00BC0340">
            <w:pPr>
              <w:spacing w:before="0" w:after="0" w:line="240" w:lineRule="auto"/>
              <w:rPr>
                <w:rFonts w:cs="Arial"/>
                <w:sz w:val="18"/>
                <w:szCs w:val="18"/>
              </w:rPr>
            </w:pPr>
            <w:r w:rsidRPr="00662906">
              <w:rPr>
                <w:rFonts w:cs="Arial"/>
                <w:sz w:val="18"/>
                <w:szCs w:val="18"/>
              </w:rPr>
              <w:t>Burkina Faso</w:t>
            </w:r>
          </w:p>
        </w:tc>
        <w:tc>
          <w:tcPr>
            <w:tcW w:w="1143" w:type="dxa"/>
            <w:vAlign w:val="bottom"/>
          </w:tcPr>
          <w:p w14:paraId="44A71D74"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5A21CE7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88</w:t>
            </w:r>
          </w:p>
        </w:tc>
        <w:tc>
          <w:tcPr>
            <w:tcW w:w="1553" w:type="dxa"/>
            <w:noWrap/>
            <w:vAlign w:val="bottom"/>
            <w:hideMark/>
          </w:tcPr>
          <w:p w14:paraId="5DFBB26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118</w:t>
            </w:r>
          </w:p>
        </w:tc>
        <w:tc>
          <w:tcPr>
            <w:tcW w:w="1685" w:type="dxa"/>
            <w:noWrap/>
            <w:vAlign w:val="bottom"/>
            <w:hideMark/>
          </w:tcPr>
          <w:p w14:paraId="1BF90D1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86</w:t>
            </w:r>
          </w:p>
        </w:tc>
        <w:tc>
          <w:tcPr>
            <w:tcW w:w="1527" w:type="dxa"/>
            <w:noWrap/>
            <w:vAlign w:val="bottom"/>
            <w:hideMark/>
          </w:tcPr>
          <w:p w14:paraId="3C76F64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76</w:t>
            </w:r>
          </w:p>
        </w:tc>
      </w:tr>
      <w:tr w:rsidR="00005A46" w:rsidRPr="00662906" w14:paraId="761C53EB" w14:textId="77777777" w:rsidTr="00A8504E">
        <w:trPr>
          <w:trHeight w:val="300"/>
        </w:trPr>
        <w:tc>
          <w:tcPr>
            <w:tcW w:w="2113" w:type="dxa"/>
            <w:noWrap/>
            <w:vAlign w:val="bottom"/>
            <w:hideMark/>
          </w:tcPr>
          <w:p w14:paraId="239CD67F" w14:textId="77777777" w:rsidR="00005A46" w:rsidRPr="00662906" w:rsidRDefault="00005A46" w:rsidP="00BC0340">
            <w:pPr>
              <w:spacing w:before="0" w:after="0" w:line="240" w:lineRule="auto"/>
              <w:rPr>
                <w:rFonts w:cs="Arial"/>
                <w:sz w:val="18"/>
                <w:szCs w:val="18"/>
              </w:rPr>
            </w:pPr>
            <w:r w:rsidRPr="00662906">
              <w:rPr>
                <w:rFonts w:cs="Arial"/>
                <w:sz w:val="18"/>
                <w:szCs w:val="18"/>
              </w:rPr>
              <w:t>Burundi</w:t>
            </w:r>
          </w:p>
        </w:tc>
        <w:tc>
          <w:tcPr>
            <w:tcW w:w="1143" w:type="dxa"/>
            <w:vAlign w:val="bottom"/>
          </w:tcPr>
          <w:p w14:paraId="52DD885F"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17C5943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w:t>
            </w:r>
          </w:p>
        </w:tc>
        <w:tc>
          <w:tcPr>
            <w:tcW w:w="1553" w:type="dxa"/>
            <w:noWrap/>
            <w:vAlign w:val="bottom"/>
            <w:hideMark/>
          </w:tcPr>
          <w:p w14:paraId="11D46E9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74</w:t>
            </w:r>
          </w:p>
        </w:tc>
        <w:tc>
          <w:tcPr>
            <w:tcW w:w="1685" w:type="dxa"/>
            <w:noWrap/>
            <w:vAlign w:val="bottom"/>
            <w:hideMark/>
          </w:tcPr>
          <w:p w14:paraId="1DA3FB9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72</w:t>
            </w:r>
          </w:p>
        </w:tc>
        <w:tc>
          <w:tcPr>
            <w:tcW w:w="1527" w:type="dxa"/>
            <w:noWrap/>
            <w:vAlign w:val="bottom"/>
            <w:hideMark/>
          </w:tcPr>
          <w:p w14:paraId="36F87E9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60</w:t>
            </w:r>
          </w:p>
        </w:tc>
      </w:tr>
      <w:tr w:rsidR="00005A46" w:rsidRPr="00662906" w14:paraId="61E4B493" w14:textId="77777777" w:rsidTr="00A8504E">
        <w:trPr>
          <w:trHeight w:val="300"/>
        </w:trPr>
        <w:tc>
          <w:tcPr>
            <w:tcW w:w="2113" w:type="dxa"/>
            <w:noWrap/>
            <w:vAlign w:val="bottom"/>
            <w:hideMark/>
          </w:tcPr>
          <w:p w14:paraId="37CC5702" w14:textId="77777777" w:rsidR="00005A46" w:rsidRPr="00662906" w:rsidRDefault="00005A46" w:rsidP="00BC0340">
            <w:pPr>
              <w:spacing w:before="0" w:after="0" w:line="240" w:lineRule="auto"/>
              <w:rPr>
                <w:rFonts w:cs="Arial"/>
                <w:sz w:val="18"/>
                <w:szCs w:val="18"/>
              </w:rPr>
            </w:pPr>
            <w:r w:rsidRPr="00662906">
              <w:rPr>
                <w:rFonts w:cs="Arial"/>
                <w:sz w:val="18"/>
                <w:szCs w:val="18"/>
              </w:rPr>
              <w:t>Cameroon</w:t>
            </w:r>
          </w:p>
        </w:tc>
        <w:tc>
          <w:tcPr>
            <w:tcW w:w="1143" w:type="dxa"/>
            <w:vAlign w:val="bottom"/>
          </w:tcPr>
          <w:p w14:paraId="3532AC49"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74084E1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-230</w:t>
            </w:r>
          </w:p>
        </w:tc>
        <w:tc>
          <w:tcPr>
            <w:tcW w:w="1553" w:type="dxa"/>
            <w:noWrap/>
            <w:vAlign w:val="bottom"/>
            <w:hideMark/>
          </w:tcPr>
          <w:p w14:paraId="7DA81BC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104</w:t>
            </w:r>
          </w:p>
        </w:tc>
        <w:tc>
          <w:tcPr>
            <w:tcW w:w="1685" w:type="dxa"/>
            <w:noWrap/>
            <w:vAlign w:val="bottom"/>
            <w:hideMark/>
          </w:tcPr>
          <w:p w14:paraId="353E51E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92</w:t>
            </w:r>
          </w:p>
        </w:tc>
        <w:tc>
          <w:tcPr>
            <w:tcW w:w="1527" w:type="dxa"/>
            <w:noWrap/>
            <w:vAlign w:val="bottom"/>
            <w:hideMark/>
          </w:tcPr>
          <w:p w14:paraId="32D9A03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68</w:t>
            </w:r>
          </w:p>
        </w:tc>
      </w:tr>
      <w:tr w:rsidR="00005A46" w:rsidRPr="00662906" w14:paraId="0AD63C9A" w14:textId="77777777" w:rsidTr="00A8504E">
        <w:trPr>
          <w:trHeight w:val="300"/>
        </w:trPr>
        <w:tc>
          <w:tcPr>
            <w:tcW w:w="2113" w:type="dxa"/>
            <w:noWrap/>
            <w:vAlign w:val="bottom"/>
            <w:hideMark/>
          </w:tcPr>
          <w:p w14:paraId="1DF04DA3" w14:textId="77777777" w:rsidR="00005A46" w:rsidRPr="00662906" w:rsidRDefault="00005A46" w:rsidP="00BC0340">
            <w:pPr>
              <w:spacing w:before="0" w:after="0" w:line="240" w:lineRule="auto"/>
              <w:rPr>
                <w:rFonts w:cs="Arial"/>
                <w:sz w:val="18"/>
                <w:szCs w:val="18"/>
              </w:rPr>
            </w:pPr>
            <w:r w:rsidRPr="00662906">
              <w:rPr>
                <w:rFonts w:cs="Arial"/>
                <w:sz w:val="18"/>
                <w:szCs w:val="18"/>
              </w:rPr>
              <w:t>Cape Verde</w:t>
            </w:r>
          </w:p>
        </w:tc>
        <w:tc>
          <w:tcPr>
            <w:tcW w:w="1143" w:type="dxa"/>
            <w:vAlign w:val="bottom"/>
          </w:tcPr>
          <w:p w14:paraId="26DF1EB6"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58AA044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w:t>
            </w:r>
          </w:p>
        </w:tc>
        <w:tc>
          <w:tcPr>
            <w:tcW w:w="1553" w:type="dxa"/>
            <w:noWrap/>
            <w:vAlign w:val="bottom"/>
            <w:hideMark/>
          </w:tcPr>
          <w:p w14:paraId="0D741C8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c>
          <w:tcPr>
            <w:tcW w:w="1685" w:type="dxa"/>
            <w:shd w:val="clear" w:color="000000" w:fill="BFBFBF"/>
            <w:noWrap/>
            <w:vAlign w:val="bottom"/>
            <w:hideMark/>
          </w:tcPr>
          <w:p w14:paraId="3A7701A5" w14:textId="01DD19C5"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0286DCEE" w14:textId="1A325982" w:rsidR="00005A46" w:rsidRPr="00662906" w:rsidRDefault="00005A46" w:rsidP="00382D31">
            <w:pPr>
              <w:spacing w:before="0" w:after="0" w:line="240" w:lineRule="auto"/>
              <w:jc w:val="center"/>
              <w:rPr>
                <w:rFonts w:cs="Arial"/>
                <w:sz w:val="18"/>
                <w:szCs w:val="18"/>
              </w:rPr>
            </w:pPr>
          </w:p>
        </w:tc>
      </w:tr>
      <w:tr w:rsidR="00005A46" w:rsidRPr="00662906" w14:paraId="1C8B14CE" w14:textId="77777777" w:rsidTr="00A8504E">
        <w:trPr>
          <w:trHeight w:val="300"/>
        </w:trPr>
        <w:tc>
          <w:tcPr>
            <w:tcW w:w="2113" w:type="dxa"/>
            <w:noWrap/>
            <w:vAlign w:val="bottom"/>
            <w:hideMark/>
          </w:tcPr>
          <w:p w14:paraId="57DFA4E1" w14:textId="77777777" w:rsidR="00005A46" w:rsidRPr="00662906" w:rsidRDefault="00005A46" w:rsidP="00BC0340">
            <w:pPr>
              <w:spacing w:before="0" w:after="0" w:line="240" w:lineRule="auto"/>
              <w:rPr>
                <w:rFonts w:cs="Arial"/>
                <w:sz w:val="18"/>
                <w:szCs w:val="18"/>
              </w:rPr>
            </w:pPr>
            <w:r w:rsidRPr="00662906">
              <w:rPr>
                <w:rFonts w:cs="Arial"/>
                <w:sz w:val="18"/>
                <w:szCs w:val="18"/>
              </w:rPr>
              <w:t>Central African Republic</w:t>
            </w:r>
          </w:p>
        </w:tc>
        <w:tc>
          <w:tcPr>
            <w:tcW w:w="1143" w:type="dxa"/>
            <w:vAlign w:val="bottom"/>
          </w:tcPr>
          <w:p w14:paraId="39C540C5"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5F52857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20</w:t>
            </w:r>
          </w:p>
        </w:tc>
        <w:tc>
          <w:tcPr>
            <w:tcW w:w="1553" w:type="dxa"/>
            <w:noWrap/>
            <w:vAlign w:val="bottom"/>
            <w:hideMark/>
          </w:tcPr>
          <w:p w14:paraId="7BD7973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153</w:t>
            </w:r>
          </w:p>
        </w:tc>
        <w:tc>
          <w:tcPr>
            <w:tcW w:w="1685" w:type="dxa"/>
            <w:noWrap/>
            <w:vAlign w:val="bottom"/>
            <w:hideMark/>
          </w:tcPr>
          <w:p w14:paraId="18D05F5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16</w:t>
            </w:r>
          </w:p>
        </w:tc>
        <w:tc>
          <w:tcPr>
            <w:tcW w:w="1527" w:type="dxa"/>
            <w:noWrap/>
            <w:vAlign w:val="bottom"/>
            <w:hideMark/>
          </w:tcPr>
          <w:p w14:paraId="0CE7328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13</w:t>
            </w:r>
          </w:p>
        </w:tc>
      </w:tr>
      <w:tr w:rsidR="00005A46" w:rsidRPr="00662906" w14:paraId="1CD2A35A" w14:textId="77777777" w:rsidTr="00A8504E">
        <w:trPr>
          <w:trHeight w:val="300"/>
        </w:trPr>
        <w:tc>
          <w:tcPr>
            <w:tcW w:w="2113" w:type="dxa"/>
            <w:noWrap/>
            <w:vAlign w:val="bottom"/>
            <w:hideMark/>
          </w:tcPr>
          <w:p w14:paraId="1EA9E48D" w14:textId="77777777" w:rsidR="00005A46" w:rsidRPr="00662906" w:rsidRDefault="00005A46" w:rsidP="00BC0340">
            <w:pPr>
              <w:spacing w:before="0" w:after="0" w:line="240" w:lineRule="auto"/>
              <w:rPr>
                <w:rFonts w:cs="Arial"/>
                <w:sz w:val="18"/>
                <w:szCs w:val="18"/>
              </w:rPr>
            </w:pPr>
            <w:r w:rsidRPr="00662906">
              <w:rPr>
                <w:rFonts w:cs="Arial"/>
                <w:sz w:val="18"/>
                <w:szCs w:val="18"/>
              </w:rPr>
              <w:t>Chad</w:t>
            </w:r>
          </w:p>
        </w:tc>
        <w:tc>
          <w:tcPr>
            <w:tcW w:w="1143" w:type="dxa"/>
            <w:vAlign w:val="bottom"/>
          </w:tcPr>
          <w:p w14:paraId="76B1B429"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1A5978E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53</w:t>
            </w:r>
          </w:p>
        </w:tc>
        <w:tc>
          <w:tcPr>
            <w:tcW w:w="1553" w:type="dxa"/>
            <w:noWrap/>
            <w:vAlign w:val="bottom"/>
            <w:hideMark/>
          </w:tcPr>
          <w:p w14:paraId="758071C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85</w:t>
            </w:r>
          </w:p>
        </w:tc>
        <w:tc>
          <w:tcPr>
            <w:tcW w:w="1685" w:type="dxa"/>
            <w:noWrap/>
            <w:vAlign w:val="bottom"/>
            <w:hideMark/>
          </w:tcPr>
          <w:p w14:paraId="5B992DF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85</w:t>
            </w:r>
          </w:p>
        </w:tc>
        <w:tc>
          <w:tcPr>
            <w:tcW w:w="1527" w:type="dxa"/>
            <w:noWrap/>
            <w:vAlign w:val="bottom"/>
            <w:hideMark/>
          </w:tcPr>
          <w:p w14:paraId="1E862F5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69</w:t>
            </w:r>
          </w:p>
        </w:tc>
      </w:tr>
      <w:tr w:rsidR="00005A46" w:rsidRPr="00662906" w14:paraId="2163770A" w14:textId="77777777" w:rsidTr="00A8504E">
        <w:trPr>
          <w:trHeight w:val="300"/>
        </w:trPr>
        <w:tc>
          <w:tcPr>
            <w:tcW w:w="2113" w:type="dxa"/>
            <w:noWrap/>
            <w:vAlign w:val="bottom"/>
            <w:hideMark/>
          </w:tcPr>
          <w:p w14:paraId="57D17482" w14:textId="77777777" w:rsidR="00005A46" w:rsidRPr="00662906" w:rsidRDefault="00005A46" w:rsidP="00BC0340">
            <w:pPr>
              <w:spacing w:before="0" w:after="0" w:line="240" w:lineRule="auto"/>
              <w:rPr>
                <w:rFonts w:cs="Arial"/>
                <w:sz w:val="18"/>
                <w:szCs w:val="18"/>
              </w:rPr>
            </w:pPr>
            <w:r w:rsidRPr="00662906">
              <w:rPr>
                <w:rFonts w:cs="Arial"/>
                <w:sz w:val="18"/>
                <w:szCs w:val="18"/>
              </w:rPr>
              <w:t>Comoros</w:t>
            </w:r>
          </w:p>
        </w:tc>
        <w:tc>
          <w:tcPr>
            <w:tcW w:w="1143" w:type="dxa"/>
            <w:vAlign w:val="bottom"/>
          </w:tcPr>
          <w:p w14:paraId="196F7DA4"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6533AAF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w:t>
            </w:r>
          </w:p>
        </w:tc>
        <w:tc>
          <w:tcPr>
            <w:tcW w:w="1553" w:type="dxa"/>
            <w:noWrap/>
            <w:vAlign w:val="bottom"/>
            <w:hideMark/>
          </w:tcPr>
          <w:p w14:paraId="0A32638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w:t>
            </w:r>
          </w:p>
        </w:tc>
        <w:tc>
          <w:tcPr>
            <w:tcW w:w="1685" w:type="dxa"/>
            <w:noWrap/>
            <w:vAlign w:val="bottom"/>
            <w:hideMark/>
          </w:tcPr>
          <w:p w14:paraId="4A21FD4D"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14FF4E1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r>
      <w:tr w:rsidR="00005A46" w:rsidRPr="00662906" w14:paraId="06186744" w14:textId="77777777" w:rsidTr="00A8504E">
        <w:trPr>
          <w:trHeight w:val="300"/>
        </w:trPr>
        <w:tc>
          <w:tcPr>
            <w:tcW w:w="2113" w:type="dxa"/>
            <w:noWrap/>
            <w:vAlign w:val="bottom"/>
            <w:hideMark/>
          </w:tcPr>
          <w:p w14:paraId="7FDA7453" w14:textId="77777777" w:rsidR="00005A46" w:rsidRPr="00662906" w:rsidRDefault="00005A46" w:rsidP="00BC0340">
            <w:pPr>
              <w:spacing w:before="0" w:after="0" w:line="240" w:lineRule="auto"/>
              <w:rPr>
                <w:rFonts w:cs="Arial"/>
                <w:sz w:val="18"/>
                <w:szCs w:val="18"/>
              </w:rPr>
            </w:pPr>
            <w:r w:rsidRPr="00662906">
              <w:rPr>
                <w:rFonts w:cs="Arial"/>
                <w:sz w:val="18"/>
                <w:szCs w:val="18"/>
              </w:rPr>
              <w:t>Congo, Democratic Republic</w:t>
            </w:r>
          </w:p>
        </w:tc>
        <w:tc>
          <w:tcPr>
            <w:tcW w:w="1143" w:type="dxa"/>
            <w:vAlign w:val="bottom"/>
          </w:tcPr>
          <w:p w14:paraId="7AAD8F1B"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6F5801D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291</w:t>
            </w:r>
          </w:p>
        </w:tc>
        <w:tc>
          <w:tcPr>
            <w:tcW w:w="1553" w:type="dxa"/>
            <w:noWrap/>
            <w:vAlign w:val="bottom"/>
            <w:hideMark/>
          </w:tcPr>
          <w:p w14:paraId="1E4C22E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430</w:t>
            </w:r>
          </w:p>
        </w:tc>
        <w:tc>
          <w:tcPr>
            <w:tcW w:w="1685" w:type="dxa"/>
            <w:noWrap/>
            <w:vAlign w:val="bottom"/>
            <w:hideMark/>
          </w:tcPr>
          <w:p w14:paraId="69E4950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421</w:t>
            </w:r>
          </w:p>
        </w:tc>
        <w:tc>
          <w:tcPr>
            <w:tcW w:w="1527" w:type="dxa"/>
            <w:noWrap/>
            <w:vAlign w:val="bottom"/>
            <w:hideMark/>
          </w:tcPr>
          <w:p w14:paraId="0135C02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340</w:t>
            </w:r>
          </w:p>
        </w:tc>
      </w:tr>
      <w:tr w:rsidR="00005A46" w:rsidRPr="00662906" w14:paraId="46029427" w14:textId="77777777" w:rsidTr="00A8504E">
        <w:trPr>
          <w:trHeight w:val="300"/>
        </w:trPr>
        <w:tc>
          <w:tcPr>
            <w:tcW w:w="2113" w:type="dxa"/>
            <w:noWrap/>
            <w:vAlign w:val="bottom"/>
            <w:hideMark/>
          </w:tcPr>
          <w:p w14:paraId="713E54CC" w14:textId="77777777" w:rsidR="00005A46" w:rsidRPr="00662906" w:rsidRDefault="00005A46" w:rsidP="00BC0340">
            <w:pPr>
              <w:spacing w:before="0" w:after="0" w:line="240" w:lineRule="auto"/>
              <w:rPr>
                <w:rFonts w:cs="Arial"/>
                <w:sz w:val="18"/>
                <w:szCs w:val="18"/>
              </w:rPr>
            </w:pPr>
            <w:r w:rsidRPr="00662906">
              <w:rPr>
                <w:rFonts w:cs="Arial"/>
                <w:sz w:val="18"/>
                <w:szCs w:val="18"/>
              </w:rPr>
              <w:t>Congo, Republic</w:t>
            </w:r>
          </w:p>
        </w:tc>
        <w:tc>
          <w:tcPr>
            <w:tcW w:w="1143" w:type="dxa"/>
            <w:vAlign w:val="bottom"/>
          </w:tcPr>
          <w:p w14:paraId="7F480B2D"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09E1C20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27</w:t>
            </w:r>
          </w:p>
        </w:tc>
        <w:tc>
          <w:tcPr>
            <w:tcW w:w="1553" w:type="dxa"/>
            <w:noWrap/>
            <w:vAlign w:val="bottom"/>
            <w:hideMark/>
          </w:tcPr>
          <w:p w14:paraId="34DE143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26</w:t>
            </w:r>
          </w:p>
        </w:tc>
        <w:tc>
          <w:tcPr>
            <w:tcW w:w="1685" w:type="dxa"/>
            <w:noWrap/>
            <w:vAlign w:val="bottom"/>
            <w:hideMark/>
          </w:tcPr>
          <w:p w14:paraId="46BA2AE4"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6F0C4D6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12</w:t>
            </w:r>
          </w:p>
        </w:tc>
      </w:tr>
      <w:tr w:rsidR="00005A46" w:rsidRPr="00662906" w14:paraId="04C0F684" w14:textId="77777777" w:rsidTr="00A8504E">
        <w:trPr>
          <w:trHeight w:val="300"/>
        </w:trPr>
        <w:tc>
          <w:tcPr>
            <w:tcW w:w="2113" w:type="dxa"/>
            <w:noWrap/>
            <w:vAlign w:val="bottom"/>
            <w:hideMark/>
          </w:tcPr>
          <w:p w14:paraId="6BFA824B" w14:textId="77777777" w:rsidR="00005A46" w:rsidRPr="00662906" w:rsidRDefault="00005A46" w:rsidP="00BC0340">
            <w:pPr>
              <w:spacing w:before="0" w:after="0" w:line="240" w:lineRule="auto"/>
              <w:rPr>
                <w:rFonts w:cs="Arial"/>
                <w:sz w:val="18"/>
                <w:szCs w:val="18"/>
              </w:rPr>
            </w:pPr>
            <w:r w:rsidRPr="00662906">
              <w:rPr>
                <w:rFonts w:cs="Arial"/>
                <w:sz w:val="18"/>
                <w:szCs w:val="18"/>
              </w:rPr>
              <w:t>Cote d' Ivoire</w:t>
            </w:r>
          </w:p>
        </w:tc>
        <w:tc>
          <w:tcPr>
            <w:tcW w:w="1143" w:type="dxa"/>
            <w:vAlign w:val="bottom"/>
          </w:tcPr>
          <w:p w14:paraId="04656731"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413484A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33</w:t>
            </w:r>
          </w:p>
        </w:tc>
        <w:tc>
          <w:tcPr>
            <w:tcW w:w="1553" w:type="dxa"/>
            <w:noWrap/>
            <w:vAlign w:val="bottom"/>
            <w:hideMark/>
          </w:tcPr>
          <w:p w14:paraId="16D23AA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34</w:t>
            </w:r>
          </w:p>
        </w:tc>
        <w:tc>
          <w:tcPr>
            <w:tcW w:w="1685" w:type="dxa"/>
            <w:noWrap/>
            <w:vAlign w:val="bottom"/>
            <w:hideMark/>
          </w:tcPr>
          <w:p w14:paraId="1A2040A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25</w:t>
            </w:r>
          </w:p>
        </w:tc>
        <w:tc>
          <w:tcPr>
            <w:tcW w:w="1527" w:type="dxa"/>
            <w:noWrap/>
            <w:vAlign w:val="bottom"/>
            <w:hideMark/>
          </w:tcPr>
          <w:p w14:paraId="625C29EB" w14:textId="77777777" w:rsidR="00005A46" w:rsidRPr="00662906" w:rsidRDefault="00005A46" w:rsidP="00382D31">
            <w:pPr>
              <w:spacing w:before="0" w:after="0" w:line="240" w:lineRule="auto"/>
              <w:jc w:val="center"/>
              <w:rPr>
                <w:rFonts w:cs="Arial"/>
                <w:sz w:val="18"/>
                <w:szCs w:val="18"/>
              </w:rPr>
            </w:pPr>
          </w:p>
        </w:tc>
      </w:tr>
      <w:tr w:rsidR="00005A46" w:rsidRPr="00662906" w14:paraId="5CD7131D" w14:textId="77777777" w:rsidTr="00A8504E">
        <w:trPr>
          <w:trHeight w:val="300"/>
        </w:trPr>
        <w:tc>
          <w:tcPr>
            <w:tcW w:w="2113" w:type="dxa"/>
            <w:noWrap/>
            <w:vAlign w:val="bottom"/>
            <w:hideMark/>
          </w:tcPr>
          <w:p w14:paraId="79BDC6C5" w14:textId="77777777" w:rsidR="00005A46" w:rsidRPr="00662906" w:rsidRDefault="00005A46" w:rsidP="00BC0340">
            <w:pPr>
              <w:spacing w:before="0" w:after="0" w:line="240" w:lineRule="auto"/>
              <w:rPr>
                <w:rFonts w:cs="Arial"/>
                <w:sz w:val="18"/>
                <w:szCs w:val="18"/>
              </w:rPr>
            </w:pPr>
            <w:r w:rsidRPr="00662906">
              <w:rPr>
                <w:rFonts w:cs="Arial"/>
                <w:sz w:val="18"/>
                <w:szCs w:val="18"/>
              </w:rPr>
              <w:t>Djibouti</w:t>
            </w:r>
          </w:p>
        </w:tc>
        <w:tc>
          <w:tcPr>
            <w:tcW w:w="1143" w:type="dxa"/>
            <w:vAlign w:val="bottom"/>
          </w:tcPr>
          <w:p w14:paraId="007F62D7"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1FF7B8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w:t>
            </w:r>
          </w:p>
        </w:tc>
        <w:tc>
          <w:tcPr>
            <w:tcW w:w="1553" w:type="dxa"/>
            <w:noWrap/>
            <w:vAlign w:val="bottom"/>
            <w:hideMark/>
          </w:tcPr>
          <w:p w14:paraId="3133482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w:t>
            </w:r>
          </w:p>
        </w:tc>
        <w:tc>
          <w:tcPr>
            <w:tcW w:w="1685" w:type="dxa"/>
            <w:noWrap/>
            <w:vAlign w:val="bottom"/>
            <w:hideMark/>
          </w:tcPr>
          <w:p w14:paraId="17630E0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w:t>
            </w:r>
          </w:p>
        </w:tc>
        <w:tc>
          <w:tcPr>
            <w:tcW w:w="1527" w:type="dxa"/>
            <w:noWrap/>
            <w:vAlign w:val="bottom"/>
            <w:hideMark/>
          </w:tcPr>
          <w:p w14:paraId="4E1D807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w:t>
            </w:r>
          </w:p>
        </w:tc>
      </w:tr>
      <w:tr w:rsidR="00005A46" w:rsidRPr="00662906" w14:paraId="596F4B6C" w14:textId="77777777" w:rsidTr="00A8504E">
        <w:trPr>
          <w:trHeight w:val="300"/>
        </w:trPr>
        <w:tc>
          <w:tcPr>
            <w:tcW w:w="2113" w:type="dxa"/>
            <w:noWrap/>
            <w:vAlign w:val="bottom"/>
            <w:hideMark/>
          </w:tcPr>
          <w:p w14:paraId="42051DA5" w14:textId="77777777" w:rsidR="00005A46" w:rsidRPr="00662906" w:rsidRDefault="00005A46" w:rsidP="00BC0340">
            <w:pPr>
              <w:spacing w:before="0" w:after="0" w:line="240" w:lineRule="auto"/>
              <w:rPr>
                <w:rFonts w:cs="Arial"/>
                <w:sz w:val="18"/>
                <w:szCs w:val="18"/>
              </w:rPr>
            </w:pPr>
            <w:r w:rsidRPr="00662906">
              <w:rPr>
                <w:rFonts w:cs="Arial"/>
                <w:sz w:val="18"/>
                <w:szCs w:val="18"/>
              </w:rPr>
              <w:t>Egypt</w:t>
            </w:r>
          </w:p>
        </w:tc>
        <w:tc>
          <w:tcPr>
            <w:tcW w:w="1143" w:type="dxa"/>
            <w:vAlign w:val="bottom"/>
          </w:tcPr>
          <w:p w14:paraId="594F222D"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4BDEED0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337</w:t>
            </w:r>
          </w:p>
        </w:tc>
        <w:tc>
          <w:tcPr>
            <w:tcW w:w="1553" w:type="dxa"/>
            <w:noWrap/>
            <w:vAlign w:val="bottom"/>
            <w:hideMark/>
          </w:tcPr>
          <w:p w14:paraId="42379608"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69839A1A"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78BBD88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496</w:t>
            </w:r>
          </w:p>
        </w:tc>
      </w:tr>
      <w:tr w:rsidR="00005A46" w:rsidRPr="00662906" w14:paraId="075BB9B6" w14:textId="77777777" w:rsidTr="00A8504E">
        <w:trPr>
          <w:trHeight w:val="300"/>
        </w:trPr>
        <w:tc>
          <w:tcPr>
            <w:tcW w:w="2113" w:type="dxa"/>
            <w:noWrap/>
            <w:vAlign w:val="bottom"/>
            <w:hideMark/>
          </w:tcPr>
          <w:p w14:paraId="1DAD630D" w14:textId="77777777" w:rsidR="00005A46" w:rsidRPr="00662906" w:rsidRDefault="00005A46" w:rsidP="00BC0340">
            <w:pPr>
              <w:spacing w:before="0" w:after="0" w:line="240" w:lineRule="auto"/>
              <w:rPr>
                <w:rFonts w:cs="Arial"/>
                <w:sz w:val="18"/>
                <w:szCs w:val="18"/>
              </w:rPr>
            </w:pPr>
            <w:r w:rsidRPr="00662906">
              <w:rPr>
                <w:rFonts w:cs="Arial"/>
                <w:sz w:val="18"/>
                <w:szCs w:val="18"/>
              </w:rPr>
              <w:t>Equatorial Guinea</w:t>
            </w:r>
          </w:p>
        </w:tc>
        <w:tc>
          <w:tcPr>
            <w:tcW w:w="1143" w:type="dxa"/>
            <w:vAlign w:val="bottom"/>
          </w:tcPr>
          <w:p w14:paraId="1FBDA405"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494A136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w:t>
            </w:r>
          </w:p>
        </w:tc>
        <w:tc>
          <w:tcPr>
            <w:tcW w:w="1553" w:type="dxa"/>
            <w:noWrap/>
            <w:vAlign w:val="bottom"/>
            <w:hideMark/>
          </w:tcPr>
          <w:p w14:paraId="39D844F8"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38DAA80C"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376DB8E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20</w:t>
            </w:r>
          </w:p>
        </w:tc>
      </w:tr>
      <w:tr w:rsidR="00005A46" w:rsidRPr="00662906" w14:paraId="343857FF" w14:textId="77777777" w:rsidTr="00A8504E">
        <w:trPr>
          <w:trHeight w:val="300"/>
        </w:trPr>
        <w:tc>
          <w:tcPr>
            <w:tcW w:w="2113" w:type="dxa"/>
            <w:noWrap/>
            <w:vAlign w:val="bottom"/>
            <w:hideMark/>
          </w:tcPr>
          <w:p w14:paraId="64F02048" w14:textId="77777777" w:rsidR="00005A46" w:rsidRPr="00662906" w:rsidRDefault="00005A46" w:rsidP="00BC0340">
            <w:pPr>
              <w:spacing w:before="0" w:after="0" w:line="240" w:lineRule="auto"/>
              <w:rPr>
                <w:rFonts w:cs="Arial"/>
                <w:sz w:val="18"/>
                <w:szCs w:val="18"/>
              </w:rPr>
            </w:pPr>
            <w:r w:rsidRPr="00662906">
              <w:rPr>
                <w:rFonts w:cs="Arial"/>
                <w:sz w:val="18"/>
                <w:szCs w:val="18"/>
              </w:rPr>
              <w:t>Eritrea</w:t>
            </w:r>
          </w:p>
        </w:tc>
        <w:tc>
          <w:tcPr>
            <w:tcW w:w="1143" w:type="dxa"/>
            <w:vAlign w:val="bottom"/>
          </w:tcPr>
          <w:p w14:paraId="6B134797"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5DAE591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w:t>
            </w:r>
          </w:p>
        </w:tc>
        <w:tc>
          <w:tcPr>
            <w:tcW w:w="1553" w:type="dxa"/>
            <w:noWrap/>
            <w:vAlign w:val="bottom"/>
            <w:hideMark/>
          </w:tcPr>
          <w:p w14:paraId="049D0DFF"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182E910F" w14:textId="18A099E3"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4D7FA060" w14:textId="643C52C8" w:rsidR="00005A46" w:rsidRPr="00662906" w:rsidRDefault="00005A46" w:rsidP="00382D31">
            <w:pPr>
              <w:spacing w:before="0" w:after="0" w:line="240" w:lineRule="auto"/>
              <w:jc w:val="center"/>
              <w:rPr>
                <w:rFonts w:cs="Arial"/>
                <w:sz w:val="18"/>
                <w:szCs w:val="18"/>
              </w:rPr>
            </w:pPr>
          </w:p>
        </w:tc>
      </w:tr>
      <w:tr w:rsidR="00005A46" w:rsidRPr="00662906" w14:paraId="46126200" w14:textId="77777777" w:rsidTr="00A8504E">
        <w:trPr>
          <w:trHeight w:val="300"/>
        </w:trPr>
        <w:tc>
          <w:tcPr>
            <w:tcW w:w="2113" w:type="dxa"/>
            <w:noWrap/>
            <w:vAlign w:val="bottom"/>
            <w:hideMark/>
          </w:tcPr>
          <w:p w14:paraId="7094924C" w14:textId="77777777" w:rsidR="00005A46" w:rsidRPr="00662906" w:rsidRDefault="00005A46" w:rsidP="00BC0340">
            <w:pPr>
              <w:spacing w:before="0" w:after="0" w:line="240" w:lineRule="auto"/>
              <w:rPr>
                <w:rFonts w:cs="Arial"/>
                <w:sz w:val="18"/>
                <w:szCs w:val="18"/>
              </w:rPr>
            </w:pPr>
            <w:r w:rsidRPr="00662906">
              <w:rPr>
                <w:rFonts w:cs="Arial"/>
                <w:sz w:val="18"/>
                <w:szCs w:val="18"/>
              </w:rPr>
              <w:t>Ethiopia</w:t>
            </w:r>
          </w:p>
        </w:tc>
        <w:tc>
          <w:tcPr>
            <w:tcW w:w="1143" w:type="dxa"/>
            <w:vAlign w:val="bottom"/>
          </w:tcPr>
          <w:p w14:paraId="0EBD6473"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12C3468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259</w:t>
            </w:r>
          </w:p>
        </w:tc>
        <w:tc>
          <w:tcPr>
            <w:tcW w:w="1553" w:type="dxa"/>
            <w:noWrap/>
            <w:vAlign w:val="bottom"/>
            <w:hideMark/>
          </w:tcPr>
          <w:p w14:paraId="6876609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404</w:t>
            </w:r>
          </w:p>
        </w:tc>
        <w:tc>
          <w:tcPr>
            <w:tcW w:w="1685" w:type="dxa"/>
            <w:noWrap/>
            <w:vAlign w:val="bottom"/>
            <w:hideMark/>
          </w:tcPr>
          <w:p w14:paraId="20648B1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348</w:t>
            </w:r>
          </w:p>
        </w:tc>
        <w:tc>
          <w:tcPr>
            <w:tcW w:w="1527" w:type="dxa"/>
            <w:noWrap/>
            <w:vAlign w:val="bottom"/>
            <w:hideMark/>
          </w:tcPr>
          <w:p w14:paraId="4C391CC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126</w:t>
            </w:r>
          </w:p>
        </w:tc>
      </w:tr>
      <w:tr w:rsidR="00005A46" w:rsidRPr="00662906" w14:paraId="1ECA0873" w14:textId="77777777" w:rsidTr="00A8504E">
        <w:trPr>
          <w:trHeight w:val="300"/>
        </w:trPr>
        <w:tc>
          <w:tcPr>
            <w:tcW w:w="2113" w:type="dxa"/>
            <w:noWrap/>
            <w:vAlign w:val="bottom"/>
            <w:hideMark/>
          </w:tcPr>
          <w:p w14:paraId="4A467410" w14:textId="77777777" w:rsidR="00005A46" w:rsidRPr="00662906" w:rsidRDefault="00005A46" w:rsidP="00BC0340">
            <w:pPr>
              <w:spacing w:before="0" w:after="0" w:line="240" w:lineRule="auto"/>
              <w:rPr>
                <w:rFonts w:cs="Arial"/>
                <w:sz w:val="18"/>
                <w:szCs w:val="18"/>
              </w:rPr>
            </w:pPr>
            <w:r w:rsidRPr="00662906">
              <w:rPr>
                <w:rFonts w:cs="Arial"/>
                <w:sz w:val="18"/>
                <w:szCs w:val="18"/>
              </w:rPr>
              <w:t>Gabon</w:t>
            </w:r>
          </w:p>
        </w:tc>
        <w:tc>
          <w:tcPr>
            <w:tcW w:w="1143" w:type="dxa"/>
            <w:vAlign w:val="bottom"/>
          </w:tcPr>
          <w:p w14:paraId="0BDF7065"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15E7795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w:t>
            </w:r>
          </w:p>
        </w:tc>
        <w:tc>
          <w:tcPr>
            <w:tcW w:w="1553" w:type="dxa"/>
            <w:noWrap/>
            <w:vAlign w:val="bottom"/>
            <w:hideMark/>
          </w:tcPr>
          <w:p w14:paraId="6C276768"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3EB6E855" w14:textId="7940C122"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09FBDFEC" w14:textId="443E2691" w:rsidR="00005A46" w:rsidRPr="00662906" w:rsidRDefault="00005A46" w:rsidP="00382D31">
            <w:pPr>
              <w:spacing w:before="0" w:after="0" w:line="240" w:lineRule="auto"/>
              <w:jc w:val="center"/>
              <w:rPr>
                <w:rFonts w:cs="Arial"/>
                <w:sz w:val="18"/>
                <w:szCs w:val="18"/>
              </w:rPr>
            </w:pPr>
          </w:p>
        </w:tc>
      </w:tr>
      <w:tr w:rsidR="00005A46" w:rsidRPr="00662906" w14:paraId="51B046B0" w14:textId="77777777" w:rsidTr="00A8504E">
        <w:trPr>
          <w:trHeight w:val="300"/>
        </w:trPr>
        <w:tc>
          <w:tcPr>
            <w:tcW w:w="2113" w:type="dxa"/>
            <w:noWrap/>
            <w:vAlign w:val="bottom"/>
            <w:hideMark/>
          </w:tcPr>
          <w:p w14:paraId="47B2E198" w14:textId="77777777" w:rsidR="00005A46" w:rsidRPr="00662906" w:rsidRDefault="00005A46" w:rsidP="00BC0340">
            <w:pPr>
              <w:spacing w:before="0" w:after="0" w:line="240" w:lineRule="auto"/>
              <w:rPr>
                <w:rFonts w:cs="Arial"/>
                <w:sz w:val="18"/>
                <w:szCs w:val="18"/>
              </w:rPr>
            </w:pPr>
            <w:r w:rsidRPr="00662906">
              <w:rPr>
                <w:rFonts w:cs="Arial"/>
                <w:sz w:val="18"/>
                <w:szCs w:val="18"/>
              </w:rPr>
              <w:t>Gambia</w:t>
            </w:r>
          </w:p>
        </w:tc>
        <w:tc>
          <w:tcPr>
            <w:tcW w:w="1143" w:type="dxa"/>
            <w:vAlign w:val="bottom"/>
          </w:tcPr>
          <w:p w14:paraId="34855870"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7A9EA0D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w:t>
            </w:r>
          </w:p>
        </w:tc>
        <w:tc>
          <w:tcPr>
            <w:tcW w:w="1553" w:type="dxa"/>
            <w:noWrap/>
            <w:vAlign w:val="bottom"/>
            <w:hideMark/>
          </w:tcPr>
          <w:p w14:paraId="328C73DA"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51454AD6"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6A54C90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w:t>
            </w:r>
          </w:p>
        </w:tc>
      </w:tr>
      <w:tr w:rsidR="00005A46" w:rsidRPr="00662906" w14:paraId="73ADB09C" w14:textId="77777777" w:rsidTr="00A8504E">
        <w:trPr>
          <w:trHeight w:val="300"/>
        </w:trPr>
        <w:tc>
          <w:tcPr>
            <w:tcW w:w="2113" w:type="dxa"/>
            <w:noWrap/>
            <w:vAlign w:val="bottom"/>
            <w:hideMark/>
          </w:tcPr>
          <w:p w14:paraId="7294BC87" w14:textId="77777777" w:rsidR="00005A46" w:rsidRPr="00662906" w:rsidRDefault="00005A46" w:rsidP="00BC0340">
            <w:pPr>
              <w:spacing w:before="0" w:after="0" w:line="240" w:lineRule="auto"/>
              <w:rPr>
                <w:rFonts w:cs="Arial"/>
                <w:sz w:val="18"/>
                <w:szCs w:val="18"/>
              </w:rPr>
            </w:pPr>
            <w:r w:rsidRPr="00662906">
              <w:rPr>
                <w:rFonts w:cs="Arial"/>
                <w:sz w:val="18"/>
                <w:szCs w:val="18"/>
              </w:rPr>
              <w:t>Ghana</w:t>
            </w:r>
          </w:p>
        </w:tc>
        <w:tc>
          <w:tcPr>
            <w:tcW w:w="1143" w:type="dxa"/>
            <w:vAlign w:val="bottom"/>
          </w:tcPr>
          <w:p w14:paraId="4F118B24"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6F13C6E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67</w:t>
            </w:r>
          </w:p>
        </w:tc>
        <w:tc>
          <w:tcPr>
            <w:tcW w:w="1553" w:type="dxa"/>
            <w:noWrap/>
            <w:vAlign w:val="bottom"/>
            <w:hideMark/>
          </w:tcPr>
          <w:p w14:paraId="64C2A28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74</w:t>
            </w:r>
          </w:p>
        </w:tc>
        <w:tc>
          <w:tcPr>
            <w:tcW w:w="1685" w:type="dxa"/>
            <w:noWrap/>
            <w:vAlign w:val="bottom"/>
            <w:hideMark/>
          </w:tcPr>
          <w:p w14:paraId="19E1CC6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63</w:t>
            </w:r>
          </w:p>
        </w:tc>
        <w:tc>
          <w:tcPr>
            <w:tcW w:w="1527" w:type="dxa"/>
            <w:noWrap/>
            <w:vAlign w:val="bottom"/>
            <w:hideMark/>
          </w:tcPr>
          <w:p w14:paraId="066BE14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41</w:t>
            </w:r>
          </w:p>
        </w:tc>
      </w:tr>
      <w:tr w:rsidR="00005A46" w:rsidRPr="00662906" w14:paraId="4788BE6A" w14:textId="77777777" w:rsidTr="00A8504E">
        <w:trPr>
          <w:trHeight w:val="300"/>
        </w:trPr>
        <w:tc>
          <w:tcPr>
            <w:tcW w:w="2113" w:type="dxa"/>
            <w:noWrap/>
            <w:vAlign w:val="bottom"/>
            <w:hideMark/>
          </w:tcPr>
          <w:p w14:paraId="695D58BD" w14:textId="77777777" w:rsidR="00005A46" w:rsidRPr="00662906" w:rsidRDefault="00005A46" w:rsidP="00BC0340">
            <w:pPr>
              <w:spacing w:before="0" w:after="0" w:line="240" w:lineRule="auto"/>
              <w:rPr>
                <w:rFonts w:cs="Arial"/>
                <w:sz w:val="18"/>
                <w:szCs w:val="18"/>
              </w:rPr>
            </w:pPr>
            <w:r w:rsidRPr="00662906">
              <w:rPr>
                <w:rFonts w:cs="Arial"/>
                <w:sz w:val="18"/>
                <w:szCs w:val="18"/>
              </w:rPr>
              <w:t>Guinea</w:t>
            </w:r>
          </w:p>
        </w:tc>
        <w:tc>
          <w:tcPr>
            <w:tcW w:w="1143" w:type="dxa"/>
            <w:vAlign w:val="bottom"/>
          </w:tcPr>
          <w:p w14:paraId="3D224578"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66CFDB4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31</w:t>
            </w:r>
          </w:p>
        </w:tc>
        <w:tc>
          <w:tcPr>
            <w:tcW w:w="1553" w:type="dxa"/>
            <w:noWrap/>
            <w:vAlign w:val="bottom"/>
            <w:hideMark/>
          </w:tcPr>
          <w:p w14:paraId="4F1BB54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23</w:t>
            </w:r>
          </w:p>
        </w:tc>
        <w:tc>
          <w:tcPr>
            <w:tcW w:w="1685" w:type="dxa"/>
            <w:noWrap/>
            <w:vAlign w:val="bottom"/>
            <w:hideMark/>
          </w:tcPr>
          <w:p w14:paraId="7505CB5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21</w:t>
            </w:r>
          </w:p>
        </w:tc>
        <w:tc>
          <w:tcPr>
            <w:tcW w:w="1527" w:type="dxa"/>
            <w:noWrap/>
            <w:vAlign w:val="bottom"/>
            <w:hideMark/>
          </w:tcPr>
          <w:p w14:paraId="7A55C58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19</w:t>
            </w:r>
          </w:p>
        </w:tc>
      </w:tr>
      <w:tr w:rsidR="00005A46" w:rsidRPr="00662906" w14:paraId="77974732" w14:textId="77777777" w:rsidTr="00A8504E">
        <w:trPr>
          <w:trHeight w:val="300"/>
        </w:trPr>
        <w:tc>
          <w:tcPr>
            <w:tcW w:w="2113" w:type="dxa"/>
            <w:noWrap/>
            <w:vAlign w:val="bottom"/>
            <w:hideMark/>
          </w:tcPr>
          <w:p w14:paraId="63FDBCA7" w14:textId="77777777" w:rsidR="00005A46" w:rsidRPr="00662906" w:rsidRDefault="00005A46" w:rsidP="00BC0340">
            <w:pPr>
              <w:spacing w:before="0" w:after="0" w:line="240" w:lineRule="auto"/>
              <w:rPr>
                <w:rFonts w:cs="Arial"/>
                <w:sz w:val="18"/>
                <w:szCs w:val="18"/>
              </w:rPr>
            </w:pPr>
            <w:r w:rsidRPr="00662906">
              <w:rPr>
                <w:rFonts w:cs="Arial"/>
                <w:sz w:val="18"/>
                <w:szCs w:val="18"/>
              </w:rPr>
              <w:t>Guinea-Bissau</w:t>
            </w:r>
          </w:p>
        </w:tc>
        <w:tc>
          <w:tcPr>
            <w:tcW w:w="1143" w:type="dxa"/>
            <w:vAlign w:val="bottom"/>
          </w:tcPr>
          <w:p w14:paraId="183B2BD6"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10D6A1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w:t>
            </w:r>
          </w:p>
        </w:tc>
        <w:tc>
          <w:tcPr>
            <w:tcW w:w="1553" w:type="dxa"/>
            <w:noWrap/>
            <w:vAlign w:val="bottom"/>
            <w:hideMark/>
          </w:tcPr>
          <w:p w14:paraId="6AAABFED"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3391D851" w14:textId="1F5A7433"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7D246082" w14:textId="6C28951A" w:rsidR="00005A46" w:rsidRPr="00662906" w:rsidRDefault="00005A46" w:rsidP="00382D31">
            <w:pPr>
              <w:spacing w:before="0" w:after="0" w:line="240" w:lineRule="auto"/>
              <w:jc w:val="center"/>
              <w:rPr>
                <w:rFonts w:cs="Arial"/>
                <w:sz w:val="18"/>
                <w:szCs w:val="18"/>
              </w:rPr>
            </w:pPr>
          </w:p>
        </w:tc>
      </w:tr>
      <w:tr w:rsidR="00005A46" w:rsidRPr="00662906" w14:paraId="3DE98D66" w14:textId="77777777" w:rsidTr="00A8504E">
        <w:trPr>
          <w:trHeight w:val="300"/>
        </w:trPr>
        <w:tc>
          <w:tcPr>
            <w:tcW w:w="2113" w:type="dxa"/>
            <w:noWrap/>
            <w:vAlign w:val="bottom"/>
            <w:hideMark/>
          </w:tcPr>
          <w:p w14:paraId="01933FA1" w14:textId="77777777" w:rsidR="00005A46" w:rsidRPr="00662906" w:rsidRDefault="00005A46" w:rsidP="00BC0340">
            <w:pPr>
              <w:spacing w:before="0" w:after="0" w:line="240" w:lineRule="auto"/>
              <w:rPr>
                <w:rFonts w:cs="Arial"/>
                <w:sz w:val="18"/>
                <w:szCs w:val="18"/>
              </w:rPr>
            </w:pPr>
            <w:r w:rsidRPr="00662906">
              <w:rPr>
                <w:rFonts w:cs="Arial"/>
                <w:sz w:val="18"/>
                <w:szCs w:val="18"/>
              </w:rPr>
              <w:t>Kenya</w:t>
            </w:r>
          </w:p>
        </w:tc>
        <w:tc>
          <w:tcPr>
            <w:tcW w:w="1143" w:type="dxa"/>
            <w:vAlign w:val="bottom"/>
          </w:tcPr>
          <w:p w14:paraId="08FCBDB6"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6306A7C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140</w:t>
            </w:r>
          </w:p>
        </w:tc>
        <w:tc>
          <w:tcPr>
            <w:tcW w:w="1553" w:type="dxa"/>
            <w:noWrap/>
            <w:vAlign w:val="bottom"/>
            <w:hideMark/>
          </w:tcPr>
          <w:p w14:paraId="115ED57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143</w:t>
            </w:r>
          </w:p>
        </w:tc>
        <w:tc>
          <w:tcPr>
            <w:tcW w:w="1685" w:type="dxa"/>
            <w:noWrap/>
            <w:vAlign w:val="bottom"/>
            <w:hideMark/>
          </w:tcPr>
          <w:p w14:paraId="7E3034DB"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1A68B4B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97</w:t>
            </w:r>
          </w:p>
        </w:tc>
      </w:tr>
      <w:tr w:rsidR="00005A46" w:rsidRPr="00662906" w14:paraId="2707B7D1" w14:textId="77777777" w:rsidTr="00A8504E">
        <w:trPr>
          <w:trHeight w:val="300"/>
        </w:trPr>
        <w:tc>
          <w:tcPr>
            <w:tcW w:w="2113" w:type="dxa"/>
            <w:noWrap/>
            <w:vAlign w:val="bottom"/>
            <w:hideMark/>
          </w:tcPr>
          <w:p w14:paraId="43E24F61" w14:textId="77777777" w:rsidR="00005A46" w:rsidRPr="00662906" w:rsidRDefault="00005A46" w:rsidP="00BC0340">
            <w:pPr>
              <w:spacing w:before="0" w:after="0" w:line="240" w:lineRule="auto"/>
              <w:rPr>
                <w:rFonts w:cs="Arial"/>
                <w:sz w:val="18"/>
                <w:szCs w:val="18"/>
              </w:rPr>
            </w:pPr>
            <w:r w:rsidRPr="00662906">
              <w:rPr>
                <w:rFonts w:cs="Arial"/>
                <w:sz w:val="18"/>
                <w:szCs w:val="18"/>
              </w:rPr>
              <w:t>Lesotho</w:t>
            </w:r>
          </w:p>
        </w:tc>
        <w:tc>
          <w:tcPr>
            <w:tcW w:w="1143" w:type="dxa"/>
            <w:vAlign w:val="bottom"/>
          </w:tcPr>
          <w:p w14:paraId="5C0C2776"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5952B0E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w:t>
            </w:r>
          </w:p>
        </w:tc>
        <w:tc>
          <w:tcPr>
            <w:tcW w:w="1553" w:type="dxa"/>
            <w:noWrap/>
            <w:vAlign w:val="bottom"/>
            <w:hideMark/>
          </w:tcPr>
          <w:p w14:paraId="545A9D36"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334DF90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w:t>
            </w:r>
          </w:p>
        </w:tc>
        <w:tc>
          <w:tcPr>
            <w:tcW w:w="1527" w:type="dxa"/>
            <w:noWrap/>
            <w:vAlign w:val="bottom"/>
            <w:hideMark/>
          </w:tcPr>
          <w:p w14:paraId="51578EA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w:t>
            </w:r>
          </w:p>
        </w:tc>
      </w:tr>
      <w:tr w:rsidR="00005A46" w:rsidRPr="00662906" w14:paraId="065DEAC7" w14:textId="77777777" w:rsidTr="00A8504E">
        <w:trPr>
          <w:trHeight w:val="300"/>
        </w:trPr>
        <w:tc>
          <w:tcPr>
            <w:tcW w:w="2113" w:type="dxa"/>
            <w:noWrap/>
            <w:vAlign w:val="bottom"/>
            <w:hideMark/>
          </w:tcPr>
          <w:p w14:paraId="6E239408" w14:textId="77777777" w:rsidR="00005A46" w:rsidRPr="00662906" w:rsidRDefault="00005A46" w:rsidP="00BC0340">
            <w:pPr>
              <w:spacing w:before="0" w:after="0" w:line="240" w:lineRule="auto"/>
              <w:rPr>
                <w:rFonts w:cs="Arial"/>
                <w:sz w:val="18"/>
                <w:szCs w:val="18"/>
              </w:rPr>
            </w:pPr>
            <w:r w:rsidRPr="00662906">
              <w:rPr>
                <w:rFonts w:cs="Arial"/>
                <w:sz w:val="18"/>
                <w:szCs w:val="18"/>
              </w:rPr>
              <w:lastRenderedPageBreak/>
              <w:t>Liberia</w:t>
            </w:r>
          </w:p>
        </w:tc>
        <w:tc>
          <w:tcPr>
            <w:tcW w:w="1143" w:type="dxa"/>
            <w:vAlign w:val="bottom"/>
          </w:tcPr>
          <w:p w14:paraId="65F2DF34"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169C81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w:t>
            </w:r>
          </w:p>
        </w:tc>
        <w:tc>
          <w:tcPr>
            <w:tcW w:w="1553" w:type="dxa"/>
            <w:noWrap/>
            <w:vAlign w:val="bottom"/>
            <w:hideMark/>
          </w:tcPr>
          <w:p w14:paraId="422E4AB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w:t>
            </w:r>
          </w:p>
        </w:tc>
        <w:tc>
          <w:tcPr>
            <w:tcW w:w="1685" w:type="dxa"/>
            <w:noWrap/>
            <w:vAlign w:val="bottom"/>
            <w:hideMark/>
          </w:tcPr>
          <w:p w14:paraId="04F5FE78"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6C2FF1D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w:t>
            </w:r>
          </w:p>
        </w:tc>
      </w:tr>
      <w:tr w:rsidR="00005A46" w:rsidRPr="00662906" w14:paraId="33B73B98" w14:textId="77777777" w:rsidTr="00A8504E">
        <w:trPr>
          <w:trHeight w:val="300"/>
        </w:trPr>
        <w:tc>
          <w:tcPr>
            <w:tcW w:w="2113" w:type="dxa"/>
            <w:noWrap/>
            <w:vAlign w:val="bottom"/>
            <w:hideMark/>
          </w:tcPr>
          <w:p w14:paraId="5C0478C8" w14:textId="77777777" w:rsidR="00005A46" w:rsidRPr="00662906" w:rsidRDefault="00005A46" w:rsidP="00BC0340">
            <w:pPr>
              <w:spacing w:before="0" w:after="0" w:line="240" w:lineRule="auto"/>
              <w:rPr>
                <w:rFonts w:cs="Arial"/>
                <w:sz w:val="18"/>
                <w:szCs w:val="18"/>
              </w:rPr>
            </w:pPr>
            <w:r w:rsidRPr="00662906">
              <w:rPr>
                <w:rFonts w:cs="Arial"/>
                <w:sz w:val="18"/>
                <w:szCs w:val="18"/>
              </w:rPr>
              <w:t>Libya</w:t>
            </w:r>
          </w:p>
        </w:tc>
        <w:tc>
          <w:tcPr>
            <w:tcW w:w="1143" w:type="dxa"/>
            <w:vAlign w:val="bottom"/>
          </w:tcPr>
          <w:p w14:paraId="329A7C1B"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6B97DD6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64</w:t>
            </w:r>
          </w:p>
        </w:tc>
        <w:tc>
          <w:tcPr>
            <w:tcW w:w="1553" w:type="dxa"/>
            <w:noWrap/>
            <w:vAlign w:val="bottom"/>
            <w:hideMark/>
          </w:tcPr>
          <w:p w14:paraId="3C1621E5"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381F27BB" w14:textId="6BECF8B5"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1E440D19" w14:textId="7D0E381A" w:rsidR="00005A46" w:rsidRPr="00662906" w:rsidRDefault="00005A46" w:rsidP="00382D31">
            <w:pPr>
              <w:spacing w:before="0" w:after="0" w:line="240" w:lineRule="auto"/>
              <w:jc w:val="center"/>
              <w:rPr>
                <w:rFonts w:cs="Arial"/>
                <w:sz w:val="18"/>
                <w:szCs w:val="18"/>
              </w:rPr>
            </w:pPr>
          </w:p>
        </w:tc>
      </w:tr>
      <w:tr w:rsidR="00005A46" w:rsidRPr="00662906" w14:paraId="0C026EAF" w14:textId="77777777" w:rsidTr="00A8504E">
        <w:trPr>
          <w:trHeight w:val="300"/>
        </w:trPr>
        <w:tc>
          <w:tcPr>
            <w:tcW w:w="2113" w:type="dxa"/>
            <w:noWrap/>
            <w:vAlign w:val="bottom"/>
            <w:hideMark/>
          </w:tcPr>
          <w:p w14:paraId="177602F3" w14:textId="77777777" w:rsidR="00005A46" w:rsidRPr="00662906" w:rsidRDefault="00005A46" w:rsidP="00BC0340">
            <w:pPr>
              <w:spacing w:before="0" w:after="0" w:line="240" w:lineRule="auto"/>
              <w:rPr>
                <w:rFonts w:cs="Arial"/>
                <w:sz w:val="18"/>
                <w:szCs w:val="18"/>
              </w:rPr>
            </w:pPr>
            <w:r w:rsidRPr="00662906">
              <w:rPr>
                <w:rFonts w:cs="Arial"/>
                <w:sz w:val="18"/>
                <w:szCs w:val="18"/>
              </w:rPr>
              <w:t>Madagascar</w:t>
            </w:r>
          </w:p>
        </w:tc>
        <w:tc>
          <w:tcPr>
            <w:tcW w:w="1143" w:type="dxa"/>
            <w:vAlign w:val="bottom"/>
          </w:tcPr>
          <w:p w14:paraId="255BD7C1"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4F70D8C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35</w:t>
            </w:r>
          </w:p>
        </w:tc>
        <w:tc>
          <w:tcPr>
            <w:tcW w:w="1553" w:type="dxa"/>
            <w:noWrap/>
            <w:vAlign w:val="bottom"/>
            <w:hideMark/>
          </w:tcPr>
          <w:p w14:paraId="3739706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214</w:t>
            </w:r>
          </w:p>
        </w:tc>
        <w:tc>
          <w:tcPr>
            <w:tcW w:w="1685" w:type="dxa"/>
            <w:shd w:val="clear" w:color="000000" w:fill="BFBFBF"/>
            <w:noWrap/>
            <w:vAlign w:val="bottom"/>
            <w:hideMark/>
          </w:tcPr>
          <w:p w14:paraId="319A3A5F" w14:textId="258B437E"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04BE1A45" w14:textId="6AA910F6" w:rsidR="00005A46" w:rsidRPr="00662906" w:rsidRDefault="00005A46" w:rsidP="00382D31">
            <w:pPr>
              <w:spacing w:before="0" w:after="0" w:line="240" w:lineRule="auto"/>
              <w:jc w:val="center"/>
              <w:rPr>
                <w:rFonts w:cs="Arial"/>
                <w:sz w:val="18"/>
                <w:szCs w:val="18"/>
              </w:rPr>
            </w:pPr>
          </w:p>
        </w:tc>
      </w:tr>
      <w:tr w:rsidR="00005A46" w:rsidRPr="00662906" w14:paraId="64BF6A1C" w14:textId="77777777" w:rsidTr="00A8504E">
        <w:trPr>
          <w:trHeight w:val="300"/>
        </w:trPr>
        <w:tc>
          <w:tcPr>
            <w:tcW w:w="2113" w:type="dxa"/>
            <w:noWrap/>
            <w:vAlign w:val="bottom"/>
            <w:hideMark/>
          </w:tcPr>
          <w:p w14:paraId="545CEA18" w14:textId="77777777" w:rsidR="00005A46" w:rsidRPr="00662906" w:rsidRDefault="00005A46" w:rsidP="00BC0340">
            <w:pPr>
              <w:spacing w:before="0" w:after="0" w:line="240" w:lineRule="auto"/>
              <w:rPr>
                <w:rFonts w:cs="Arial"/>
                <w:sz w:val="18"/>
                <w:szCs w:val="18"/>
              </w:rPr>
            </w:pPr>
            <w:r w:rsidRPr="00662906">
              <w:rPr>
                <w:rFonts w:cs="Arial"/>
                <w:sz w:val="18"/>
                <w:szCs w:val="18"/>
              </w:rPr>
              <w:t>Malawi</w:t>
            </w:r>
          </w:p>
        </w:tc>
        <w:tc>
          <w:tcPr>
            <w:tcW w:w="1143" w:type="dxa"/>
            <w:vAlign w:val="bottom"/>
          </w:tcPr>
          <w:p w14:paraId="0B8D6F3E"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4BF14CC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15</w:t>
            </w:r>
          </w:p>
        </w:tc>
        <w:tc>
          <w:tcPr>
            <w:tcW w:w="1553" w:type="dxa"/>
            <w:noWrap/>
            <w:vAlign w:val="bottom"/>
            <w:hideMark/>
          </w:tcPr>
          <w:p w14:paraId="031C45EB"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6EB2FBFF" w14:textId="72FCA58D"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637A453F" w14:textId="6167F98C" w:rsidR="00005A46" w:rsidRPr="00662906" w:rsidRDefault="00005A46" w:rsidP="00382D31">
            <w:pPr>
              <w:spacing w:before="0" w:after="0" w:line="240" w:lineRule="auto"/>
              <w:jc w:val="center"/>
              <w:rPr>
                <w:rFonts w:cs="Arial"/>
                <w:sz w:val="18"/>
                <w:szCs w:val="18"/>
              </w:rPr>
            </w:pPr>
          </w:p>
        </w:tc>
      </w:tr>
      <w:tr w:rsidR="00005A46" w:rsidRPr="00662906" w14:paraId="1DB2CAE7" w14:textId="77777777" w:rsidTr="00A8504E">
        <w:trPr>
          <w:trHeight w:val="300"/>
        </w:trPr>
        <w:tc>
          <w:tcPr>
            <w:tcW w:w="2113" w:type="dxa"/>
            <w:noWrap/>
            <w:vAlign w:val="bottom"/>
            <w:hideMark/>
          </w:tcPr>
          <w:p w14:paraId="1E56A76A" w14:textId="77777777" w:rsidR="00005A46" w:rsidRPr="00662906" w:rsidRDefault="00005A46" w:rsidP="00BC0340">
            <w:pPr>
              <w:spacing w:before="0" w:after="0" w:line="240" w:lineRule="auto"/>
              <w:rPr>
                <w:rFonts w:cs="Arial"/>
                <w:sz w:val="18"/>
                <w:szCs w:val="18"/>
              </w:rPr>
            </w:pPr>
            <w:r w:rsidRPr="00662906">
              <w:rPr>
                <w:rFonts w:cs="Arial"/>
                <w:sz w:val="18"/>
                <w:szCs w:val="18"/>
              </w:rPr>
              <w:t>Mali</w:t>
            </w:r>
          </w:p>
        </w:tc>
        <w:tc>
          <w:tcPr>
            <w:tcW w:w="1143" w:type="dxa"/>
            <w:vAlign w:val="bottom"/>
          </w:tcPr>
          <w:p w14:paraId="7D614EEB"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191D7D2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81</w:t>
            </w:r>
          </w:p>
        </w:tc>
        <w:tc>
          <w:tcPr>
            <w:tcW w:w="1553" w:type="dxa"/>
            <w:noWrap/>
            <w:vAlign w:val="bottom"/>
            <w:hideMark/>
          </w:tcPr>
          <w:p w14:paraId="1B578E66"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08FEA63E" w14:textId="6CDD5C47"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2C3C3B11" w14:textId="032A09A1" w:rsidR="00005A46" w:rsidRPr="00662906" w:rsidRDefault="00005A46" w:rsidP="00382D31">
            <w:pPr>
              <w:spacing w:before="0" w:after="0" w:line="240" w:lineRule="auto"/>
              <w:jc w:val="center"/>
              <w:rPr>
                <w:rFonts w:cs="Arial"/>
                <w:sz w:val="18"/>
                <w:szCs w:val="18"/>
              </w:rPr>
            </w:pPr>
          </w:p>
        </w:tc>
      </w:tr>
      <w:tr w:rsidR="00005A46" w:rsidRPr="00662906" w14:paraId="175560DB" w14:textId="77777777" w:rsidTr="00A8504E">
        <w:trPr>
          <w:trHeight w:val="300"/>
        </w:trPr>
        <w:tc>
          <w:tcPr>
            <w:tcW w:w="2113" w:type="dxa"/>
            <w:noWrap/>
            <w:vAlign w:val="bottom"/>
            <w:hideMark/>
          </w:tcPr>
          <w:p w14:paraId="6F1EBD95" w14:textId="77777777" w:rsidR="00005A46" w:rsidRPr="00662906" w:rsidRDefault="00005A46" w:rsidP="00BC0340">
            <w:pPr>
              <w:spacing w:before="0" w:after="0" w:line="240" w:lineRule="auto"/>
              <w:rPr>
                <w:rFonts w:cs="Arial"/>
                <w:sz w:val="18"/>
                <w:szCs w:val="18"/>
              </w:rPr>
            </w:pPr>
            <w:r w:rsidRPr="00662906">
              <w:rPr>
                <w:rFonts w:cs="Arial"/>
                <w:sz w:val="18"/>
                <w:szCs w:val="18"/>
              </w:rPr>
              <w:t>Mauritania</w:t>
            </w:r>
          </w:p>
        </w:tc>
        <w:tc>
          <w:tcPr>
            <w:tcW w:w="1143" w:type="dxa"/>
            <w:vAlign w:val="bottom"/>
          </w:tcPr>
          <w:p w14:paraId="095BE9C7"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2624397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w:t>
            </w:r>
          </w:p>
        </w:tc>
        <w:tc>
          <w:tcPr>
            <w:tcW w:w="1553" w:type="dxa"/>
            <w:noWrap/>
            <w:vAlign w:val="bottom"/>
            <w:hideMark/>
          </w:tcPr>
          <w:p w14:paraId="56BCFFE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19</w:t>
            </w:r>
          </w:p>
        </w:tc>
        <w:tc>
          <w:tcPr>
            <w:tcW w:w="1685" w:type="dxa"/>
            <w:noWrap/>
            <w:vAlign w:val="bottom"/>
            <w:hideMark/>
          </w:tcPr>
          <w:p w14:paraId="2BB1A51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18</w:t>
            </w:r>
          </w:p>
        </w:tc>
        <w:tc>
          <w:tcPr>
            <w:tcW w:w="1527" w:type="dxa"/>
            <w:noWrap/>
            <w:vAlign w:val="bottom"/>
            <w:hideMark/>
          </w:tcPr>
          <w:p w14:paraId="5918613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15</w:t>
            </w:r>
          </w:p>
        </w:tc>
      </w:tr>
      <w:tr w:rsidR="00005A46" w:rsidRPr="00662906" w14:paraId="43D29303" w14:textId="77777777" w:rsidTr="00A8504E">
        <w:trPr>
          <w:trHeight w:val="300"/>
        </w:trPr>
        <w:tc>
          <w:tcPr>
            <w:tcW w:w="2113" w:type="dxa"/>
            <w:noWrap/>
            <w:vAlign w:val="bottom"/>
            <w:hideMark/>
          </w:tcPr>
          <w:p w14:paraId="4171730C" w14:textId="77777777" w:rsidR="00005A46" w:rsidRPr="00662906" w:rsidRDefault="00005A46" w:rsidP="00BC0340">
            <w:pPr>
              <w:spacing w:before="0" w:after="0" w:line="240" w:lineRule="auto"/>
              <w:rPr>
                <w:rFonts w:cs="Arial"/>
                <w:sz w:val="18"/>
                <w:szCs w:val="18"/>
              </w:rPr>
            </w:pPr>
            <w:r w:rsidRPr="00662906">
              <w:rPr>
                <w:rFonts w:cs="Arial"/>
                <w:sz w:val="18"/>
                <w:szCs w:val="18"/>
              </w:rPr>
              <w:t>Mauritius</w:t>
            </w:r>
          </w:p>
        </w:tc>
        <w:tc>
          <w:tcPr>
            <w:tcW w:w="1143" w:type="dxa"/>
            <w:vAlign w:val="bottom"/>
          </w:tcPr>
          <w:p w14:paraId="385763C2"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0B9ADF7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w:t>
            </w:r>
          </w:p>
        </w:tc>
        <w:tc>
          <w:tcPr>
            <w:tcW w:w="1553" w:type="dxa"/>
            <w:noWrap/>
            <w:vAlign w:val="bottom"/>
            <w:hideMark/>
          </w:tcPr>
          <w:p w14:paraId="4F7CD2B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w:t>
            </w:r>
          </w:p>
        </w:tc>
        <w:tc>
          <w:tcPr>
            <w:tcW w:w="1685" w:type="dxa"/>
            <w:noWrap/>
            <w:vAlign w:val="bottom"/>
            <w:hideMark/>
          </w:tcPr>
          <w:p w14:paraId="02ABBC0D"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1159F9D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w:t>
            </w:r>
          </w:p>
        </w:tc>
      </w:tr>
      <w:tr w:rsidR="00005A46" w:rsidRPr="00662906" w14:paraId="64D44439" w14:textId="77777777" w:rsidTr="00A8504E">
        <w:trPr>
          <w:trHeight w:val="300"/>
        </w:trPr>
        <w:tc>
          <w:tcPr>
            <w:tcW w:w="2113" w:type="dxa"/>
            <w:noWrap/>
            <w:vAlign w:val="bottom"/>
            <w:hideMark/>
          </w:tcPr>
          <w:p w14:paraId="005EA5C6" w14:textId="77777777" w:rsidR="00005A46" w:rsidRPr="00662906" w:rsidRDefault="00005A46" w:rsidP="00BC0340">
            <w:pPr>
              <w:spacing w:before="0" w:after="0" w:line="240" w:lineRule="auto"/>
              <w:rPr>
                <w:rFonts w:cs="Arial"/>
                <w:sz w:val="18"/>
                <w:szCs w:val="18"/>
              </w:rPr>
            </w:pPr>
            <w:r w:rsidRPr="00662906">
              <w:rPr>
                <w:rFonts w:cs="Arial"/>
                <w:sz w:val="18"/>
                <w:szCs w:val="18"/>
              </w:rPr>
              <w:t>Morocco</w:t>
            </w:r>
          </w:p>
        </w:tc>
        <w:tc>
          <w:tcPr>
            <w:tcW w:w="1143" w:type="dxa"/>
            <w:vAlign w:val="bottom"/>
          </w:tcPr>
          <w:p w14:paraId="4A0A3B93"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059C5B6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90</w:t>
            </w:r>
          </w:p>
        </w:tc>
        <w:tc>
          <w:tcPr>
            <w:tcW w:w="1553" w:type="dxa"/>
            <w:noWrap/>
            <w:vAlign w:val="bottom"/>
            <w:hideMark/>
          </w:tcPr>
          <w:p w14:paraId="5A6B875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142</w:t>
            </w:r>
          </w:p>
        </w:tc>
        <w:tc>
          <w:tcPr>
            <w:tcW w:w="1685" w:type="dxa"/>
            <w:noWrap/>
            <w:vAlign w:val="bottom"/>
            <w:hideMark/>
          </w:tcPr>
          <w:p w14:paraId="6A32DC6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116</w:t>
            </w:r>
          </w:p>
        </w:tc>
        <w:tc>
          <w:tcPr>
            <w:tcW w:w="1527" w:type="dxa"/>
            <w:noWrap/>
            <w:vAlign w:val="bottom"/>
            <w:hideMark/>
          </w:tcPr>
          <w:p w14:paraId="3C3F560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78</w:t>
            </w:r>
          </w:p>
        </w:tc>
      </w:tr>
      <w:tr w:rsidR="00005A46" w:rsidRPr="00662906" w14:paraId="16977BC4" w14:textId="77777777" w:rsidTr="00A8504E">
        <w:trPr>
          <w:trHeight w:val="300"/>
        </w:trPr>
        <w:tc>
          <w:tcPr>
            <w:tcW w:w="2113" w:type="dxa"/>
            <w:noWrap/>
            <w:vAlign w:val="bottom"/>
            <w:hideMark/>
          </w:tcPr>
          <w:p w14:paraId="3E4A3E4F" w14:textId="77777777" w:rsidR="00005A46" w:rsidRPr="00662906" w:rsidRDefault="00005A46" w:rsidP="00BC0340">
            <w:pPr>
              <w:spacing w:before="0" w:after="0" w:line="240" w:lineRule="auto"/>
              <w:rPr>
                <w:rFonts w:cs="Arial"/>
                <w:sz w:val="18"/>
                <w:szCs w:val="18"/>
              </w:rPr>
            </w:pPr>
            <w:r w:rsidRPr="00662906">
              <w:rPr>
                <w:rFonts w:cs="Arial"/>
                <w:sz w:val="18"/>
                <w:szCs w:val="18"/>
              </w:rPr>
              <w:t>Mozambique</w:t>
            </w:r>
          </w:p>
        </w:tc>
        <w:tc>
          <w:tcPr>
            <w:tcW w:w="1143" w:type="dxa"/>
            <w:vAlign w:val="bottom"/>
          </w:tcPr>
          <w:p w14:paraId="4145435A"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1935A7B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42</w:t>
            </w:r>
          </w:p>
        </w:tc>
        <w:tc>
          <w:tcPr>
            <w:tcW w:w="1553" w:type="dxa"/>
            <w:noWrap/>
            <w:vAlign w:val="bottom"/>
            <w:hideMark/>
          </w:tcPr>
          <w:p w14:paraId="3A6EFC88"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4EDAAEF8" w14:textId="7EC02673"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36773776" w14:textId="2C8FF621" w:rsidR="00005A46" w:rsidRPr="00662906" w:rsidRDefault="00005A46" w:rsidP="00382D31">
            <w:pPr>
              <w:spacing w:before="0" w:after="0" w:line="240" w:lineRule="auto"/>
              <w:jc w:val="center"/>
              <w:rPr>
                <w:rFonts w:cs="Arial"/>
                <w:sz w:val="18"/>
                <w:szCs w:val="18"/>
              </w:rPr>
            </w:pPr>
          </w:p>
        </w:tc>
      </w:tr>
      <w:tr w:rsidR="00005A46" w:rsidRPr="00662906" w14:paraId="39053C68" w14:textId="77777777" w:rsidTr="00A8504E">
        <w:trPr>
          <w:trHeight w:val="300"/>
        </w:trPr>
        <w:tc>
          <w:tcPr>
            <w:tcW w:w="2113" w:type="dxa"/>
            <w:noWrap/>
            <w:vAlign w:val="bottom"/>
            <w:hideMark/>
          </w:tcPr>
          <w:p w14:paraId="4C73D622" w14:textId="77777777" w:rsidR="00005A46" w:rsidRPr="00662906" w:rsidRDefault="00005A46" w:rsidP="00BC0340">
            <w:pPr>
              <w:spacing w:before="0" w:after="0" w:line="240" w:lineRule="auto"/>
              <w:rPr>
                <w:rFonts w:cs="Arial"/>
                <w:sz w:val="18"/>
                <w:szCs w:val="18"/>
              </w:rPr>
            </w:pPr>
            <w:r w:rsidRPr="00662906">
              <w:rPr>
                <w:rFonts w:cs="Arial"/>
                <w:sz w:val="18"/>
                <w:szCs w:val="18"/>
              </w:rPr>
              <w:t>Namibia</w:t>
            </w:r>
          </w:p>
        </w:tc>
        <w:tc>
          <w:tcPr>
            <w:tcW w:w="1143" w:type="dxa"/>
            <w:vAlign w:val="bottom"/>
          </w:tcPr>
          <w:p w14:paraId="12EABE94"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529E00A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-103</w:t>
            </w:r>
          </w:p>
        </w:tc>
        <w:tc>
          <w:tcPr>
            <w:tcW w:w="1553" w:type="dxa"/>
            <w:noWrap/>
            <w:vAlign w:val="bottom"/>
            <w:hideMark/>
          </w:tcPr>
          <w:p w14:paraId="128B7B5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23</w:t>
            </w:r>
          </w:p>
        </w:tc>
        <w:tc>
          <w:tcPr>
            <w:tcW w:w="1685" w:type="dxa"/>
            <w:noWrap/>
            <w:vAlign w:val="bottom"/>
            <w:hideMark/>
          </w:tcPr>
          <w:p w14:paraId="0C081B7E"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2E13648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-103</w:t>
            </w:r>
          </w:p>
        </w:tc>
      </w:tr>
      <w:tr w:rsidR="00005A46" w:rsidRPr="00662906" w14:paraId="408667DE" w14:textId="77777777" w:rsidTr="00A8504E">
        <w:trPr>
          <w:trHeight w:val="300"/>
        </w:trPr>
        <w:tc>
          <w:tcPr>
            <w:tcW w:w="2113" w:type="dxa"/>
            <w:noWrap/>
            <w:vAlign w:val="bottom"/>
            <w:hideMark/>
          </w:tcPr>
          <w:p w14:paraId="18EB2AB0" w14:textId="77777777" w:rsidR="00005A46" w:rsidRPr="00662906" w:rsidRDefault="00005A46" w:rsidP="00BC0340">
            <w:pPr>
              <w:spacing w:before="0" w:after="0" w:line="240" w:lineRule="auto"/>
              <w:rPr>
                <w:rFonts w:cs="Arial"/>
                <w:sz w:val="18"/>
                <w:szCs w:val="18"/>
              </w:rPr>
            </w:pPr>
            <w:r w:rsidRPr="00662906">
              <w:rPr>
                <w:rFonts w:cs="Arial"/>
                <w:sz w:val="18"/>
                <w:szCs w:val="18"/>
              </w:rPr>
              <w:t>Niger</w:t>
            </w:r>
          </w:p>
        </w:tc>
        <w:tc>
          <w:tcPr>
            <w:tcW w:w="1143" w:type="dxa"/>
            <w:vAlign w:val="bottom"/>
          </w:tcPr>
          <w:p w14:paraId="10D171AA"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4E02446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21</w:t>
            </w:r>
          </w:p>
        </w:tc>
        <w:tc>
          <w:tcPr>
            <w:tcW w:w="1553" w:type="dxa"/>
            <w:noWrap/>
            <w:vAlign w:val="bottom"/>
            <w:hideMark/>
          </w:tcPr>
          <w:p w14:paraId="4807CFE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96</w:t>
            </w:r>
          </w:p>
        </w:tc>
        <w:tc>
          <w:tcPr>
            <w:tcW w:w="1685" w:type="dxa"/>
            <w:noWrap/>
            <w:vAlign w:val="bottom"/>
            <w:hideMark/>
          </w:tcPr>
          <w:p w14:paraId="6EBED31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82</w:t>
            </w:r>
          </w:p>
        </w:tc>
        <w:tc>
          <w:tcPr>
            <w:tcW w:w="1527" w:type="dxa"/>
            <w:noWrap/>
            <w:vAlign w:val="bottom"/>
            <w:hideMark/>
          </w:tcPr>
          <w:p w14:paraId="29B5DA5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52</w:t>
            </w:r>
          </w:p>
        </w:tc>
      </w:tr>
      <w:tr w:rsidR="00005A46" w:rsidRPr="00662906" w14:paraId="0E89FC8B" w14:textId="77777777" w:rsidTr="00A8504E">
        <w:trPr>
          <w:trHeight w:val="300"/>
        </w:trPr>
        <w:tc>
          <w:tcPr>
            <w:tcW w:w="2113" w:type="dxa"/>
            <w:noWrap/>
            <w:vAlign w:val="bottom"/>
            <w:hideMark/>
          </w:tcPr>
          <w:p w14:paraId="7F4B79D3" w14:textId="77777777" w:rsidR="00005A46" w:rsidRPr="00662906" w:rsidRDefault="00005A46" w:rsidP="00BC0340">
            <w:pPr>
              <w:spacing w:before="0" w:after="0" w:line="240" w:lineRule="auto"/>
              <w:rPr>
                <w:rFonts w:cs="Arial"/>
                <w:sz w:val="18"/>
                <w:szCs w:val="18"/>
              </w:rPr>
            </w:pPr>
            <w:r w:rsidRPr="00662906">
              <w:rPr>
                <w:rFonts w:cs="Arial"/>
                <w:sz w:val="18"/>
                <w:szCs w:val="18"/>
              </w:rPr>
              <w:t>Nigeria</w:t>
            </w:r>
          </w:p>
        </w:tc>
        <w:tc>
          <w:tcPr>
            <w:tcW w:w="1143" w:type="dxa"/>
            <w:vAlign w:val="bottom"/>
          </w:tcPr>
          <w:p w14:paraId="0D8D8D1D"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0A6B55F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381</w:t>
            </w:r>
          </w:p>
        </w:tc>
        <w:tc>
          <w:tcPr>
            <w:tcW w:w="1553" w:type="dxa"/>
            <w:noWrap/>
            <w:vAlign w:val="bottom"/>
            <w:hideMark/>
          </w:tcPr>
          <w:p w14:paraId="52CCF88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900</w:t>
            </w:r>
          </w:p>
        </w:tc>
        <w:tc>
          <w:tcPr>
            <w:tcW w:w="1685" w:type="dxa"/>
            <w:noWrap/>
            <w:vAlign w:val="bottom"/>
            <w:hideMark/>
          </w:tcPr>
          <w:p w14:paraId="1C676E8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362</w:t>
            </w:r>
          </w:p>
        </w:tc>
        <w:tc>
          <w:tcPr>
            <w:tcW w:w="1527" w:type="dxa"/>
            <w:noWrap/>
            <w:vAlign w:val="bottom"/>
            <w:hideMark/>
          </w:tcPr>
          <w:p w14:paraId="4707BA7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240</w:t>
            </w:r>
          </w:p>
        </w:tc>
      </w:tr>
      <w:tr w:rsidR="00005A46" w:rsidRPr="00662906" w14:paraId="6C7B1F7D" w14:textId="77777777" w:rsidTr="00A8504E">
        <w:trPr>
          <w:trHeight w:val="300"/>
        </w:trPr>
        <w:tc>
          <w:tcPr>
            <w:tcW w:w="2113" w:type="dxa"/>
            <w:noWrap/>
            <w:vAlign w:val="bottom"/>
            <w:hideMark/>
          </w:tcPr>
          <w:p w14:paraId="5EAA1DA3" w14:textId="77777777" w:rsidR="00005A46" w:rsidRPr="00662906" w:rsidRDefault="00005A46" w:rsidP="00BC0340">
            <w:pPr>
              <w:spacing w:before="0" w:after="0" w:line="240" w:lineRule="auto"/>
              <w:rPr>
                <w:rFonts w:cs="Arial"/>
                <w:sz w:val="18"/>
                <w:szCs w:val="18"/>
              </w:rPr>
            </w:pPr>
            <w:r w:rsidRPr="00662906">
              <w:rPr>
                <w:rFonts w:cs="Arial"/>
                <w:sz w:val="18"/>
                <w:szCs w:val="18"/>
              </w:rPr>
              <w:t>Rwanda</w:t>
            </w:r>
          </w:p>
        </w:tc>
        <w:tc>
          <w:tcPr>
            <w:tcW w:w="1143" w:type="dxa"/>
            <w:vAlign w:val="bottom"/>
          </w:tcPr>
          <w:p w14:paraId="3F3FD872"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0F5F6C4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w:t>
            </w:r>
          </w:p>
        </w:tc>
        <w:tc>
          <w:tcPr>
            <w:tcW w:w="1553" w:type="dxa"/>
            <w:noWrap/>
            <w:vAlign w:val="bottom"/>
            <w:hideMark/>
          </w:tcPr>
          <w:p w14:paraId="5AC9919E"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01E45296" w14:textId="29E20D35"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2F410575" w14:textId="60216D17" w:rsidR="00005A46" w:rsidRPr="00662906" w:rsidRDefault="00005A46" w:rsidP="00382D31">
            <w:pPr>
              <w:spacing w:before="0" w:after="0" w:line="240" w:lineRule="auto"/>
              <w:jc w:val="center"/>
              <w:rPr>
                <w:rFonts w:cs="Arial"/>
                <w:sz w:val="18"/>
                <w:szCs w:val="18"/>
              </w:rPr>
            </w:pPr>
          </w:p>
        </w:tc>
      </w:tr>
      <w:tr w:rsidR="00005A46" w:rsidRPr="00662906" w14:paraId="5DD2644F" w14:textId="77777777" w:rsidTr="00A8504E">
        <w:trPr>
          <w:trHeight w:val="300"/>
        </w:trPr>
        <w:tc>
          <w:tcPr>
            <w:tcW w:w="2113" w:type="dxa"/>
            <w:noWrap/>
            <w:vAlign w:val="bottom"/>
            <w:hideMark/>
          </w:tcPr>
          <w:p w14:paraId="4A73E1EA" w14:textId="77777777" w:rsidR="00005A46" w:rsidRPr="00662906" w:rsidRDefault="00005A46" w:rsidP="00BC0340">
            <w:pPr>
              <w:spacing w:before="0" w:after="0" w:line="240" w:lineRule="auto"/>
              <w:rPr>
                <w:rFonts w:cs="Arial"/>
                <w:sz w:val="18"/>
                <w:szCs w:val="18"/>
              </w:rPr>
            </w:pPr>
            <w:r w:rsidRPr="00662906">
              <w:rPr>
                <w:rFonts w:cs="Arial"/>
                <w:sz w:val="18"/>
                <w:szCs w:val="18"/>
              </w:rPr>
              <w:t>Sao Tome and Principe</w:t>
            </w:r>
          </w:p>
        </w:tc>
        <w:tc>
          <w:tcPr>
            <w:tcW w:w="1143" w:type="dxa"/>
            <w:vAlign w:val="bottom"/>
          </w:tcPr>
          <w:p w14:paraId="5AAEB03D"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7AABF30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c>
          <w:tcPr>
            <w:tcW w:w="1553" w:type="dxa"/>
            <w:noWrap/>
            <w:vAlign w:val="bottom"/>
            <w:hideMark/>
          </w:tcPr>
          <w:p w14:paraId="3196DF0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c>
          <w:tcPr>
            <w:tcW w:w="1685" w:type="dxa"/>
            <w:noWrap/>
            <w:vAlign w:val="bottom"/>
            <w:hideMark/>
          </w:tcPr>
          <w:p w14:paraId="03F621A1"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1474BF0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r>
      <w:tr w:rsidR="00005A46" w:rsidRPr="00662906" w14:paraId="3297E59A" w14:textId="77777777" w:rsidTr="00A8504E">
        <w:trPr>
          <w:trHeight w:val="300"/>
        </w:trPr>
        <w:tc>
          <w:tcPr>
            <w:tcW w:w="2113" w:type="dxa"/>
            <w:noWrap/>
            <w:vAlign w:val="bottom"/>
            <w:hideMark/>
          </w:tcPr>
          <w:p w14:paraId="6B5F1DF0" w14:textId="77777777" w:rsidR="00005A46" w:rsidRPr="00662906" w:rsidRDefault="00005A46" w:rsidP="00BC0340">
            <w:pPr>
              <w:spacing w:before="0" w:after="0" w:line="240" w:lineRule="auto"/>
              <w:rPr>
                <w:rFonts w:cs="Arial"/>
                <w:sz w:val="18"/>
                <w:szCs w:val="18"/>
              </w:rPr>
            </w:pPr>
            <w:r w:rsidRPr="00662906">
              <w:rPr>
                <w:rFonts w:cs="Arial"/>
                <w:sz w:val="18"/>
                <w:szCs w:val="18"/>
              </w:rPr>
              <w:t>Senegal</w:t>
            </w:r>
          </w:p>
        </w:tc>
        <w:tc>
          <w:tcPr>
            <w:tcW w:w="1143" w:type="dxa"/>
            <w:vAlign w:val="bottom"/>
          </w:tcPr>
          <w:p w14:paraId="3B0C67F7"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65FD383C"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18</w:t>
            </w:r>
          </w:p>
        </w:tc>
        <w:tc>
          <w:tcPr>
            <w:tcW w:w="1553" w:type="dxa"/>
            <w:noWrap/>
            <w:vAlign w:val="bottom"/>
            <w:hideMark/>
          </w:tcPr>
          <w:p w14:paraId="3E6336E8"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7F3E255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40</w:t>
            </w:r>
          </w:p>
        </w:tc>
        <w:tc>
          <w:tcPr>
            <w:tcW w:w="1527" w:type="dxa"/>
            <w:noWrap/>
            <w:vAlign w:val="bottom"/>
            <w:hideMark/>
          </w:tcPr>
          <w:p w14:paraId="0E2B6A4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30</w:t>
            </w:r>
          </w:p>
        </w:tc>
      </w:tr>
      <w:tr w:rsidR="00005A46" w:rsidRPr="00662906" w14:paraId="57EB60F3" w14:textId="77777777" w:rsidTr="00A8504E">
        <w:trPr>
          <w:trHeight w:val="300"/>
        </w:trPr>
        <w:tc>
          <w:tcPr>
            <w:tcW w:w="2113" w:type="dxa"/>
            <w:noWrap/>
            <w:vAlign w:val="bottom"/>
            <w:hideMark/>
          </w:tcPr>
          <w:p w14:paraId="0850224F" w14:textId="77777777" w:rsidR="00005A46" w:rsidRPr="00662906" w:rsidRDefault="00005A46" w:rsidP="00BC0340">
            <w:pPr>
              <w:spacing w:before="0" w:after="0" w:line="240" w:lineRule="auto"/>
              <w:rPr>
                <w:rFonts w:cs="Arial"/>
                <w:sz w:val="18"/>
                <w:szCs w:val="18"/>
              </w:rPr>
            </w:pPr>
            <w:r w:rsidRPr="00662906">
              <w:rPr>
                <w:rFonts w:cs="Arial"/>
                <w:sz w:val="18"/>
                <w:szCs w:val="18"/>
              </w:rPr>
              <w:t>Seychelles</w:t>
            </w:r>
          </w:p>
        </w:tc>
        <w:tc>
          <w:tcPr>
            <w:tcW w:w="1143" w:type="dxa"/>
            <w:vAlign w:val="bottom"/>
          </w:tcPr>
          <w:p w14:paraId="0540F09E"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275B8E8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w:t>
            </w:r>
          </w:p>
        </w:tc>
        <w:tc>
          <w:tcPr>
            <w:tcW w:w="1553" w:type="dxa"/>
            <w:noWrap/>
            <w:vAlign w:val="bottom"/>
            <w:hideMark/>
          </w:tcPr>
          <w:p w14:paraId="7E78970D"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0</w:t>
            </w:r>
          </w:p>
        </w:tc>
        <w:tc>
          <w:tcPr>
            <w:tcW w:w="1685" w:type="dxa"/>
            <w:noWrap/>
            <w:vAlign w:val="bottom"/>
            <w:hideMark/>
          </w:tcPr>
          <w:p w14:paraId="7347DA23"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268859D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w:t>
            </w:r>
          </w:p>
        </w:tc>
      </w:tr>
      <w:tr w:rsidR="00005A46" w:rsidRPr="00662906" w14:paraId="01BF1AC8" w14:textId="77777777" w:rsidTr="00A8504E">
        <w:trPr>
          <w:trHeight w:val="300"/>
        </w:trPr>
        <w:tc>
          <w:tcPr>
            <w:tcW w:w="2113" w:type="dxa"/>
            <w:noWrap/>
            <w:vAlign w:val="bottom"/>
            <w:hideMark/>
          </w:tcPr>
          <w:p w14:paraId="7BF32DEE" w14:textId="77777777" w:rsidR="00005A46" w:rsidRPr="00662906" w:rsidRDefault="00005A46" w:rsidP="00BC0340">
            <w:pPr>
              <w:spacing w:before="0" w:after="0" w:line="240" w:lineRule="auto"/>
              <w:rPr>
                <w:rFonts w:cs="Arial"/>
                <w:sz w:val="18"/>
                <w:szCs w:val="18"/>
              </w:rPr>
            </w:pPr>
            <w:r w:rsidRPr="00662906">
              <w:rPr>
                <w:rFonts w:cs="Arial"/>
                <w:sz w:val="18"/>
                <w:szCs w:val="18"/>
              </w:rPr>
              <w:t>Sierra Leone</w:t>
            </w:r>
          </w:p>
        </w:tc>
        <w:tc>
          <w:tcPr>
            <w:tcW w:w="1143" w:type="dxa"/>
            <w:vAlign w:val="bottom"/>
          </w:tcPr>
          <w:p w14:paraId="3B35F3A1"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1FD03E2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w:t>
            </w:r>
          </w:p>
        </w:tc>
        <w:tc>
          <w:tcPr>
            <w:tcW w:w="1553" w:type="dxa"/>
            <w:noWrap/>
            <w:vAlign w:val="bottom"/>
            <w:hideMark/>
          </w:tcPr>
          <w:p w14:paraId="12EE4A9F"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5AB17C6B" w14:textId="7D62E617"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65FEF9B9" w14:textId="5621FF48" w:rsidR="00005A46" w:rsidRPr="00662906" w:rsidRDefault="00005A46" w:rsidP="00382D31">
            <w:pPr>
              <w:spacing w:before="0" w:after="0" w:line="240" w:lineRule="auto"/>
              <w:jc w:val="center"/>
              <w:rPr>
                <w:rFonts w:cs="Arial"/>
                <w:sz w:val="18"/>
                <w:szCs w:val="18"/>
              </w:rPr>
            </w:pPr>
          </w:p>
        </w:tc>
      </w:tr>
      <w:tr w:rsidR="00005A46" w:rsidRPr="00662906" w14:paraId="2448AF73" w14:textId="77777777" w:rsidTr="00A8504E">
        <w:trPr>
          <w:trHeight w:val="300"/>
        </w:trPr>
        <w:tc>
          <w:tcPr>
            <w:tcW w:w="2113" w:type="dxa"/>
            <w:noWrap/>
            <w:vAlign w:val="bottom"/>
            <w:hideMark/>
          </w:tcPr>
          <w:p w14:paraId="1B7325B4" w14:textId="77777777" w:rsidR="00005A46" w:rsidRPr="00662906" w:rsidRDefault="00005A46" w:rsidP="00BC0340">
            <w:pPr>
              <w:spacing w:before="0" w:after="0" w:line="240" w:lineRule="auto"/>
              <w:rPr>
                <w:rFonts w:cs="Arial"/>
                <w:sz w:val="18"/>
                <w:szCs w:val="18"/>
              </w:rPr>
            </w:pPr>
            <w:r w:rsidRPr="00662906">
              <w:rPr>
                <w:rFonts w:cs="Arial"/>
                <w:sz w:val="18"/>
                <w:szCs w:val="18"/>
              </w:rPr>
              <w:t>Somalia</w:t>
            </w:r>
          </w:p>
        </w:tc>
        <w:tc>
          <w:tcPr>
            <w:tcW w:w="1143" w:type="dxa"/>
            <w:vAlign w:val="bottom"/>
          </w:tcPr>
          <w:p w14:paraId="2B7A22F7"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079C2D88"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35</w:t>
            </w:r>
          </w:p>
        </w:tc>
        <w:tc>
          <w:tcPr>
            <w:tcW w:w="1553" w:type="dxa"/>
            <w:noWrap/>
            <w:vAlign w:val="bottom"/>
            <w:hideMark/>
          </w:tcPr>
          <w:p w14:paraId="0D8B7F0B"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3B958B29" w14:textId="714B61F7"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73086647" w14:textId="73FA47C0" w:rsidR="00005A46" w:rsidRPr="00662906" w:rsidRDefault="00005A46" w:rsidP="00382D31">
            <w:pPr>
              <w:spacing w:before="0" w:after="0" w:line="240" w:lineRule="auto"/>
              <w:jc w:val="center"/>
              <w:rPr>
                <w:rFonts w:cs="Arial"/>
                <w:sz w:val="18"/>
                <w:szCs w:val="18"/>
              </w:rPr>
            </w:pPr>
          </w:p>
        </w:tc>
      </w:tr>
      <w:tr w:rsidR="00005A46" w:rsidRPr="00662906" w14:paraId="78E11505" w14:textId="77777777" w:rsidTr="00A8504E">
        <w:trPr>
          <w:trHeight w:val="300"/>
        </w:trPr>
        <w:tc>
          <w:tcPr>
            <w:tcW w:w="2113" w:type="dxa"/>
            <w:noWrap/>
            <w:vAlign w:val="bottom"/>
            <w:hideMark/>
          </w:tcPr>
          <w:p w14:paraId="137F99C9" w14:textId="77777777" w:rsidR="00005A46" w:rsidRPr="00662906" w:rsidRDefault="00005A46" w:rsidP="00BC0340">
            <w:pPr>
              <w:spacing w:before="0" w:after="0" w:line="240" w:lineRule="auto"/>
              <w:rPr>
                <w:rFonts w:cs="Arial"/>
                <w:sz w:val="18"/>
                <w:szCs w:val="18"/>
              </w:rPr>
            </w:pPr>
            <w:r w:rsidRPr="00662906">
              <w:rPr>
                <w:rFonts w:cs="Arial"/>
                <w:sz w:val="18"/>
                <w:szCs w:val="18"/>
              </w:rPr>
              <w:t>South Africa</w:t>
            </w:r>
          </w:p>
        </w:tc>
        <w:tc>
          <w:tcPr>
            <w:tcW w:w="1143" w:type="dxa"/>
            <w:vAlign w:val="bottom"/>
          </w:tcPr>
          <w:p w14:paraId="213B60AE"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7DF8B09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458</w:t>
            </w:r>
          </w:p>
        </w:tc>
        <w:tc>
          <w:tcPr>
            <w:tcW w:w="1553" w:type="dxa"/>
            <w:noWrap/>
            <w:vAlign w:val="bottom"/>
            <w:hideMark/>
          </w:tcPr>
          <w:p w14:paraId="489AEE8A"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7ABDF6C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420</w:t>
            </w:r>
          </w:p>
        </w:tc>
        <w:tc>
          <w:tcPr>
            <w:tcW w:w="1527" w:type="dxa"/>
            <w:noWrap/>
            <w:vAlign w:val="bottom"/>
            <w:hideMark/>
          </w:tcPr>
          <w:p w14:paraId="64B1178B"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350</w:t>
            </w:r>
          </w:p>
        </w:tc>
      </w:tr>
      <w:tr w:rsidR="00005A46" w:rsidRPr="00662906" w14:paraId="7C4238A5" w14:textId="77777777" w:rsidTr="00A8504E">
        <w:trPr>
          <w:trHeight w:val="300"/>
        </w:trPr>
        <w:tc>
          <w:tcPr>
            <w:tcW w:w="2113" w:type="dxa"/>
            <w:noWrap/>
            <w:vAlign w:val="bottom"/>
            <w:hideMark/>
          </w:tcPr>
          <w:p w14:paraId="6DF065BD" w14:textId="77777777" w:rsidR="00005A46" w:rsidRPr="00662906" w:rsidRDefault="00005A46" w:rsidP="00BC0340">
            <w:pPr>
              <w:spacing w:before="0" w:after="0" w:line="240" w:lineRule="auto"/>
              <w:rPr>
                <w:rFonts w:cs="Arial"/>
                <w:sz w:val="18"/>
                <w:szCs w:val="18"/>
              </w:rPr>
            </w:pPr>
            <w:r w:rsidRPr="00662906">
              <w:rPr>
                <w:rFonts w:cs="Arial"/>
                <w:sz w:val="18"/>
                <w:szCs w:val="18"/>
              </w:rPr>
              <w:t>Sudan</w:t>
            </w:r>
          </w:p>
        </w:tc>
        <w:tc>
          <w:tcPr>
            <w:tcW w:w="1143" w:type="dxa"/>
            <w:vAlign w:val="bottom"/>
          </w:tcPr>
          <w:p w14:paraId="3A7BE67E"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E4639B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116</w:t>
            </w:r>
          </w:p>
        </w:tc>
        <w:tc>
          <w:tcPr>
            <w:tcW w:w="1553" w:type="dxa"/>
            <w:noWrap/>
            <w:vAlign w:val="bottom"/>
            <w:hideMark/>
          </w:tcPr>
          <w:p w14:paraId="27217920"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4A309153" w14:textId="639F76E0"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4443E8AE" w14:textId="77A05F64" w:rsidR="00005A46" w:rsidRPr="00662906" w:rsidRDefault="00005A46" w:rsidP="00382D31">
            <w:pPr>
              <w:spacing w:before="0" w:after="0" w:line="240" w:lineRule="auto"/>
              <w:jc w:val="center"/>
              <w:rPr>
                <w:rFonts w:cs="Arial"/>
                <w:sz w:val="18"/>
                <w:szCs w:val="18"/>
              </w:rPr>
            </w:pPr>
          </w:p>
        </w:tc>
      </w:tr>
      <w:tr w:rsidR="00005A46" w:rsidRPr="00662906" w14:paraId="2740E67D" w14:textId="77777777" w:rsidTr="00A8504E">
        <w:trPr>
          <w:trHeight w:val="300"/>
        </w:trPr>
        <w:tc>
          <w:tcPr>
            <w:tcW w:w="2113" w:type="dxa"/>
            <w:noWrap/>
            <w:vAlign w:val="bottom"/>
            <w:hideMark/>
          </w:tcPr>
          <w:p w14:paraId="1383FF31" w14:textId="77777777" w:rsidR="00005A46" w:rsidRPr="00662906" w:rsidRDefault="00005A46" w:rsidP="00BC0340">
            <w:pPr>
              <w:spacing w:before="0" w:after="0" w:line="240" w:lineRule="auto"/>
              <w:rPr>
                <w:rFonts w:cs="Arial"/>
                <w:sz w:val="18"/>
                <w:szCs w:val="18"/>
              </w:rPr>
            </w:pPr>
            <w:r w:rsidRPr="00662906">
              <w:rPr>
                <w:rFonts w:cs="Arial"/>
                <w:sz w:val="18"/>
                <w:szCs w:val="18"/>
              </w:rPr>
              <w:t>Swaziland</w:t>
            </w:r>
          </w:p>
        </w:tc>
        <w:tc>
          <w:tcPr>
            <w:tcW w:w="1143" w:type="dxa"/>
            <w:vAlign w:val="bottom"/>
          </w:tcPr>
          <w:p w14:paraId="49E1A7FB"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70F6365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w:t>
            </w:r>
          </w:p>
        </w:tc>
        <w:tc>
          <w:tcPr>
            <w:tcW w:w="1553" w:type="dxa"/>
            <w:noWrap/>
            <w:vAlign w:val="bottom"/>
            <w:hideMark/>
          </w:tcPr>
          <w:p w14:paraId="308F0ECE"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7B37CA07" w14:textId="5E786E5F"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264E5C8A" w14:textId="4D2F13D8" w:rsidR="00005A46" w:rsidRPr="00662906" w:rsidRDefault="00005A46" w:rsidP="00382D31">
            <w:pPr>
              <w:spacing w:before="0" w:after="0" w:line="240" w:lineRule="auto"/>
              <w:jc w:val="center"/>
              <w:rPr>
                <w:rFonts w:cs="Arial"/>
                <w:sz w:val="18"/>
                <w:szCs w:val="18"/>
              </w:rPr>
            </w:pPr>
          </w:p>
        </w:tc>
      </w:tr>
      <w:tr w:rsidR="00005A46" w:rsidRPr="00662906" w14:paraId="3DF59952" w14:textId="77777777" w:rsidTr="00A8504E">
        <w:trPr>
          <w:trHeight w:val="300"/>
        </w:trPr>
        <w:tc>
          <w:tcPr>
            <w:tcW w:w="2113" w:type="dxa"/>
            <w:noWrap/>
            <w:vAlign w:val="bottom"/>
            <w:hideMark/>
          </w:tcPr>
          <w:p w14:paraId="7FD70067" w14:textId="77777777" w:rsidR="00005A46" w:rsidRPr="00662906" w:rsidRDefault="00005A46" w:rsidP="00BC0340">
            <w:pPr>
              <w:spacing w:before="0" w:after="0" w:line="240" w:lineRule="auto"/>
              <w:rPr>
                <w:rFonts w:cs="Arial"/>
                <w:sz w:val="18"/>
                <w:szCs w:val="18"/>
              </w:rPr>
            </w:pPr>
            <w:r w:rsidRPr="00662906">
              <w:rPr>
                <w:rFonts w:cs="Arial"/>
                <w:sz w:val="18"/>
                <w:szCs w:val="18"/>
              </w:rPr>
              <w:t>Tanzania</w:t>
            </w:r>
          </w:p>
        </w:tc>
        <w:tc>
          <w:tcPr>
            <w:tcW w:w="1143" w:type="dxa"/>
            <w:vAlign w:val="bottom"/>
          </w:tcPr>
          <w:p w14:paraId="76377C0E"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499F230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94</w:t>
            </w:r>
          </w:p>
        </w:tc>
        <w:tc>
          <w:tcPr>
            <w:tcW w:w="1553" w:type="dxa"/>
            <w:noWrap/>
            <w:vAlign w:val="bottom"/>
            <w:hideMark/>
          </w:tcPr>
          <w:p w14:paraId="79101D8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146</w:t>
            </w:r>
          </w:p>
        </w:tc>
        <w:tc>
          <w:tcPr>
            <w:tcW w:w="1685" w:type="dxa"/>
            <w:noWrap/>
            <w:vAlign w:val="bottom"/>
            <w:hideMark/>
          </w:tcPr>
          <w:p w14:paraId="7A48ED1F"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102</w:t>
            </w:r>
          </w:p>
        </w:tc>
        <w:tc>
          <w:tcPr>
            <w:tcW w:w="1527" w:type="dxa"/>
            <w:noWrap/>
            <w:vAlign w:val="bottom"/>
            <w:hideMark/>
          </w:tcPr>
          <w:p w14:paraId="5ABDC9DA"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95</w:t>
            </w:r>
          </w:p>
        </w:tc>
      </w:tr>
      <w:tr w:rsidR="00005A46" w:rsidRPr="00662906" w14:paraId="7AAB1374" w14:textId="77777777" w:rsidTr="00A8504E">
        <w:trPr>
          <w:trHeight w:val="300"/>
        </w:trPr>
        <w:tc>
          <w:tcPr>
            <w:tcW w:w="2113" w:type="dxa"/>
            <w:noWrap/>
            <w:vAlign w:val="bottom"/>
            <w:hideMark/>
          </w:tcPr>
          <w:p w14:paraId="1207B290" w14:textId="77777777" w:rsidR="00005A46" w:rsidRPr="00662906" w:rsidRDefault="00005A46" w:rsidP="00BC0340">
            <w:pPr>
              <w:spacing w:before="0" w:after="0" w:line="240" w:lineRule="auto"/>
              <w:rPr>
                <w:rFonts w:cs="Arial"/>
                <w:sz w:val="18"/>
                <w:szCs w:val="18"/>
              </w:rPr>
            </w:pPr>
            <w:r w:rsidRPr="00662906">
              <w:rPr>
                <w:rFonts w:cs="Arial"/>
                <w:sz w:val="18"/>
                <w:szCs w:val="18"/>
              </w:rPr>
              <w:t>Togo</w:t>
            </w:r>
          </w:p>
        </w:tc>
        <w:tc>
          <w:tcPr>
            <w:tcW w:w="1143" w:type="dxa"/>
            <w:vAlign w:val="bottom"/>
          </w:tcPr>
          <w:p w14:paraId="4C59F4A3"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320ADF24"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48</w:t>
            </w:r>
          </w:p>
        </w:tc>
        <w:tc>
          <w:tcPr>
            <w:tcW w:w="1553" w:type="dxa"/>
            <w:noWrap/>
            <w:vAlign w:val="bottom"/>
            <w:hideMark/>
          </w:tcPr>
          <w:p w14:paraId="661F3E52"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39</w:t>
            </w:r>
          </w:p>
        </w:tc>
        <w:tc>
          <w:tcPr>
            <w:tcW w:w="1685" w:type="dxa"/>
            <w:noWrap/>
            <w:vAlign w:val="bottom"/>
            <w:hideMark/>
          </w:tcPr>
          <w:p w14:paraId="57A6AC4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35</w:t>
            </w:r>
          </w:p>
        </w:tc>
        <w:tc>
          <w:tcPr>
            <w:tcW w:w="1527" w:type="dxa"/>
            <w:noWrap/>
            <w:vAlign w:val="bottom"/>
            <w:hideMark/>
          </w:tcPr>
          <w:p w14:paraId="302AF2A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27</w:t>
            </w:r>
          </w:p>
        </w:tc>
      </w:tr>
      <w:tr w:rsidR="00005A46" w:rsidRPr="00662906" w14:paraId="689B61B9" w14:textId="77777777" w:rsidTr="00A8504E">
        <w:trPr>
          <w:trHeight w:val="300"/>
        </w:trPr>
        <w:tc>
          <w:tcPr>
            <w:tcW w:w="2113" w:type="dxa"/>
            <w:noWrap/>
            <w:vAlign w:val="bottom"/>
            <w:hideMark/>
          </w:tcPr>
          <w:p w14:paraId="10164AD8" w14:textId="77777777" w:rsidR="00005A46" w:rsidRPr="00662906" w:rsidRDefault="00005A46" w:rsidP="00BC0340">
            <w:pPr>
              <w:spacing w:before="0" w:after="0" w:line="240" w:lineRule="auto"/>
              <w:rPr>
                <w:rFonts w:cs="Arial"/>
                <w:sz w:val="18"/>
                <w:szCs w:val="18"/>
              </w:rPr>
            </w:pPr>
            <w:r w:rsidRPr="00662906">
              <w:rPr>
                <w:rFonts w:cs="Arial"/>
                <w:sz w:val="18"/>
                <w:szCs w:val="18"/>
              </w:rPr>
              <w:t>Tunisia</w:t>
            </w:r>
          </w:p>
        </w:tc>
        <w:tc>
          <w:tcPr>
            <w:tcW w:w="1143" w:type="dxa"/>
            <w:vAlign w:val="bottom"/>
          </w:tcPr>
          <w:p w14:paraId="42420421"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79A540A6"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37</w:t>
            </w:r>
          </w:p>
        </w:tc>
        <w:tc>
          <w:tcPr>
            <w:tcW w:w="1553" w:type="dxa"/>
            <w:noWrap/>
            <w:vAlign w:val="bottom"/>
            <w:hideMark/>
          </w:tcPr>
          <w:p w14:paraId="53AE1844"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58E5BB3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41</w:t>
            </w:r>
          </w:p>
        </w:tc>
        <w:tc>
          <w:tcPr>
            <w:tcW w:w="1527" w:type="dxa"/>
            <w:noWrap/>
            <w:vAlign w:val="bottom"/>
            <w:hideMark/>
          </w:tcPr>
          <w:p w14:paraId="004B6CD9"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31</w:t>
            </w:r>
          </w:p>
        </w:tc>
      </w:tr>
      <w:tr w:rsidR="00005A46" w:rsidRPr="00662906" w14:paraId="4B9D81BC" w14:textId="77777777" w:rsidTr="00A8504E">
        <w:trPr>
          <w:trHeight w:val="300"/>
        </w:trPr>
        <w:tc>
          <w:tcPr>
            <w:tcW w:w="2113" w:type="dxa"/>
            <w:noWrap/>
            <w:vAlign w:val="bottom"/>
            <w:hideMark/>
          </w:tcPr>
          <w:p w14:paraId="2C00EC72" w14:textId="77777777" w:rsidR="00005A46" w:rsidRPr="00662906" w:rsidRDefault="00005A46" w:rsidP="00BC0340">
            <w:pPr>
              <w:spacing w:before="0" w:after="0" w:line="240" w:lineRule="auto"/>
              <w:rPr>
                <w:rFonts w:cs="Arial"/>
                <w:sz w:val="18"/>
                <w:szCs w:val="18"/>
              </w:rPr>
            </w:pPr>
            <w:r w:rsidRPr="00662906">
              <w:rPr>
                <w:rFonts w:cs="Arial"/>
                <w:sz w:val="18"/>
                <w:szCs w:val="18"/>
              </w:rPr>
              <w:t>Uganda</w:t>
            </w:r>
          </w:p>
        </w:tc>
        <w:tc>
          <w:tcPr>
            <w:tcW w:w="1143" w:type="dxa"/>
            <w:vAlign w:val="bottom"/>
          </w:tcPr>
          <w:p w14:paraId="3A7BAB67"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356B6E0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48</w:t>
            </w:r>
          </w:p>
        </w:tc>
        <w:tc>
          <w:tcPr>
            <w:tcW w:w="1553" w:type="dxa"/>
            <w:noWrap/>
            <w:vAlign w:val="bottom"/>
            <w:hideMark/>
          </w:tcPr>
          <w:p w14:paraId="7568D3B0"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77</w:t>
            </w:r>
          </w:p>
        </w:tc>
        <w:tc>
          <w:tcPr>
            <w:tcW w:w="1685" w:type="dxa"/>
            <w:noWrap/>
            <w:vAlign w:val="bottom"/>
            <w:hideMark/>
          </w:tcPr>
          <w:p w14:paraId="518DFC46" w14:textId="77777777" w:rsidR="00005A46" w:rsidRPr="00662906" w:rsidRDefault="00005A46" w:rsidP="00382D31">
            <w:pPr>
              <w:spacing w:before="0" w:after="0" w:line="240" w:lineRule="auto"/>
              <w:jc w:val="center"/>
              <w:rPr>
                <w:rFonts w:cs="Arial"/>
                <w:sz w:val="18"/>
                <w:szCs w:val="18"/>
              </w:rPr>
            </w:pPr>
          </w:p>
        </w:tc>
        <w:tc>
          <w:tcPr>
            <w:tcW w:w="1527" w:type="dxa"/>
            <w:noWrap/>
            <w:vAlign w:val="bottom"/>
            <w:hideMark/>
          </w:tcPr>
          <w:p w14:paraId="4F13F4A7"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60</w:t>
            </w:r>
          </w:p>
        </w:tc>
      </w:tr>
      <w:tr w:rsidR="00005A46" w:rsidRPr="00662906" w14:paraId="66C87C1E" w14:textId="77777777" w:rsidTr="00A8504E">
        <w:trPr>
          <w:trHeight w:val="300"/>
        </w:trPr>
        <w:tc>
          <w:tcPr>
            <w:tcW w:w="2113" w:type="dxa"/>
            <w:noWrap/>
            <w:vAlign w:val="bottom"/>
            <w:hideMark/>
          </w:tcPr>
          <w:p w14:paraId="7486E5AE" w14:textId="77777777" w:rsidR="00005A46" w:rsidRPr="00662906" w:rsidRDefault="00005A46" w:rsidP="00BC0340">
            <w:pPr>
              <w:spacing w:before="0" w:after="0" w:line="240" w:lineRule="auto"/>
              <w:rPr>
                <w:rFonts w:cs="Arial"/>
                <w:sz w:val="18"/>
                <w:szCs w:val="18"/>
              </w:rPr>
            </w:pPr>
            <w:r w:rsidRPr="00662906">
              <w:rPr>
                <w:rFonts w:cs="Arial"/>
                <w:sz w:val="18"/>
                <w:szCs w:val="18"/>
              </w:rPr>
              <w:t>Zambia</w:t>
            </w:r>
          </w:p>
        </w:tc>
        <w:tc>
          <w:tcPr>
            <w:tcW w:w="1143" w:type="dxa"/>
            <w:vAlign w:val="bottom"/>
          </w:tcPr>
          <w:p w14:paraId="762642FD" w14:textId="77777777" w:rsidR="00005A46" w:rsidRPr="00662906" w:rsidRDefault="00005A46" w:rsidP="00BC0340">
            <w:pPr>
              <w:spacing w:before="0" w:after="0" w:line="240" w:lineRule="auto"/>
              <w:rPr>
                <w:rFonts w:cs="Arial"/>
                <w:sz w:val="18"/>
                <w:szCs w:val="18"/>
              </w:rPr>
            </w:pPr>
            <w:r w:rsidRPr="00662906">
              <w:rPr>
                <w:rFonts w:cs="Arial"/>
                <w:sz w:val="18"/>
                <w:szCs w:val="18"/>
              </w:rPr>
              <w:t>Included</w:t>
            </w:r>
          </w:p>
        </w:tc>
        <w:tc>
          <w:tcPr>
            <w:tcW w:w="1100" w:type="dxa"/>
            <w:noWrap/>
            <w:vAlign w:val="bottom"/>
            <w:hideMark/>
          </w:tcPr>
          <w:p w14:paraId="34E4CAA3"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10</w:t>
            </w:r>
          </w:p>
        </w:tc>
        <w:tc>
          <w:tcPr>
            <w:tcW w:w="1553" w:type="dxa"/>
            <w:noWrap/>
            <w:vAlign w:val="bottom"/>
            <w:hideMark/>
          </w:tcPr>
          <w:p w14:paraId="483EAA41" w14:textId="77777777" w:rsidR="00005A46" w:rsidRPr="00662906" w:rsidRDefault="00005A46" w:rsidP="00382D31">
            <w:pPr>
              <w:spacing w:before="0" w:after="0" w:line="240" w:lineRule="auto"/>
              <w:jc w:val="center"/>
              <w:rPr>
                <w:rFonts w:cs="Arial"/>
                <w:sz w:val="18"/>
                <w:szCs w:val="18"/>
              </w:rPr>
            </w:pPr>
          </w:p>
        </w:tc>
        <w:tc>
          <w:tcPr>
            <w:tcW w:w="1685" w:type="dxa"/>
            <w:noWrap/>
            <w:vAlign w:val="bottom"/>
            <w:hideMark/>
          </w:tcPr>
          <w:p w14:paraId="27164DB1"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90</w:t>
            </w:r>
          </w:p>
        </w:tc>
        <w:tc>
          <w:tcPr>
            <w:tcW w:w="1527" w:type="dxa"/>
            <w:noWrap/>
            <w:vAlign w:val="bottom"/>
            <w:hideMark/>
          </w:tcPr>
          <w:p w14:paraId="1DAF3D1E"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64</w:t>
            </w:r>
          </w:p>
        </w:tc>
      </w:tr>
      <w:tr w:rsidR="00005A46" w:rsidRPr="00662906" w14:paraId="4E547BAD" w14:textId="77777777" w:rsidTr="00A8504E">
        <w:trPr>
          <w:trHeight w:val="300"/>
        </w:trPr>
        <w:tc>
          <w:tcPr>
            <w:tcW w:w="2113" w:type="dxa"/>
            <w:noWrap/>
            <w:vAlign w:val="bottom"/>
            <w:hideMark/>
          </w:tcPr>
          <w:p w14:paraId="344E6B08" w14:textId="77777777" w:rsidR="00005A46" w:rsidRPr="00662906" w:rsidRDefault="00005A46" w:rsidP="00BC0340">
            <w:pPr>
              <w:spacing w:before="0" w:after="0" w:line="240" w:lineRule="auto"/>
              <w:rPr>
                <w:rFonts w:cs="Arial"/>
                <w:sz w:val="18"/>
                <w:szCs w:val="18"/>
              </w:rPr>
            </w:pPr>
            <w:r w:rsidRPr="00662906">
              <w:rPr>
                <w:rFonts w:cs="Arial"/>
                <w:sz w:val="18"/>
                <w:szCs w:val="18"/>
              </w:rPr>
              <w:t>Zimbabwe</w:t>
            </w:r>
          </w:p>
        </w:tc>
        <w:tc>
          <w:tcPr>
            <w:tcW w:w="1143" w:type="dxa"/>
            <w:vAlign w:val="bottom"/>
          </w:tcPr>
          <w:p w14:paraId="3F6CED78" w14:textId="77777777" w:rsidR="00005A46" w:rsidRPr="00662906" w:rsidRDefault="00005A46" w:rsidP="00BC0340">
            <w:pPr>
              <w:spacing w:before="0" w:after="0" w:line="240" w:lineRule="auto"/>
              <w:rPr>
                <w:rFonts w:cs="Arial"/>
                <w:sz w:val="18"/>
                <w:szCs w:val="18"/>
              </w:rPr>
            </w:pPr>
            <w:r w:rsidRPr="00662906">
              <w:rPr>
                <w:rFonts w:cs="Arial"/>
                <w:sz w:val="18"/>
                <w:szCs w:val="18"/>
              </w:rPr>
              <w:t>Excluded</w:t>
            </w:r>
          </w:p>
        </w:tc>
        <w:tc>
          <w:tcPr>
            <w:tcW w:w="1100" w:type="dxa"/>
            <w:noWrap/>
            <w:vAlign w:val="bottom"/>
            <w:hideMark/>
          </w:tcPr>
          <w:p w14:paraId="50DEED15" w14:textId="77777777" w:rsidR="00005A46" w:rsidRPr="00662906" w:rsidRDefault="00005A46" w:rsidP="00382D31">
            <w:pPr>
              <w:spacing w:before="0" w:after="0" w:line="240" w:lineRule="auto"/>
              <w:jc w:val="center"/>
              <w:rPr>
                <w:rFonts w:cs="Arial"/>
                <w:sz w:val="18"/>
                <w:szCs w:val="18"/>
              </w:rPr>
            </w:pPr>
            <w:r w:rsidRPr="00662906">
              <w:rPr>
                <w:rFonts w:cs="Arial"/>
                <w:sz w:val="18"/>
                <w:szCs w:val="18"/>
              </w:rPr>
              <w:t>25</w:t>
            </w:r>
          </w:p>
        </w:tc>
        <w:tc>
          <w:tcPr>
            <w:tcW w:w="1553" w:type="dxa"/>
            <w:noWrap/>
            <w:vAlign w:val="bottom"/>
            <w:hideMark/>
          </w:tcPr>
          <w:p w14:paraId="133A2C54" w14:textId="77777777" w:rsidR="00005A46" w:rsidRPr="00662906" w:rsidRDefault="00005A46" w:rsidP="00382D31">
            <w:pPr>
              <w:spacing w:before="0" w:after="0" w:line="240" w:lineRule="auto"/>
              <w:jc w:val="center"/>
              <w:rPr>
                <w:rFonts w:cs="Arial"/>
                <w:sz w:val="18"/>
                <w:szCs w:val="18"/>
              </w:rPr>
            </w:pPr>
          </w:p>
        </w:tc>
        <w:tc>
          <w:tcPr>
            <w:tcW w:w="1685" w:type="dxa"/>
            <w:shd w:val="clear" w:color="000000" w:fill="BFBFBF"/>
            <w:noWrap/>
            <w:vAlign w:val="bottom"/>
            <w:hideMark/>
          </w:tcPr>
          <w:p w14:paraId="39C342FF" w14:textId="22191D70" w:rsidR="00005A46" w:rsidRPr="00662906" w:rsidRDefault="00005A46" w:rsidP="00382D31">
            <w:pPr>
              <w:spacing w:before="0" w:after="0" w:line="240" w:lineRule="auto"/>
              <w:jc w:val="center"/>
              <w:rPr>
                <w:rFonts w:cs="Arial"/>
                <w:sz w:val="18"/>
                <w:szCs w:val="18"/>
              </w:rPr>
            </w:pPr>
          </w:p>
        </w:tc>
        <w:tc>
          <w:tcPr>
            <w:tcW w:w="1527" w:type="dxa"/>
            <w:shd w:val="clear" w:color="000000" w:fill="BFBFBF"/>
            <w:noWrap/>
            <w:vAlign w:val="bottom"/>
            <w:hideMark/>
          </w:tcPr>
          <w:p w14:paraId="12EDF81F" w14:textId="388B0E9B" w:rsidR="00005A46" w:rsidRPr="00662906" w:rsidRDefault="00005A46" w:rsidP="00382D31">
            <w:pPr>
              <w:spacing w:before="0" w:after="0" w:line="240" w:lineRule="auto"/>
              <w:jc w:val="center"/>
              <w:rPr>
                <w:rFonts w:cs="Arial"/>
                <w:sz w:val="18"/>
                <w:szCs w:val="18"/>
              </w:rPr>
            </w:pPr>
          </w:p>
        </w:tc>
      </w:tr>
    </w:tbl>
    <w:p w14:paraId="1A198174" w14:textId="4933F3C0" w:rsidR="00005A46" w:rsidRPr="00662906" w:rsidRDefault="00005A46" w:rsidP="00005A46">
      <w:pPr>
        <w:rPr>
          <w:i/>
          <w:iCs/>
          <w:color w:val="B4A269" w:themeColor="text2"/>
          <w:sz w:val="16"/>
          <w:szCs w:val="16"/>
        </w:rPr>
      </w:pPr>
      <w:r w:rsidRPr="00662906">
        <w:rPr>
          <w:i/>
          <w:iCs/>
          <w:color w:val="B4A269" w:themeColor="text2"/>
          <w:sz w:val="16"/>
          <w:szCs w:val="16"/>
        </w:rPr>
        <w:t>Source: Infographics PBL NDC Tool March 2024</w:t>
      </w:r>
      <w:r w:rsidRPr="00662906">
        <w:rPr>
          <w:i/>
          <w:iCs/>
          <w:color w:val="B4A269" w:themeColor="text2"/>
          <w:sz w:val="16"/>
          <w:szCs w:val="16"/>
        </w:rPr>
        <w:tab/>
        <w:t>, Published March 26, 2024, Version v1</w:t>
      </w:r>
      <w:r w:rsidRPr="00662906">
        <w:rPr>
          <w:i/>
          <w:iCs/>
          <w:color w:val="B4A269" w:themeColor="text2"/>
          <w:sz w:val="16"/>
          <w:szCs w:val="16"/>
        </w:rPr>
        <w:tab/>
        <w:t xml:space="preserve"> (</w:t>
      </w:r>
      <w:hyperlink r:id="rId33" w:history="1">
        <w:r w:rsidRPr="00662906">
          <w:rPr>
            <w:rStyle w:val="Hyperlink"/>
            <w:i/>
            <w:iCs/>
            <w:color w:val="B4A269" w:themeColor="text2"/>
            <w:sz w:val="16"/>
            <w:szCs w:val="16"/>
          </w:rPr>
          <w:t>https://zenodo.org/records/10875617</w:t>
        </w:r>
      </w:hyperlink>
      <w:r w:rsidRPr="00662906">
        <w:rPr>
          <w:i/>
          <w:iCs/>
          <w:color w:val="B4A269" w:themeColor="text2"/>
          <w:sz w:val="16"/>
          <w:szCs w:val="16"/>
        </w:rPr>
        <w:t xml:space="preserve">) </w:t>
      </w:r>
    </w:p>
    <w:p w14:paraId="18277F6C" w14:textId="39DE0B15" w:rsidR="00867ED1" w:rsidRPr="00662906" w:rsidRDefault="005301E2" w:rsidP="00804761">
      <w:pPr>
        <w:pStyle w:val="Heading2"/>
      </w:pPr>
      <w:bookmarkStart w:id="960" w:name="_Ref185538336"/>
      <w:bookmarkStart w:id="961" w:name="_Toc197433883"/>
      <w:bookmarkEnd w:id="954"/>
      <w:bookmarkEnd w:id="955"/>
      <w:bookmarkEnd w:id="956"/>
      <w:bookmarkEnd w:id="957"/>
      <w:bookmarkEnd w:id="958"/>
      <w:r w:rsidRPr="00662906">
        <w:t>Stocktaking Report</w:t>
      </w:r>
      <w:bookmarkEnd w:id="960"/>
      <w:r w:rsidR="00F30F93" w:rsidRPr="00662906">
        <w:t xml:space="preserve"> and </w:t>
      </w:r>
      <w:r w:rsidR="00DF398B" w:rsidRPr="00662906">
        <w:t>Guidelines for Development of Deep Decarbonization Pathways and “Low Hanging Fruit and High Impact Activities”</w:t>
      </w:r>
      <w:bookmarkEnd w:id="961"/>
    </w:p>
    <w:p w14:paraId="6D130D62" w14:textId="77777777" w:rsidR="00B722FD" w:rsidRPr="00662906" w:rsidRDefault="005301E2" w:rsidP="005301E2">
      <w:r w:rsidRPr="00662906">
        <w:t xml:space="preserve">As was mentioned, the development of this strategy document was based on an extensive stocktaking exercise. The results of this exercise were </w:t>
      </w:r>
      <w:r w:rsidR="001A0350" w:rsidRPr="00662906">
        <w:t xml:space="preserve">presented in the Stocktaking Report which acts as a </w:t>
      </w:r>
      <w:r w:rsidR="00B722FD" w:rsidRPr="00662906">
        <w:t xml:space="preserve">companion document to the ETSAP. </w:t>
      </w:r>
    </w:p>
    <w:bookmarkStart w:id="962" w:name="_MON_1796151026"/>
    <w:bookmarkEnd w:id="962"/>
    <w:p w14:paraId="1EE76C3E" w14:textId="08B4D5B5" w:rsidR="001A0350" w:rsidRPr="00662906" w:rsidRDefault="00C02830" w:rsidP="005301E2">
      <w:r w:rsidRPr="00662906">
        <w:rPr>
          <w:noProof/>
        </w:rPr>
        <w:object w:dxaOrig="1524" w:dyaOrig="989" w14:anchorId="1B7A0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1pt;height:51pt;mso-width-percent:0;mso-height-percent:0;mso-width-percent:0;mso-height-percent:0" o:ole="">
            <v:imagedata r:id="rId34" o:title=""/>
          </v:shape>
          <o:OLEObject Type="Embed" ProgID="Word.Document.12" ShapeID="_x0000_i1025" DrawAspect="Icon" ObjectID="_1819626063" r:id="rId35">
            <o:FieldCodes>\s</o:FieldCodes>
          </o:OLEObject>
        </w:object>
      </w:r>
      <w:r w:rsidR="001A0350" w:rsidRPr="00662906">
        <w:t xml:space="preserve"> </w:t>
      </w:r>
    </w:p>
    <w:p w14:paraId="23B77B4D" w14:textId="77777777" w:rsidR="00F64E52" w:rsidRPr="00662906" w:rsidRDefault="00DF398B" w:rsidP="005301E2">
      <w:r w:rsidRPr="00662906">
        <w:t xml:space="preserve">As a companion document to this strategy a guidelines document </w:t>
      </w:r>
      <w:r w:rsidR="00190D67" w:rsidRPr="00662906">
        <w:t>for the development of Deep Decarbonization Pathways (DDPs) and low cost – high impact activities has been developed. This document is attached below.</w:t>
      </w:r>
    </w:p>
    <w:bookmarkStart w:id="963" w:name="_MON_1807088764"/>
    <w:bookmarkEnd w:id="963"/>
    <w:p w14:paraId="3B6A6970" w14:textId="28E992F5" w:rsidR="00F30F93" w:rsidRPr="00662906" w:rsidRDefault="00C02830" w:rsidP="005301E2">
      <w:r w:rsidRPr="00662906">
        <w:rPr>
          <w:noProof/>
        </w:rPr>
        <w:object w:dxaOrig="1545" w:dyaOrig="995" w14:anchorId="63C2F605">
          <v:shape id="_x0000_i1026" type="#_x0000_t75" alt="" style="width:78pt;height:49.2pt;mso-width-percent:0;mso-height-percent:0;mso-width-percent:0;mso-height-percent:0" o:ole="">
            <v:imagedata r:id="rId36" o:title=""/>
          </v:shape>
          <o:OLEObject Type="Embed" ProgID="Word.Document.12" ShapeID="_x0000_i1026" DrawAspect="Icon" ObjectID="_1819626064" r:id="rId37">
            <o:FieldCodes>\s</o:FieldCodes>
          </o:OLEObject>
        </w:object>
      </w:r>
    </w:p>
    <w:p w14:paraId="5BD26C93" w14:textId="40B23356" w:rsidR="008A5D98" w:rsidRPr="00662906" w:rsidRDefault="00B722FD" w:rsidP="008A5D98">
      <w:pPr>
        <w:pStyle w:val="Heading2"/>
      </w:pPr>
      <w:bookmarkStart w:id="964" w:name="_Ref189754418"/>
      <w:bookmarkStart w:id="965" w:name="_Ref189754423"/>
      <w:bookmarkStart w:id="966" w:name="_Toc197433884"/>
      <w:r w:rsidRPr="00662906">
        <w:t>Referenced Past AU Adopted Strategies and Frameworks</w:t>
      </w:r>
      <w:bookmarkEnd w:id="964"/>
      <w:bookmarkEnd w:id="965"/>
      <w:bookmarkEnd w:id="966"/>
    </w:p>
    <w:p w14:paraId="329C1AEB" w14:textId="77777777" w:rsidR="008A5D98" w:rsidRPr="00662906" w:rsidRDefault="008A5D98" w:rsidP="008A5D98">
      <w:r w:rsidRPr="00662906">
        <w:t>Below are the full validated documents of AfEES. The Annexes of AfEES include all previous relevant adopted documents as well.</w:t>
      </w:r>
    </w:p>
    <w:p w14:paraId="29C18935" w14:textId="77777777" w:rsidR="008A5D98" w:rsidRPr="00662906" w:rsidRDefault="008A5D98" w:rsidP="005C5546">
      <w:pPr>
        <w:pStyle w:val="ListParagraph"/>
        <w:numPr>
          <w:ilvl w:val="0"/>
          <w:numId w:val="18"/>
        </w:numPr>
      </w:pPr>
      <w:r w:rsidRPr="00662906">
        <w:t>AfEES: Strategy and Roadmap</w:t>
      </w:r>
    </w:p>
    <w:bookmarkStart w:id="967" w:name="_MON_1793436384"/>
    <w:bookmarkEnd w:id="967"/>
    <w:p w14:paraId="00B975F2" w14:textId="77777777" w:rsidR="008A5D98" w:rsidRPr="00662906" w:rsidRDefault="00C02830" w:rsidP="008A5D98">
      <w:r w:rsidRPr="00662906">
        <w:rPr>
          <w:noProof/>
        </w:rPr>
        <w:object w:dxaOrig="1524" w:dyaOrig="989" w14:anchorId="6AE860D1">
          <v:shape id="_x0000_i1027" type="#_x0000_t75" alt="" style="width:77.1pt;height:51pt;mso-width-percent:0;mso-height-percent:0;mso-width-percent:0;mso-height-percent:0" o:ole="">
            <v:imagedata r:id="rId38" o:title=""/>
          </v:shape>
          <o:OLEObject Type="Embed" ProgID="Word.Document.12" ShapeID="_x0000_i1027" DrawAspect="Icon" ObjectID="_1819626065" r:id="rId39">
            <o:FieldCodes>\s</o:FieldCodes>
          </o:OLEObject>
        </w:object>
      </w:r>
    </w:p>
    <w:p w14:paraId="65EE8786" w14:textId="77777777" w:rsidR="008A5D98" w:rsidRPr="00662906" w:rsidRDefault="008A5D98" w:rsidP="005C5546">
      <w:pPr>
        <w:pStyle w:val="ListParagraph"/>
        <w:numPr>
          <w:ilvl w:val="0"/>
          <w:numId w:val="18"/>
        </w:numPr>
      </w:pPr>
      <w:r w:rsidRPr="00662906">
        <w:t>AfEES: Action Plan</w:t>
      </w:r>
    </w:p>
    <w:bookmarkStart w:id="968" w:name="_MON_1793436397"/>
    <w:bookmarkEnd w:id="968"/>
    <w:p w14:paraId="0AD20BE2" w14:textId="77777777" w:rsidR="008A5D98" w:rsidRPr="00662906" w:rsidRDefault="00C02830" w:rsidP="008A5D98">
      <w:r w:rsidRPr="00662906">
        <w:rPr>
          <w:noProof/>
        </w:rPr>
        <w:object w:dxaOrig="1524" w:dyaOrig="989" w14:anchorId="3E0B42CE">
          <v:shape id="_x0000_i1028" type="#_x0000_t75" alt="" style="width:77.1pt;height:51pt;mso-width-percent:0;mso-height-percent:0;mso-width-percent:0;mso-height-percent:0" o:ole="">
            <v:imagedata r:id="rId40" o:title=""/>
          </v:shape>
          <o:OLEObject Type="Embed" ProgID="Word.Document.12" ShapeID="_x0000_i1028" DrawAspect="Icon" ObjectID="_1819626066" r:id="rId41">
            <o:FieldCodes>\s</o:FieldCodes>
          </o:OLEObject>
        </w:object>
      </w:r>
    </w:p>
    <w:p w14:paraId="371E80C5" w14:textId="17D38B6D" w:rsidR="008A5D98" w:rsidRPr="00662906" w:rsidRDefault="008A5D98" w:rsidP="008A5D98">
      <w:r w:rsidRPr="00662906">
        <w:t xml:space="preserve">Keep in mind that Annex 1 of </w:t>
      </w:r>
      <w:r w:rsidR="00B722FD" w:rsidRPr="00662906">
        <w:t>the AfEES</w:t>
      </w:r>
      <w:r w:rsidRPr="00662906">
        <w:t xml:space="preserve"> document also includes in embedded form the following adopted documents:</w:t>
      </w:r>
    </w:p>
    <w:p w14:paraId="283ECABA" w14:textId="720CAAFB" w:rsidR="008A5D98" w:rsidRPr="00662906" w:rsidRDefault="008A5D98" w:rsidP="005C5546">
      <w:pPr>
        <w:pStyle w:val="ListParagraph"/>
        <w:numPr>
          <w:ilvl w:val="0"/>
          <w:numId w:val="19"/>
        </w:numPr>
      </w:pPr>
      <w:r w:rsidRPr="00662906">
        <w:t>Guidelines for MEPS Energy Labelling and Eco-Design at the Continental Level</w:t>
      </w:r>
      <w:r w:rsidR="00662906">
        <w:t>.</w:t>
      </w:r>
    </w:p>
    <w:p w14:paraId="0BF40E27" w14:textId="3C9D1A74" w:rsidR="008A5D98" w:rsidRPr="00662906" w:rsidRDefault="008A5D98" w:rsidP="005C5546">
      <w:pPr>
        <w:pStyle w:val="ListParagraph"/>
        <w:numPr>
          <w:ilvl w:val="0"/>
          <w:numId w:val="19"/>
        </w:numPr>
      </w:pPr>
      <w:r w:rsidRPr="00662906">
        <w:t>Market Surveillance Strategy and Action Plan</w:t>
      </w:r>
      <w:r w:rsidR="00662906">
        <w:t>.</w:t>
      </w:r>
    </w:p>
    <w:p w14:paraId="2CCF93B5" w14:textId="6B084D07" w:rsidR="008A5D98" w:rsidRPr="00662906" w:rsidRDefault="008A5D98" w:rsidP="005C5546">
      <w:pPr>
        <w:pStyle w:val="ListParagraph"/>
        <w:numPr>
          <w:ilvl w:val="0"/>
          <w:numId w:val="19"/>
        </w:numPr>
      </w:pPr>
      <w:r w:rsidRPr="00662906">
        <w:t>Report on existing test laboratories, procedures and facilities</w:t>
      </w:r>
      <w:r w:rsidR="00662906">
        <w:t>.</w:t>
      </w:r>
    </w:p>
    <w:p w14:paraId="326260AB" w14:textId="387FEA79" w:rsidR="008A5D98" w:rsidRPr="00662906" w:rsidRDefault="008A5D98" w:rsidP="005C5546">
      <w:pPr>
        <w:pStyle w:val="ListParagraph"/>
        <w:numPr>
          <w:ilvl w:val="0"/>
          <w:numId w:val="19"/>
        </w:numPr>
      </w:pPr>
      <w:r w:rsidRPr="00662906">
        <w:t>Roadmap for Strategic Test Laboratories</w:t>
      </w:r>
      <w:r w:rsidR="00662906">
        <w:t>.</w:t>
      </w:r>
    </w:p>
    <w:p w14:paraId="032358C4" w14:textId="1E52F136" w:rsidR="008A5D98" w:rsidRPr="00662906" w:rsidRDefault="008A5D98" w:rsidP="005C5546">
      <w:pPr>
        <w:pStyle w:val="ListParagraph"/>
        <w:numPr>
          <w:ilvl w:val="0"/>
          <w:numId w:val="19"/>
        </w:numPr>
      </w:pPr>
      <w:r w:rsidRPr="00662906">
        <w:t>Strategy and Roadmap for Establishing a Market for Energy Efficient Appliances in Africa</w:t>
      </w:r>
      <w:r w:rsidR="00662906">
        <w:t>.</w:t>
      </w:r>
    </w:p>
    <w:p w14:paraId="7E11061B" w14:textId="6EFC6281" w:rsidR="008A5D98" w:rsidRPr="00662906" w:rsidRDefault="008A5D98" w:rsidP="005C5546">
      <w:pPr>
        <w:pStyle w:val="ListParagraph"/>
        <w:numPr>
          <w:ilvl w:val="0"/>
          <w:numId w:val="19"/>
        </w:numPr>
      </w:pPr>
      <w:r w:rsidRPr="00662906">
        <w:t>Guide for policy makers on developing Quality Assurance frameworks for off-grid appliances in Africa</w:t>
      </w:r>
      <w:r w:rsidR="00662906">
        <w:t>.</w:t>
      </w:r>
    </w:p>
    <w:p w14:paraId="6E242EC6" w14:textId="69395F74" w:rsidR="008A5D98" w:rsidRPr="00662906" w:rsidRDefault="008A5D98" w:rsidP="005C5546">
      <w:pPr>
        <w:pStyle w:val="ListParagraph"/>
        <w:numPr>
          <w:ilvl w:val="0"/>
          <w:numId w:val="19"/>
        </w:numPr>
      </w:pPr>
      <w:r w:rsidRPr="00662906">
        <w:t>Guidelines and Strategies for the Reduction of Technical Losses of Transmission and Distribution Lines and Smart Network Management</w:t>
      </w:r>
      <w:r w:rsidR="00662906">
        <w:t>.</w:t>
      </w:r>
    </w:p>
    <w:p w14:paraId="7D234129" w14:textId="0B738170" w:rsidR="008A5D98" w:rsidRPr="00662906" w:rsidRDefault="008A5D98" w:rsidP="005C5546">
      <w:pPr>
        <w:pStyle w:val="ListParagraph"/>
        <w:numPr>
          <w:ilvl w:val="0"/>
          <w:numId w:val="19"/>
        </w:numPr>
      </w:pPr>
      <w:r w:rsidRPr="00662906">
        <w:t>Strategy and Roadmap for evolving distribution systems to smart distribution grids</w:t>
      </w:r>
      <w:r w:rsidR="00662906">
        <w:t>.</w:t>
      </w:r>
    </w:p>
    <w:p w14:paraId="250A063E" w14:textId="52204FAA" w:rsidR="008A5D98" w:rsidRPr="00662906" w:rsidRDefault="008A5D98" w:rsidP="00E95A5E">
      <w:pPr>
        <w:pStyle w:val="ListParagraph"/>
        <w:numPr>
          <w:ilvl w:val="0"/>
          <w:numId w:val="19"/>
        </w:numPr>
        <w:rPr>
          <w:lang w:val="fr-FR"/>
        </w:rPr>
      </w:pPr>
      <w:r w:rsidRPr="00662906">
        <w:rPr>
          <w:lang w:val="fr-FR"/>
        </w:rPr>
        <w:t xml:space="preserve">AU DAS and </w:t>
      </w:r>
      <w:r w:rsidR="00662906">
        <w:rPr>
          <w:lang w:val="fr-FR"/>
        </w:rPr>
        <w:t>i</w:t>
      </w:r>
      <w:r w:rsidRPr="00662906">
        <w:rPr>
          <w:lang w:val="fr-FR"/>
        </w:rPr>
        <w:t>mplementation Plan 2024 – 2030</w:t>
      </w:r>
      <w:r w:rsidR="00662906" w:rsidRPr="00662906">
        <w:rPr>
          <w:lang w:val="fr-FR"/>
        </w:rPr>
        <w:t>.</w:t>
      </w:r>
    </w:p>
    <w:sectPr w:rsidR="008A5D98" w:rsidRPr="00662906" w:rsidSect="005143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B3FC" w14:textId="77777777" w:rsidR="00F3298F" w:rsidRPr="009A0BCE" w:rsidRDefault="00F3298F" w:rsidP="004E7299">
      <w:r w:rsidRPr="009A0BCE">
        <w:separator/>
      </w:r>
    </w:p>
  </w:endnote>
  <w:endnote w:type="continuationSeparator" w:id="0">
    <w:p w14:paraId="0CB8A491" w14:textId="77777777" w:rsidR="00F3298F" w:rsidRPr="009A0BCE" w:rsidRDefault="00F3298F" w:rsidP="004E7299">
      <w:r w:rsidRPr="009A0BCE">
        <w:continuationSeparator/>
      </w:r>
    </w:p>
  </w:endnote>
  <w:endnote w:type="continuationNotice" w:id="1">
    <w:p w14:paraId="3FBB63E6" w14:textId="77777777" w:rsidR="00F3298F" w:rsidRPr="009A0BCE" w:rsidRDefault="00F3298F" w:rsidP="004E7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K Grotesk SemiBold">
    <w:altName w:val="Calibri"/>
    <w:panose1 w:val="00000000000000000000"/>
    <w:charset w:val="00"/>
    <w:family w:val="swiss"/>
    <w:notTrueType/>
    <w:pitch w:val="default"/>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WordVisiPilcrow_MSFontService">
    <w:altName w:val="Cambria"/>
    <w:panose1 w:val="00000000000000000000"/>
    <w:charset w:val="00"/>
    <w:family w:val="roman"/>
    <w:notTrueType/>
    <w:pitch w:val="default"/>
  </w:font>
  <w:font w:name="WordVisi_MSFontService">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5902058"/>
      <w:docPartObj>
        <w:docPartGallery w:val="Page Numbers (Bottom of Page)"/>
        <w:docPartUnique/>
      </w:docPartObj>
    </w:sdtPr>
    <w:sdtContent>
      <w:p w14:paraId="6D049964" w14:textId="3F7E8900" w:rsidR="000B7B14" w:rsidRPr="009A0BCE" w:rsidRDefault="000B7B14" w:rsidP="00C13CE6">
        <w:pPr>
          <w:pStyle w:val="Footer"/>
          <w:framePr w:wrap="none" w:vAnchor="text" w:hAnchor="margin" w:xAlign="right" w:y="1"/>
          <w:rPr>
            <w:rStyle w:val="PageNumber"/>
          </w:rPr>
        </w:pPr>
        <w:r w:rsidRPr="009A0BCE">
          <w:rPr>
            <w:rStyle w:val="PageNumber"/>
          </w:rPr>
          <w:fldChar w:fldCharType="begin"/>
        </w:r>
        <w:r w:rsidRPr="009A0BCE">
          <w:rPr>
            <w:rStyle w:val="PageNumber"/>
          </w:rPr>
          <w:instrText xml:space="preserve"> PAGE </w:instrText>
        </w:r>
        <w:r w:rsidRPr="009A0BCE">
          <w:rPr>
            <w:rStyle w:val="PageNumber"/>
          </w:rPr>
          <w:fldChar w:fldCharType="end"/>
        </w:r>
      </w:p>
    </w:sdtContent>
  </w:sdt>
  <w:p w14:paraId="36D38E3D" w14:textId="77777777" w:rsidR="000B7B14" w:rsidRPr="009A0BCE" w:rsidRDefault="000B7B14" w:rsidP="000912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AFE5CB" w14:paraId="4FD161E3" w14:textId="77777777" w:rsidTr="34AFE5CB">
      <w:trPr>
        <w:trHeight w:val="300"/>
      </w:trPr>
      <w:tc>
        <w:tcPr>
          <w:tcW w:w="3005" w:type="dxa"/>
        </w:tcPr>
        <w:p w14:paraId="4DD55A82" w14:textId="2F03B53C" w:rsidR="34AFE5CB" w:rsidRDefault="34AFE5CB" w:rsidP="34AFE5CB">
          <w:pPr>
            <w:pStyle w:val="Header"/>
            <w:ind w:left="-115"/>
            <w:jc w:val="left"/>
          </w:pPr>
        </w:p>
      </w:tc>
      <w:tc>
        <w:tcPr>
          <w:tcW w:w="3005" w:type="dxa"/>
        </w:tcPr>
        <w:p w14:paraId="1A7DF26C" w14:textId="64453D49" w:rsidR="34AFE5CB" w:rsidRDefault="34AFE5CB" w:rsidP="34AFE5CB">
          <w:pPr>
            <w:pStyle w:val="Header"/>
            <w:jc w:val="center"/>
          </w:pPr>
          <w:r>
            <w:fldChar w:fldCharType="begin"/>
          </w:r>
          <w:r>
            <w:instrText>PAGE</w:instrText>
          </w:r>
          <w:r>
            <w:fldChar w:fldCharType="separate"/>
          </w:r>
          <w:r>
            <w:fldChar w:fldCharType="end"/>
          </w:r>
        </w:p>
      </w:tc>
      <w:tc>
        <w:tcPr>
          <w:tcW w:w="3005" w:type="dxa"/>
        </w:tcPr>
        <w:p w14:paraId="7E6A6A6C" w14:textId="6F3C6A73" w:rsidR="34AFE5CB" w:rsidRDefault="34AFE5CB" w:rsidP="34AFE5CB">
          <w:pPr>
            <w:pStyle w:val="Header"/>
            <w:ind w:right="-115"/>
            <w:jc w:val="right"/>
          </w:pPr>
          <w:r>
            <w:fldChar w:fldCharType="begin"/>
          </w:r>
          <w:r>
            <w:instrText>PAGE</w:instrText>
          </w:r>
          <w:r>
            <w:fldChar w:fldCharType="separate"/>
          </w:r>
          <w:r>
            <w:fldChar w:fldCharType="end"/>
          </w:r>
        </w:p>
      </w:tc>
    </w:tr>
  </w:tbl>
  <w:p w14:paraId="60101514" w14:textId="3348A872" w:rsidR="34AFE5CB" w:rsidRDefault="34AFE5CB" w:rsidP="34AFE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AFE5CB" w14:paraId="65C537EB" w14:textId="77777777" w:rsidTr="34AFE5CB">
      <w:trPr>
        <w:trHeight w:val="300"/>
      </w:trPr>
      <w:tc>
        <w:tcPr>
          <w:tcW w:w="3005" w:type="dxa"/>
        </w:tcPr>
        <w:p w14:paraId="5720FC4A" w14:textId="5B44EECB" w:rsidR="34AFE5CB" w:rsidRDefault="34AFE5CB" w:rsidP="34AFE5CB">
          <w:pPr>
            <w:pStyle w:val="Header"/>
            <w:ind w:left="-115"/>
            <w:jc w:val="left"/>
          </w:pPr>
        </w:p>
      </w:tc>
      <w:tc>
        <w:tcPr>
          <w:tcW w:w="3005" w:type="dxa"/>
        </w:tcPr>
        <w:p w14:paraId="2F861A41" w14:textId="13B1A500" w:rsidR="34AFE5CB" w:rsidRDefault="34AFE5CB" w:rsidP="34AFE5CB">
          <w:pPr>
            <w:pStyle w:val="Header"/>
            <w:jc w:val="center"/>
          </w:pPr>
        </w:p>
      </w:tc>
      <w:tc>
        <w:tcPr>
          <w:tcW w:w="3005" w:type="dxa"/>
        </w:tcPr>
        <w:p w14:paraId="420E11A4" w14:textId="04A1A9A5" w:rsidR="34AFE5CB" w:rsidRDefault="34AFE5CB" w:rsidP="34AFE5CB">
          <w:pPr>
            <w:pStyle w:val="Header"/>
            <w:ind w:right="-115"/>
            <w:jc w:val="right"/>
          </w:pPr>
        </w:p>
      </w:tc>
    </w:tr>
  </w:tbl>
  <w:p w14:paraId="31D7552B" w14:textId="2A58604D" w:rsidR="34AFE5CB" w:rsidRDefault="34AFE5CB" w:rsidP="34AFE5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799653"/>
      <w:docPartObj>
        <w:docPartGallery w:val="Page Numbers (Bottom of Page)"/>
        <w:docPartUnique/>
      </w:docPartObj>
    </w:sdtPr>
    <w:sdtEndPr>
      <w:rPr>
        <w:noProof/>
      </w:rPr>
    </w:sdtEndPr>
    <w:sdtContent>
      <w:p w14:paraId="3EDBFF7B" w14:textId="67E7A1B3" w:rsidR="00C7739D" w:rsidRDefault="002308CF" w:rsidP="00BB06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4AFE5CB" w14:paraId="5BC724D8" w14:textId="77777777" w:rsidTr="34AFE5CB">
      <w:trPr>
        <w:trHeight w:val="300"/>
      </w:trPr>
      <w:tc>
        <w:tcPr>
          <w:tcW w:w="3005" w:type="dxa"/>
        </w:tcPr>
        <w:p w14:paraId="2F3D173C" w14:textId="5E48F56B" w:rsidR="34AFE5CB" w:rsidRDefault="34AFE5CB" w:rsidP="34AFE5CB">
          <w:pPr>
            <w:pStyle w:val="Header"/>
            <w:ind w:left="-115"/>
            <w:jc w:val="left"/>
          </w:pPr>
        </w:p>
      </w:tc>
      <w:tc>
        <w:tcPr>
          <w:tcW w:w="3005" w:type="dxa"/>
        </w:tcPr>
        <w:p w14:paraId="225DD9A6" w14:textId="7A99DE7C" w:rsidR="34AFE5CB" w:rsidRDefault="34AFE5CB" w:rsidP="34AFE5CB">
          <w:pPr>
            <w:pStyle w:val="Header"/>
            <w:jc w:val="center"/>
          </w:pPr>
        </w:p>
      </w:tc>
      <w:tc>
        <w:tcPr>
          <w:tcW w:w="3005" w:type="dxa"/>
        </w:tcPr>
        <w:p w14:paraId="238161E0" w14:textId="5DFCA238" w:rsidR="34AFE5CB" w:rsidRDefault="34AFE5CB" w:rsidP="34AFE5CB">
          <w:pPr>
            <w:pStyle w:val="Header"/>
            <w:ind w:right="-115"/>
            <w:jc w:val="right"/>
          </w:pPr>
        </w:p>
      </w:tc>
    </w:tr>
  </w:tbl>
  <w:p w14:paraId="32933EA5" w14:textId="3AB47704" w:rsidR="34AFE5CB" w:rsidRDefault="34AFE5CB" w:rsidP="34AFE5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089101"/>
      <w:docPartObj>
        <w:docPartGallery w:val="Page Numbers (Bottom of Page)"/>
        <w:docPartUnique/>
      </w:docPartObj>
    </w:sdtPr>
    <w:sdtEndPr>
      <w:rPr>
        <w:noProof/>
      </w:rPr>
    </w:sdtEndPr>
    <w:sdtContent>
      <w:p w14:paraId="76545CA7" w14:textId="21EBA5BA" w:rsidR="002663C2" w:rsidRDefault="002663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434786"/>
      <w:docPartObj>
        <w:docPartGallery w:val="Page Numbers (Bottom of Page)"/>
        <w:docPartUnique/>
      </w:docPartObj>
    </w:sdtPr>
    <w:sdtEndPr>
      <w:rPr>
        <w:noProof/>
      </w:rPr>
    </w:sdtEndPr>
    <w:sdtContent>
      <w:p w14:paraId="580E3D3E" w14:textId="77777777" w:rsidR="00B9019D" w:rsidRDefault="00381F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49704"/>
      <w:docPartObj>
        <w:docPartGallery w:val="Page Numbers (Bottom of Page)"/>
        <w:docPartUnique/>
      </w:docPartObj>
    </w:sdtPr>
    <w:sdtEndPr>
      <w:rPr>
        <w:noProof/>
      </w:rPr>
    </w:sdtEndPr>
    <w:sdtContent>
      <w:p w14:paraId="657D590A" w14:textId="4A3FE5B0" w:rsidR="00297B79" w:rsidRDefault="002308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077128"/>
      <w:docPartObj>
        <w:docPartGallery w:val="Page Numbers (Bottom of Page)"/>
        <w:docPartUnique/>
      </w:docPartObj>
    </w:sdtPr>
    <w:sdtEndPr>
      <w:rPr>
        <w:noProof/>
      </w:rPr>
    </w:sdtEndPr>
    <w:sdtContent>
      <w:p w14:paraId="5EEF6DAD" w14:textId="7E6E6D2F" w:rsidR="00C52B41" w:rsidRDefault="00C52B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228D4A" w14:textId="46BCC24F" w:rsidR="00316420" w:rsidRPr="009A0BCE" w:rsidRDefault="00316420" w:rsidP="0031642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B8A9" w14:textId="77777777" w:rsidR="00F3298F" w:rsidRPr="009A0BCE" w:rsidRDefault="00F3298F" w:rsidP="004E7299">
      <w:r w:rsidRPr="009A0BCE">
        <w:separator/>
      </w:r>
    </w:p>
  </w:footnote>
  <w:footnote w:type="continuationSeparator" w:id="0">
    <w:p w14:paraId="4B917305" w14:textId="77777777" w:rsidR="00F3298F" w:rsidRPr="009A0BCE" w:rsidRDefault="00F3298F" w:rsidP="004E7299">
      <w:r w:rsidRPr="009A0BCE">
        <w:continuationSeparator/>
      </w:r>
    </w:p>
  </w:footnote>
  <w:footnote w:type="continuationNotice" w:id="1">
    <w:p w14:paraId="79F4E709" w14:textId="77777777" w:rsidR="00F3298F" w:rsidRPr="009A0BCE" w:rsidRDefault="00F3298F" w:rsidP="004E7299"/>
  </w:footnote>
  <w:footnote w:id="2">
    <w:p w14:paraId="1F44D482" w14:textId="0CC0A532" w:rsidR="00DD7FEA" w:rsidRPr="00DC2854" w:rsidRDefault="00DD7FEA" w:rsidP="00DD7FEA">
      <w:pPr>
        <w:pStyle w:val="FootnoteText"/>
      </w:pPr>
      <w:r>
        <w:rPr>
          <w:rStyle w:val="FootnoteReference"/>
        </w:rPr>
        <w:footnoteRef/>
      </w:r>
      <w:r>
        <w:t xml:space="preserve"> </w:t>
      </w:r>
      <w:r w:rsidRPr="00DC2854">
        <w:t>List of countries by GDP (</w:t>
      </w:r>
      <w:r w:rsidR="00F81A4D" w:rsidRPr="00F81A4D">
        <w:t>Purchasing power parity</w:t>
      </w:r>
      <w:r w:rsidRPr="00DC2854">
        <w:t>) per capita USD 6341 for Africa, USD 18046 for Asia and Oceania and USD19506 for Latin America in 2023 IMF statistics</w:t>
      </w:r>
    </w:p>
  </w:footnote>
  <w:footnote w:id="3">
    <w:p w14:paraId="2E99553F" w14:textId="77777777" w:rsidR="00DD7FEA" w:rsidRPr="00DC2854" w:rsidRDefault="00DD7FEA" w:rsidP="00DD7FEA">
      <w:pPr>
        <w:pStyle w:val="FootnoteText"/>
        <w:spacing w:before="0" w:after="0"/>
        <w:jc w:val="left"/>
        <w:rPr>
          <w:rFonts w:cs="Arial"/>
        </w:rPr>
      </w:pPr>
      <w:r w:rsidRPr="00DC2854">
        <w:rPr>
          <w:rStyle w:val="FootnoteReference"/>
          <w:rFonts w:cs="Arial"/>
        </w:rPr>
        <w:footnoteRef/>
      </w:r>
      <w:r w:rsidRPr="00DC2854">
        <w:rPr>
          <w:rFonts w:cs="Arial"/>
        </w:rPr>
        <w:t xml:space="preserve"> </w:t>
      </w:r>
      <w:hyperlink r:id="rId1">
        <w:r w:rsidRPr="00DC2854">
          <w:rPr>
            <w:rStyle w:val="Hyperlink"/>
            <w:rFonts w:eastAsia="Arial" w:cs="Arial"/>
            <w:color w:val="954F72"/>
          </w:rPr>
          <w:t>https://au-afrec.org/energy-transition-programme</w:t>
        </w:r>
      </w:hyperlink>
    </w:p>
  </w:footnote>
  <w:footnote w:id="4">
    <w:p w14:paraId="38F8CDA1" w14:textId="77777777" w:rsidR="001F2018" w:rsidRPr="001F2018" w:rsidRDefault="001F2018" w:rsidP="001F2018">
      <w:pPr>
        <w:pStyle w:val="p1"/>
        <w:rPr>
          <w:sz w:val="12"/>
          <w:szCs w:val="12"/>
        </w:rPr>
      </w:pPr>
      <w:r>
        <w:rPr>
          <w:rStyle w:val="FootnoteReference"/>
        </w:rPr>
        <w:footnoteRef/>
      </w:r>
      <w:r>
        <w:t xml:space="preserve"> </w:t>
      </w:r>
      <w:r w:rsidRPr="001F2018">
        <w:rPr>
          <w:sz w:val="12"/>
          <w:szCs w:val="12"/>
        </w:rPr>
        <w:t>Source: (USGS, 2024) Note: Production and reserves for 2023 are up-to-date estimates by USGS</w:t>
      </w:r>
    </w:p>
    <w:p w14:paraId="13AD681B" w14:textId="3BF563D1" w:rsidR="001F2018" w:rsidRPr="00F7188C" w:rsidRDefault="001F2018">
      <w:pPr>
        <w:pStyle w:val="FootnoteText"/>
        <w:rPr>
          <w:lang w:val="en-US"/>
        </w:rPr>
      </w:pPr>
    </w:p>
  </w:footnote>
  <w:footnote w:id="5">
    <w:p w14:paraId="2B626DE3" w14:textId="77777777" w:rsidR="00793369" w:rsidRPr="006C7F43" w:rsidRDefault="00793369" w:rsidP="00793369">
      <w:pPr>
        <w:pStyle w:val="FootnoteText"/>
        <w:rPr>
          <w:lang w:val="en-US"/>
        </w:rPr>
      </w:pPr>
      <w:r>
        <w:rPr>
          <w:rStyle w:val="FootnoteReference"/>
        </w:rPr>
        <w:footnoteRef/>
      </w:r>
      <w:r>
        <w:t xml:space="preserve"> </w:t>
      </w:r>
      <w:r>
        <w:rPr>
          <w:lang w:val="en-US"/>
        </w:rPr>
        <w:t>Activities, implementation level, leading and collaborating organizations, time frames and expected outcomes are presented in Chapter 3 for each subsector.</w:t>
      </w:r>
    </w:p>
  </w:footnote>
  <w:footnote w:id="6">
    <w:p w14:paraId="4519391C" w14:textId="5CAAC7CC" w:rsidR="00CD6ADF" w:rsidRPr="00CD6ADF" w:rsidRDefault="00CD6ADF">
      <w:pPr>
        <w:pStyle w:val="FootnoteText"/>
        <w:rPr>
          <w:lang w:val="en-US"/>
        </w:rPr>
      </w:pPr>
      <w:r>
        <w:rPr>
          <w:rStyle w:val="FootnoteReference"/>
        </w:rPr>
        <w:footnoteRef/>
      </w:r>
      <w:r>
        <w:t xml:space="preserve"> </w:t>
      </w:r>
      <w:r>
        <w:rPr>
          <w:lang w:val="en-US"/>
        </w:rPr>
        <w:t xml:space="preserve">Setting up R&amp;D facilities will be </w:t>
      </w:r>
      <w:r w:rsidR="00AE7D1F">
        <w:rPr>
          <w:lang w:val="en-US"/>
        </w:rPr>
        <w:t>additional.</w:t>
      </w:r>
    </w:p>
  </w:footnote>
  <w:footnote w:id="7">
    <w:p w14:paraId="54FEBCAC" w14:textId="68E16E85" w:rsidR="00791A70" w:rsidRPr="00A97FAE" w:rsidRDefault="00791A70">
      <w:pPr>
        <w:pStyle w:val="FootnoteText"/>
        <w:rPr>
          <w:lang w:val="en-US"/>
        </w:rPr>
      </w:pPr>
      <w:r>
        <w:rPr>
          <w:rStyle w:val="FootnoteReference"/>
        </w:rPr>
        <w:footnoteRef/>
      </w:r>
      <w:r>
        <w:t xml:space="preserve"> </w:t>
      </w:r>
      <w:r w:rsidRPr="00791A70">
        <w:t>https://www.ipcc.ch/report/ar6/wg2/chapter/chapter-9/</w:t>
      </w:r>
    </w:p>
  </w:footnote>
  <w:footnote w:id="8">
    <w:p w14:paraId="0BC30603" w14:textId="29EF22BB" w:rsidR="007B51AE" w:rsidRPr="007B51AE" w:rsidRDefault="007B51AE">
      <w:pPr>
        <w:pStyle w:val="FootnoteText"/>
      </w:pPr>
      <w:r>
        <w:rPr>
          <w:rStyle w:val="FootnoteReference"/>
        </w:rPr>
        <w:footnoteRef/>
      </w:r>
      <w:r>
        <w:t xml:space="preserve"> </w:t>
      </w:r>
      <w:hyperlink r:id="rId2" w:history="1">
        <w:r w:rsidRPr="00F81A4D">
          <w:rPr>
            <w:rStyle w:val="Hyperlink"/>
            <w:rFonts w:eastAsia="Arial" w:cs="Arial"/>
            <w:i/>
            <w:iCs/>
          </w:rPr>
          <w:t>List of countries by GDP (</w:t>
        </w:r>
        <w:r w:rsidR="00F81A4D" w:rsidRPr="00F81A4D">
          <w:rPr>
            <w:rStyle w:val="Hyperlink"/>
            <w:rFonts w:eastAsia="Arial" w:cs="Arial"/>
            <w:i/>
            <w:iCs/>
          </w:rPr>
          <w:t>Purchasing power parity</w:t>
        </w:r>
        <w:r w:rsidRPr="00F81A4D">
          <w:rPr>
            <w:rStyle w:val="Hyperlink"/>
            <w:rFonts w:eastAsia="Arial" w:cs="Arial"/>
            <w:i/>
            <w:iCs/>
          </w:rPr>
          <w:t>) per capita</w:t>
        </w:r>
      </w:hyperlink>
      <w:r w:rsidRPr="005C7892">
        <w:rPr>
          <w:rFonts w:cs="Arial"/>
        </w:rPr>
        <w:t xml:space="preserve"> USD 6341 for Africa, USD 18046 for Asia and Oceania and USD19506 for Latin America in 2023 IMF statistics.</w:t>
      </w:r>
    </w:p>
  </w:footnote>
  <w:footnote w:id="9">
    <w:p w14:paraId="37733BFB" w14:textId="7CA54FC5" w:rsidR="00297B79" w:rsidRPr="00DC2854" w:rsidRDefault="00297B79" w:rsidP="00DC2854">
      <w:pPr>
        <w:pStyle w:val="FootnoteText"/>
        <w:spacing w:before="0" w:after="0"/>
        <w:jc w:val="left"/>
        <w:rPr>
          <w:rFonts w:cs="Arial"/>
        </w:rPr>
      </w:pPr>
      <w:r w:rsidRPr="00DC2854">
        <w:rPr>
          <w:rStyle w:val="FootnoteReference"/>
          <w:rFonts w:cs="Arial"/>
        </w:rPr>
        <w:footnoteRef/>
      </w:r>
      <w:r w:rsidRPr="00DC2854">
        <w:rPr>
          <w:rFonts w:cs="Arial"/>
        </w:rPr>
        <w:t xml:space="preserve"> </w:t>
      </w:r>
      <w:hyperlink r:id="rId3">
        <w:r w:rsidRPr="00DC2854">
          <w:rPr>
            <w:rStyle w:val="Hyperlink"/>
            <w:rFonts w:eastAsia="Arial" w:cs="Arial"/>
            <w:color w:val="954F72"/>
          </w:rPr>
          <w:t>https://au-afrec.org/energy-transition-programme</w:t>
        </w:r>
      </w:hyperlink>
    </w:p>
  </w:footnote>
  <w:footnote w:id="10">
    <w:p w14:paraId="37BFBB0F" w14:textId="1632BEBE" w:rsidR="00F0603A" w:rsidRPr="00A5313D" w:rsidRDefault="00F0603A">
      <w:pPr>
        <w:pStyle w:val="FootnoteText"/>
      </w:pPr>
      <w:r>
        <w:rPr>
          <w:rStyle w:val="FootnoteReference"/>
        </w:rPr>
        <w:footnoteRef/>
      </w:r>
      <w:r>
        <w:t xml:space="preserve"> </w:t>
      </w:r>
      <w:r w:rsidRPr="00F0603A">
        <w:t>https://unctad.org/publication/commodities-glance-special-issue-access-energy-sub-saharan-africa</w:t>
      </w:r>
    </w:p>
  </w:footnote>
  <w:footnote w:id="11">
    <w:p w14:paraId="4B61AEFD" w14:textId="73706C60" w:rsidR="0044500B" w:rsidRPr="00A5313D" w:rsidRDefault="0044500B">
      <w:pPr>
        <w:pStyle w:val="FootnoteText"/>
      </w:pPr>
      <w:r>
        <w:rPr>
          <w:rStyle w:val="FootnoteReference"/>
        </w:rPr>
        <w:footnoteRef/>
      </w:r>
      <w:r w:rsidRPr="00A5313D">
        <w:t xml:space="preserve"> </w:t>
      </w:r>
      <w:r w:rsidRPr="0044500B">
        <w:t>https</w:t>
      </w:r>
      <w:r w:rsidRPr="00A5313D">
        <w:t>://</w:t>
      </w:r>
      <w:r w:rsidRPr="0044500B">
        <w:t>www</w:t>
      </w:r>
      <w:r w:rsidRPr="00A5313D">
        <w:t>.</w:t>
      </w:r>
      <w:r w:rsidRPr="0044500B">
        <w:t>afdb</w:t>
      </w:r>
      <w:r w:rsidRPr="00A5313D">
        <w:t>.</w:t>
      </w:r>
      <w:r w:rsidRPr="0044500B">
        <w:t>org</w:t>
      </w:r>
      <w:r w:rsidRPr="00A5313D">
        <w:t>/</w:t>
      </w:r>
      <w:r w:rsidRPr="0044500B">
        <w:t>en</w:t>
      </w:r>
      <w:r w:rsidRPr="00A5313D">
        <w:t>/</w:t>
      </w:r>
      <w:r w:rsidRPr="0044500B">
        <w:t>news</w:t>
      </w:r>
      <w:r w:rsidRPr="00A5313D">
        <w:t>-</w:t>
      </w:r>
      <w:r w:rsidRPr="0044500B">
        <w:t>and</w:t>
      </w:r>
      <w:r w:rsidRPr="00A5313D">
        <w:t>-</w:t>
      </w:r>
      <w:r w:rsidRPr="0044500B">
        <w:t>events</w:t>
      </w:r>
      <w:r w:rsidRPr="00A5313D">
        <w:t>/</w:t>
      </w:r>
      <w:r w:rsidRPr="0044500B">
        <w:t>press</w:t>
      </w:r>
      <w:r w:rsidRPr="00A5313D">
        <w:t>-</w:t>
      </w:r>
      <w:r w:rsidRPr="0044500B">
        <w:t>releases</w:t>
      </w:r>
      <w:r w:rsidRPr="00A5313D">
        <w:t>/</w:t>
      </w:r>
      <w:r w:rsidRPr="0044500B">
        <w:t>cop</w:t>
      </w:r>
      <w:r w:rsidRPr="00A5313D">
        <w:t>29-</w:t>
      </w:r>
      <w:r w:rsidRPr="0044500B">
        <w:t>lack</w:t>
      </w:r>
      <w:r w:rsidRPr="00A5313D">
        <w:t>-</w:t>
      </w:r>
      <w:r w:rsidRPr="0044500B">
        <w:t>clean</w:t>
      </w:r>
      <w:r w:rsidRPr="00A5313D">
        <w:t>-</w:t>
      </w:r>
      <w:r w:rsidRPr="0044500B">
        <w:t>cooking</w:t>
      </w:r>
      <w:r w:rsidRPr="00A5313D">
        <w:t>-</w:t>
      </w:r>
      <w:r w:rsidRPr="0044500B">
        <w:t>access</w:t>
      </w:r>
      <w:r w:rsidRPr="00A5313D">
        <w:t>-</w:t>
      </w:r>
      <w:r w:rsidRPr="0044500B">
        <w:t>poses</w:t>
      </w:r>
      <w:r w:rsidRPr="00A5313D">
        <w:t>-</w:t>
      </w:r>
      <w:r w:rsidRPr="0044500B">
        <w:t>deadly</w:t>
      </w:r>
      <w:r w:rsidRPr="00A5313D">
        <w:t>-</w:t>
      </w:r>
      <w:r w:rsidRPr="0044500B">
        <w:t>risks</w:t>
      </w:r>
      <w:r w:rsidRPr="00A5313D">
        <w:t>-</w:t>
      </w:r>
      <w:r w:rsidRPr="0044500B">
        <w:t>millions</w:t>
      </w:r>
      <w:r w:rsidRPr="00A5313D">
        <w:t>-</w:t>
      </w:r>
      <w:r w:rsidRPr="0044500B">
        <w:t>africa</w:t>
      </w:r>
      <w:r w:rsidRPr="00A5313D">
        <w:t>-</w:t>
      </w:r>
      <w:r w:rsidRPr="0044500B">
        <w:t>leaders</w:t>
      </w:r>
      <w:r w:rsidRPr="00A5313D">
        <w:t>-</w:t>
      </w:r>
      <w:r w:rsidRPr="0044500B">
        <w:t>urge</w:t>
      </w:r>
      <w:r w:rsidRPr="00A5313D">
        <w:t>-</w:t>
      </w:r>
      <w:r w:rsidRPr="0044500B">
        <w:t>action</w:t>
      </w:r>
      <w:r w:rsidRPr="00A5313D">
        <w:t>-78534</w:t>
      </w:r>
    </w:p>
  </w:footnote>
  <w:footnote w:id="12">
    <w:p w14:paraId="7ACC6B9A" w14:textId="698EBE0D" w:rsidR="00825CEC" w:rsidRPr="00A5313D" w:rsidRDefault="00825CEC">
      <w:pPr>
        <w:pStyle w:val="FootnoteText"/>
      </w:pPr>
      <w:r>
        <w:rPr>
          <w:rStyle w:val="FootnoteReference"/>
        </w:rPr>
        <w:footnoteRef/>
      </w:r>
      <w:r w:rsidRPr="00A5313D">
        <w:t xml:space="preserve"> </w:t>
      </w:r>
      <w:r w:rsidRPr="00825CEC">
        <w:t>https</w:t>
      </w:r>
      <w:r w:rsidRPr="00A5313D">
        <w:t>://</w:t>
      </w:r>
      <w:r w:rsidRPr="00825CEC">
        <w:t>ourworldindata</w:t>
      </w:r>
      <w:r w:rsidRPr="00A5313D">
        <w:t>.</w:t>
      </w:r>
      <w:r w:rsidRPr="00825CEC">
        <w:t>org</w:t>
      </w:r>
      <w:r w:rsidRPr="00A5313D">
        <w:t>/</w:t>
      </w:r>
      <w:r w:rsidRPr="00825CEC">
        <w:t>co</w:t>
      </w:r>
      <w:r w:rsidRPr="00A5313D">
        <w:t>2-</w:t>
      </w:r>
      <w:r w:rsidRPr="00825CEC">
        <w:t>and</w:t>
      </w:r>
      <w:r w:rsidRPr="00A5313D">
        <w:t>-</w:t>
      </w:r>
      <w:r w:rsidRPr="00825CEC">
        <w:t>greenhouse</w:t>
      </w:r>
      <w:r w:rsidRPr="00A5313D">
        <w:t>-</w:t>
      </w:r>
      <w:r w:rsidRPr="00825CEC">
        <w:t>gas</w:t>
      </w:r>
      <w:r w:rsidRPr="00A5313D">
        <w:t>-</w:t>
      </w:r>
      <w:r w:rsidRPr="00825CEC">
        <w:t>emissions</w:t>
      </w:r>
    </w:p>
  </w:footnote>
  <w:footnote w:id="13">
    <w:p w14:paraId="21F0DF75" w14:textId="77777777" w:rsidR="003158DD" w:rsidRPr="00EE3B53" w:rsidRDefault="003158DD" w:rsidP="009E395B">
      <w:pPr>
        <w:pStyle w:val="FootnoteText"/>
        <w:spacing w:before="0" w:after="0" w:line="240" w:lineRule="auto"/>
        <w:rPr>
          <w:lang w:val="en-US"/>
        </w:rPr>
      </w:pPr>
      <w:r>
        <w:rPr>
          <w:rStyle w:val="FootnoteReference"/>
        </w:rPr>
        <w:footnoteRef/>
      </w:r>
      <w:r>
        <w:t xml:space="preserve"> </w:t>
      </w:r>
      <w:r w:rsidRPr="00EE3B53">
        <w:rPr>
          <w:rFonts w:cs="Arial"/>
          <w:color w:val="53575A" w:themeColor="accent1"/>
        </w:rPr>
        <w:t>To ensure consistency 2021 is used as a base year since it is the latest year for which complete statistical information is available across the continent</w:t>
      </w:r>
      <w:r>
        <w:rPr>
          <w:rFonts w:cs="Arial"/>
          <w:color w:val="53575A" w:themeColor="accent1"/>
        </w:rPr>
        <w:t>.</w:t>
      </w:r>
    </w:p>
  </w:footnote>
  <w:footnote w:id="14">
    <w:p w14:paraId="791CDF55" w14:textId="77777777" w:rsidR="00681B5D" w:rsidRDefault="00681B5D" w:rsidP="009E395B">
      <w:pPr>
        <w:spacing w:before="0" w:after="0" w:line="240" w:lineRule="auto"/>
        <w:rPr>
          <w:rFonts w:eastAsia="Arial" w:cs="Arial"/>
          <w:sz w:val="16"/>
          <w:szCs w:val="16"/>
        </w:rPr>
      </w:pPr>
      <w:r>
        <w:rPr>
          <w:rStyle w:val="FootnoteReference"/>
          <w:rFonts w:cs="Arial"/>
          <w:sz w:val="16"/>
          <w:szCs w:val="16"/>
        </w:rPr>
        <w:footnoteRef/>
      </w:r>
      <w:r>
        <w:rPr>
          <w:rFonts w:cs="Arial"/>
          <w:sz w:val="16"/>
          <w:szCs w:val="16"/>
        </w:rPr>
        <w:t xml:space="preserve"> Derived from </w:t>
      </w:r>
      <w:r>
        <w:rPr>
          <w:rFonts w:eastAsia="Arial" w:cs="Arial"/>
          <w:sz w:val="16"/>
          <w:szCs w:val="16"/>
        </w:rPr>
        <w:t>AfREC Key Africa Energy Statistics 2023</w:t>
      </w:r>
    </w:p>
  </w:footnote>
  <w:footnote w:id="15">
    <w:p w14:paraId="09AD75BD" w14:textId="77777777" w:rsidR="009E395B" w:rsidRDefault="009E395B" w:rsidP="009E395B">
      <w:pPr>
        <w:pStyle w:val="FootnoteText"/>
        <w:spacing w:before="0" w:after="0" w:line="240" w:lineRule="auto"/>
        <w:jc w:val="left"/>
        <w:rPr>
          <w:rFonts w:cs="Arial"/>
          <w:color w:val="53575A" w:themeColor="accent1"/>
        </w:rPr>
      </w:pPr>
      <w:r>
        <w:rPr>
          <w:rFonts w:cs="Arial"/>
          <w:color w:val="53575A" w:themeColor="accent1"/>
          <w:vertAlign w:val="superscript"/>
        </w:rPr>
        <w:footnoteRef/>
      </w:r>
      <w:r>
        <w:rPr>
          <w:rFonts w:cs="Arial"/>
          <w:color w:val="53575A" w:themeColor="accent1"/>
          <w:vertAlign w:val="superscript"/>
        </w:rPr>
        <w:t xml:space="preserve"> </w:t>
      </w:r>
      <w:hyperlink r:id="rId4" w:history="1">
        <w:r>
          <w:rPr>
            <w:rStyle w:val="Hyperlink"/>
            <w:rFonts w:eastAsia="Arial" w:cs="Arial"/>
            <w:color w:val="53575A" w:themeColor="accent1"/>
          </w:rPr>
          <w:t>https://african.business/2023/05/energy-resources/africas-race-for-transmission-investment</w:t>
        </w:r>
      </w:hyperlink>
    </w:p>
  </w:footnote>
  <w:footnote w:id="16">
    <w:p w14:paraId="6CDA8F80" w14:textId="22636C8E" w:rsidR="003D6732" w:rsidRPr="0098698D" w:rsidRDefault="003D6732" w:rsidP="009869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left"/>
        <w:rPr>
          <w:lang w:val="en-US"/>
        </w:rPr>
      </w:pPr>
      <w:r>
        <w:rPr>
          <w:rStyle w:val="FootnoteReference"/>
        </w:rPr>
        <w:footnoteRef/>
      </w:r>
      <w:r>
        <w:t xml:space="preserve"> </w:t>
      </w:r>
      <w:r w:rsidRPr="0098698D">
        <w:rPr>
          <w:rFonts w:cs="Arial"/>
          <w:color w:val="808080" w:themeColor="background2" w:themeShade="80"/>
          <w:sz w:val="16"/>
          <w:szCs w:val="16"/>
          <w:lang w:val="en-US"/>
        </w:rPr>
        <w:t>World Bank. 2024b. “World Bank Global Electrification Database.” Washington, DC: World Bank. https://electrifynow.energydata.info/.</w:t>
      </w:r>
    </w:p>
  </w:footnote>
  <w:footnote w:id="17">
    <w:p w14:paraId="1E8AFDAE" w14:textId="70616B61" w:rsidR="00A93521" w:rsidRPr="00BC0340" w:rsidRDefault="00A93521" w:rsidP="00A93521">
      <w:pPr>
        <w:pStyle w:val="FootnoteText"/>
        <w:spacing w:after="0"/>
        <w:jc w:val="left"/>
        <w:rPr>
          <w:rFonts w:cs="Arial"/>
          <w:lang w:val="en-US"/>
        </w:rPr>
      </w:pPr>
      <w:r>
        <w:rPr>
          <w:rStyle w:val="FootnoteReference"/>
          <w:rFonts w:cs="Arial"/>
        </w:rPr>
        <w:footnoteRef/>
      </w:r>
      <w:r w:rsidR="003D0549" w:rsidRPr="00A5313D">
        <w:rPr>
          <w:rFonts w:cs="Arial"/>
          <w:lang w:val="en-US"/>
        </w:rPr>
        <w:t xml:space="preserve"> </w:t>
      </w:r>
      <w:r w:rsidR="003D0549">
        <w:rPr>
          <w:rFonts w:cs="Arial"/>
          <w:lang w:val="en-US"/>
        </w:rPr>
        <w:t xml:space="preserve">AFREC, </w:t>
      </w:r>
      <w:r w:rsidR="003D0549" w:rsidRPr="003D0549">
        <w:rPr>
          <w:rFonts w:cs="Arial"/>
          <w:lang w:val="en-US"/>
        </w:rPr>
        <w:t>Energy Balance and Indicators 2022</w:t>
      </w:r>
      <w:r w:rsidR="003D0549">
        <w:rPr>
          <w:rFonts w:cs="Arial"/>
          <w:lang w:val="en-US"/>
        </w:rPr>
        <w:t>, 2023</w:t>
      </w:r>
    </w:p>
  </w:footnote>
  <w:footnote w:id="18">
    <w:p w14:paraId="1AF8B7FC" w14:textId="77777777" w:rsidR="007D4C1D" w:rsidRPr="00BC0340" w:rsidRDefault="007D4C1D" w:rsidP="007D4C1D">
      <w:pPr>
        <w:pStyle w:val="FootnoteText"/>
        <w:rPr>
          <w:lang w:val="en-US"/>
        </w:rPr>
      </w:pPr>
      <w:r>
        <w:rPr>
          <w:rStyle w:val="FootnoteReference"/>
        </w:rPr>
        <w:footnoteRef/>
      </w:r>
      <w:r>
        <w:t xml:space="preserve"> </w:t>
      </w:r>
      <w:r>
        <w:rPr>
          <w:lang w:val="en-US"/>
        </w:rPr>
        <w:t xml:space="preserve">IRENA. </w:t>
      </w:r>
      <w:r w:rsidRPr="005852FE">
        <w:rPr>
          <w:lang w:val="en-US"/>
        </w:rPr>
        <w:t xml:space="preserve">Renewable Power Generation Costs </w:t>
      </w:r>
      <w:r>
        <w:rPr>
          <w:lang w:val="en-US"/>
        </w:rPr>
        <w:t>i</w:t>
      </w:r>
      <w:r w:rsidRPr="005852FE">
        <w:rPr>
          <w:lang w:val="en-US"/>
        </w:rPr>
        <w:t>n 202</w:t>
      </w:r>
      <w:r>
        <w:rPr>
          <w:lang w:val="en-US"/>
        </w:rPr>
        <w:t>3, 2024</w:t>
      </w:r>
    </w:p>
  </w:footnote>
  <w:footnote w:id="19">
    <w:p w14:paraId="33FF2B03" w14:textId="77777777" w:rsidR="003E3373" w:rsidRDefault="003E3373" w:rsidP="003E3373">
      <w:pPr>
        <w:pStyle w:val="FootnoteText"/>
        <w:spacing w:before="0" w:after="0"/>
        <w:jc w:val="left"/>
        <w:rPr>
          <w:rFonts w:cs="Arial"/>
        </w:rPr>
      </w:pPr>
      <w:r>
        <w:rPr>
          <w:rStyle w:val="FootnoteReference"/>
          <w:rFonts w:cs="Arial"/>
        </w:rPr>
        <w:footnoteRef/>
      </w:r>
      <w:r>
        <w:rPr>
          <w:rFonts w:cs="Arial"/>
        </w:rPr>
        <w:t xml:space="preserve"> https://www.afdb-org.kr/wp-content/uploads/2022/12/africa_industrialisation_index_2022_en-web.pdf</w:t>
      </w:r>
    </w:p>
  </w:footnote>
  <w:footnote w:id="20">
    <w:p w14:paraId="554235CA" w14:textId="77777777" w:rsidR="00084A96" w:rsidRPr="00084A96" w:rsidRDefault="00084A96" w:rsidP="0098698D">
      <w:pPr>
        <w:pStyle w:val="FootnoteText"/>
        <w:spacing w:after="0"/>
        <w:jc w:val="left"/>
      </w:pPr>
      <w:r>
        <w:rPr>
          <w:rStyle w:val="FootnoteReference"/>
        </w:rPr>
        <w:footnoteRef/>
      </w:r>
      <w:r>
        <w:t xml:space="preserve"> </w:t>
      </w:r>
      <w:r w:rsidRPr="00956995">
        <w:rPr>
          <w:rFonts w:cs="Arial"/>
        </w:rPr>
        <w:t>IEA global energy review 2021.</w:t>
      </w:r>
    </w:p>
    <w:p w14:paraId="250638A0" w14:textId="68166889" w:rsidR="00084A96" w:rsidRPr="0098698D" w:rsidRDefault="00084A96">
      <w:pPr>
        <w:pStyle w:val="FootnoteText"/>
        <w:rPr>
          <w:lang w:val="en-US"/>
        </w:rPr>
      </w:pPr>
    </w:p>
  </w:footnote>
  <w:footnote w:id="21">
    <w:p w14:paraId="40D458A7" w14:textId="77777777" w:rsidR="002D60E5" w:rsidRPr="00F14C16" w:rsidRDefault="002D60E5" w:rsidP="002D60E5">
      <w:pPr>
        <w:pStyle w:val="FootnoteText"/>
        <w:spacing w:after="0"/>
        <w:jc w:val="left"/>
        <w:rPr>
          <w:rFonts w:cs="Arial"/>
        </w:rPr>
      </w:pPr>
      <w:r w:rsidRPr="00CB3AE6">
        <w:rPr>
          <w:rStyle w:val="FootnoteReference"/>
          <w:rFonts w:cs="Arial"/>
        </w:rPr>
        <w:footnoteRef/>
      </w:r>
      <w:r w:rsidRPr="00F14C16">
        <w:rPr>
          <w:rFonts w:cs="Arial"/>
        </w:rPr>
        <w:t xml:space="preserve"> https://www.fchea.org/hydrogen-in-industrial-applications</w:t>
      </w:r>
    </w:p>
  </w:footnote>
  <w:footnote w:id="22">
    <w:p w14:paraId="2D59CF98" w14:textId="77777777" w:rsidR="002D60E5" w:rsidRPr="00F14C16" w:rsidRDefault="002D60E5" w:rsidP="002D60E5">
      <w:pPr>
        <w:pStyle w:val="FootnoteText"/>
        <w:spacing w:after="0"/>
        <w:jc w:val="left"/>
        <w:rPr>
          <w:rFonts w:cs="Arial"/>
        </w:rPr>
      </w:pPr>
      <w:r w:rsidRPr="00CB3AE6">
        <w:rPr>
          <w:rStyle w:val="FootnoteReference"/>
          <w:rFonts w:cs="Arial"/>
        </w:rPr>
        <w:footnoteRef/>
      </w:r>
      <w:r w:rsidRPr="00F14C16">
        <w:rPr>
          <w:rFonts w:cs="Arial"/>
        </w:rPr>
        <w:t xml:space="preserve"> https://link.springer.com/chapter/10.1007/978-3-030-41979-0_6</w:t>
      </w:r>
    </w:p>
  </w:footnote>
  <w:footnote w:id="23">
    <w:p w14:paraId="36D013BF" w14:textId="77777777" w:rsidR="00C87E79" w:rsidRPr="00335D1A" w:rsidRDefault="00C87E79" w:rsidP="00C87E79">
      <w:pPr>
        <w:pStyle w:val="FootnoteText"/>
        <w:spacing w:before="0" w:after="0" w:line="240" w:lineRule="auto"/>
        <w:rPr>
          <w:rFonts w:cs="Arial"/>
          <w:color w:val="53575A" w:themeColor="accent1"/>
        </w:rPr>
      </w:pPr>
      <w:r w:rsidRPr="00335D1A">
        <w:rPr>
          <w:rStyle w:val="FootnoteReference"/>
          <w:rFonts w:cs="Arial"/>
          <w:color w:val="53575A" w:themeColor="accent1"/>
        </w:rPr>
        <w:footnoteRef/>
      </w:r>
      <w:r w:rsidRPr="00335D1A">
        <w:rPr>
          <w:rFonts w:cs="Arial"/>
          <w:color w:val="53575A" w:themeColor="accent1"/>
        </w:rPr>
        <w:t xml:space="preserve"> </w:t>
      </w:r>
      <w:r w:rsidRPr="00335D1A">
        <w:rPr>
          <w:rFonts w:eastAsia="Aptos" w:cs="Arial"/>
          <w:color w:val="53575A" w:themeColor="accent1"/>
        </w:rPr>
        <w:t>Nationally determined contributions under the Paris Agreement, Synthesis report by the UNFCCC secretariat, Oct. 2022</w:t>
      </w:r>
    </w:p>
  </w:footnote>
  <w:footnote w:id="24">
    <w:p w14:paraId="6792694A" w14:textId="77777777" w:rsidR="00C87E79" w:rsidRPr="00335D1A" w:rsidRDefault="00C87E79" w:rsidP="00C87E79">
      <w:pPr>
        <w:spacing w:before="0" w:after="0" w:line="240" w:lineRule="auto"/>
        <w:rPr>
          <w:rFonts w:eastAsia="Aptos" w:cs="Arial"/>
          <w:sz w:val="16"/>
          <w:szCs w:val="16"/>
        </w:rPr>
      </w:pPr>
      <w:r w:rsidRPr="00335D1A">
        <w:rPr>
          <w:rStyle w:val="FootnoteReference"/>
          <w:rFonts w:cs="Arial"/>
          <w:sz w:val="16"/>
          <w:szCs w:val="16"/>
        </w:rPr>
        <w:footnoteRef/>
      </w:r>
      <w:r w:rsidRPr="00335D1A">
        <w:rPr>
          <w:rFonts w:cs="Arial"/>
          <w:sz w:val="16"/>
          <w:szCs w:val="16"/>
        </w:rPr>
        <w:t xml:space="preserve"> </w:t>
      </w:r>
      <w:r w:rsidRPr="00335D1A">
        <w:rPr>
          <w:rFonts w:eastAsia="Aptos" w:cs="Arial"/>
          <w:sz w:val="16"/>
          <w:szCs w:val="16"/>
        </w:rPr>
        <w:t>Infographics PBL NDC Tool March 2024, Published March 26, 2024 ((https://zenodo.org/records/10875617)</w:t>
      </w:r>
    </w:p>
  </w:footnote>
  <w:footnote w:id="25">
    <w:p w14:paraId="76DE3317" w14:textId="1CCEC463" w:rsidR="00C87E79" w:rsidRPr="00E700E1" w:rsidRDefault="00C87E79" w:rsidP="00C87E79">
      <w:pPr>
        <w:pStyle w:val="FootnoteText"/>
        <w:spacing w:before="0" w:after="0" w:line="240" w:lineRule="auto"/>
      </w:pPr>
      <w:r w:rsidRPr="00335D1A">
        <w:rPr>
          <w:rStyle w:val="FootnoteReference"/>
          <w:rFonts w:cs="Arial"/>
          <w:color w:val="53575A" w:themeColor="accent1"/>
        </w:rPr>
        <w:footnoteRef/>
      </w:r>
      <w:r w:rsidRPr="00335D1A">
        <w:rPr>
          <w:rFonts w:cs="Arial"/>
          <w:color w:val="53575A" w:themeColor="accent1"/>
        </w:rPr>
        <w:t xml:space="preserve"> </w:t>
      </w:r>
      <w:r w:rsidR="00D53C33" w:rsidRPr="00107120">
        <w:rPr>
          <w:rFonts w:eastAsia="Aptos" w:cs="Arial"/>
          <w:color w:val="53575A" w:themeColor="accent1"/>
        </w:rPr>
        <w:t>AfDB</w:t>
      </w:r>
      <w:r w:rsidR="00D53C33">
        <w:rPr>
          <w:rFonts w:eastAsia="Aptos" w:cs="Arial"/>
          <w:color w:val="53575A" w:themeColor="accent1"/>
        </w:rPr>
        <w:t>,</w:t>
      </w:r>
      <w:r w:rsidR="00D53C33" w:rsidRPr="00107120">
        <w:rPr>
          <w:rFonts w:eastAsia="Aptos" w:cs="Arial"/>
          <w:color w:val="53575A" w:themeColor="accent1"/>
        </w:rPr>
        <w:t xml:space="preserve"> </w:t>
      </w:r>
      <w:r w:rsidRPr="00107120">
        <w:rPr>
          <w:rFonts w:eastAsia="Aptos" w:cs="Arial"/>
          <w:color w:val="53575A" w:themeColor="accent1"/>
        </w:rPr>
        <w:t>Gap Analysis Report: African NDCs, 2018</w:t>
      </w:r>
    </w:p>
  </w:footnote>
  <w:footnote w:id="26">
    <w:p w14:paraId="455AF92F" w14:textId="7D75CC73" w:rsidR="00C87E79" w:rsidRPr="00BC0340" w:rsidRDefault="00C87E79" w:rsidP="00C87E79">
      <w:pPr>
        <w:pStyle w:val="FootnoteText"/>
        <w:rPr>
          <w:rFonts w:eastAsia="Aptos" w:cs="Arial"/>
          <w:color w:val="000000"/>
        </w:rPr>
      </w:pPr>
      <w:r w:rsidRPr="00BC0340">
        <w:rPr>
          <w:rStyle w:val="FootnoteReference"/>
          <w:rFonts w:cs="Arial"/>
          <w:color w:val="53575A" w:themeColor="accent1"/>
        </w:rPr>
        <w:footnoteRef/>
      </w:r>
      <w:r w:rsidRPr="00BC0340">
        <w:rPr>
          <w:rFonts w:cs="Arial"/>
          <w:color w:val="53575A" w:themeColor="accent1"/>
        </w:rPr>
        <w:t xml:space="preserve"> </w:t>
      </w:r>
      <w:r w:rsidRPr="00BC0340">
        <w:rPr>
          <w:rFonts w:eastAsia="Aptos" w:cs="Arial"/>
          <w:color w:val="53575A" w:themeColor="accent1"/>
        </w:rPr>
        <w:t>Table 5 is a summary of the detailed table presented in Annex 4 of the Stocktaking Report</w:t>
      </w:r>
      <w:r w:rsidR="00120907" w:rsidRPr="00BC0340">
        <w:rPr>
          <w:rFonts w:eastAsia="Aptos" w:cs="Arial"/>
          <w:color w:val="53575A" w:themeColor="accent1"/>
        </w:rPr>
        <w:t xml:space="preserve"> (See Annex </w:t>
      </w:r>
      <w:r w:rsidR="00120907" w:rsidRPr="00BC0340">
        <w:rPr>
          <w:rFonts w:eastAsia="Aptos" w:cs="Arial"/>
          <w:color w:val="53575A" w:themeColor="accent1"/>
        </w:rPr>
        <w:fldChar w:fldCharType="begin"/>
      </w:r>
      <w:r w:rsidR="00120907" w:rsidRPr="00BC0340">
        <w:rPr>
          <w:rFonts w:eastAsia="Aptos" w:cs="Arial"/>
          <w:color w:val="53575A" w:themeColor="accent1"/>
        </w:rPr>
        <w:instrText xml:space="preserve"> REF _Ref185538336 \r \h </w:instrText>
      </w:r>
      <w:r w:rsidR="00107120" w:rsidRPr="00BC0340">
        <w:rPr>
          <w:rFonts w:eastAsia="Aptos" w:cs="Arial"/>
          <w:color w:val="53575A" w:themeColor="accent1"/>
        </w:rPr>
        <w:instrText xml:space="preserve"> \* MERGEFORMAT </w:instrText>
      </w:r>
      <w:r w:rsidR="00120907" w:rsidRPr="00BC0340">
        <w:rPr>
          <w:rFonts w:eastAsia="Aptos" w:cs="Arial"/>
          <w:color w:val="53575A" w:themeColor="accent1"/>
        </w:rPr>
      </w:r>
      <w:r w:rsidR="00120907" w:rsidRPr="00BC0340">
        <w:rPr>
          <w:rFonts w:eastAsia="Aptos" w:cs="Arial"/>
          <w:color w:val="53575A" w:themeColor="accent1"/>
        </w:rPr>
        <w:fldChar w:fldCharType="separate"/>
      </w:r>
      <w:r w:rsidR="00610F61">
        <w:rPr>
          <w:rFonts w:eastAsia="Aptos" w:cs="Arial"/>
          <w:color w:val="53575A" w:themeColor="accent1"/>
        </w:rPr>
        <w:t>6.2</w:t>
      </w:r>
      <w:r w:rsidR="00120907" w:rsidRPr="00BC0340">
        <w:rPr>
          <w:rFonts w:eastAsia="Aptos" w:cs="Arial"/>
          <w:color w:val="53575A" w:themeColor="accent1"/>
        </w:rPr>
        <w:fldChar w:fldCharType="end"/>
      </w:r>
      <w:r w:rsidR="00120907" w:rsidRPr="00BC0340">
        <w:rPr>
          <w:rFonts w:eastAsia="Aptos" w:cs="Arial"/>
          <w:color w:val="53575A" w:themeColor="accent1"/>
        </w:rPr>
        <w:t>)</w:t>
      </w:r>
      <w:r w:rsidRPr="00BC0340">
        <w:rPr>
          <w:rFonts w:eastAsia="Aptos" w:cs="Arial"/>
          <w:color w:val="53575A" w:themeColor="accent1"/>
        </w:rPr>
        <w:t>.</w:t>
      </w:r>
    </w:p>
  </w:footnote>
  <w:footnote w:id="27">
    <w:p w14:paraId="4E16556B" w14:textId="77777777" w:rsidR="00C87E79" w:rsidRPr="00DC2854" w:rsidRDefault="00C87E79" w:rsidP="00C87E79">
      <w:pPr>
        <w:pStyle w:val="FootnoteText"/>
        <w:spacing w:before="0" w:after="0"/>
        <w:rPr>
          <w:rFonts w:cs="Arial"/>
          <w:lang w:val="en-US"/>
        </w:rPr>
      </w:pPr>
      <w:r w:rsidRPr="00DC2854">
        <w:rPr>
          <w:rStyle w:val="FootnoteReference"/>
          <w:rFonts w:cs="Arial"/>
        </w:rPr>
        <w:footnoteRef/>
      </w:r>
      <w:r w:rsidRPr="00DC2854">
        <w:rPr>
          <w:rFonts w:cs="Arial"/>
        </w:rPr>
        <w:t xml:space="preserve"> </w:t>
      </w:r>
      <w:r w:rsidRPr="00DC2854">
        <w:rPr>
          <w:rFonts w:cs="Arial"/>
          <w:lang w:val="en-US"/>
        </w:rPr>
        <w:t>The Baseline scenario used a reference demand projection, using as key drivers the increase of GDP per capita and electricity consumption per capita (which includes implicitly the increased access to electricity), but assuming that most countries remain in the lower-middle income level with low electricity per capita consumption and electricity access reaches 82% by 2040. Regional interconnections expansion and integration is included according to the existing power pool plans.</w:t>
      </w:r>
    </w:p>
    <w:p w14:paraId="49D7BF70" w14:textId="77777777" w:rsidR="00C87E79" w:rsidRPr="00DC2854" w:rsidRDefault="00C87E79" w:rsidP="00C87E79">
      <w:pPr>
        <w:pStyle w:val="FootnoteText"/>
        <w:spacing w:before="0" w:after="0"/>
        <w:rPr>
          <w:rFonts w:cs="Arial"/>
          <w:lang w:val="en-US"/>
        </w:rPr>
      </w:pPr>
      <w:r w:rsidRPr="00DC2854">
        <w:rPr>
          <w:rFonts w:cs="Arial"/>
          <w:lang w:val="en-US"/>
        </w:rPr>
        <w:t>The Regional scenario considered the medium demand growth projection, assuming full electricity access by 2035 and allowing full regional level integration through the expansion of interconnections within power pools</w:t>
      </w:r>
    </w:p>
    <w:p w14:paraId="74D81628" w14:textId="77777777" w:rsidR="00C87E79" w:rsidRPr="00DC2854" w:rsidRDefault="00C87E79" w:rsidP="00C87E79">
      <w:pPr>
        <w:pStyle w:val="FootnoteText"/>
        <w:spacing w:before="0" w:after="0"/>
        <w:rPr>
          <w:rFonts w:cs="Arial"/>
          <w:lang w:val="en-US"/>
        </w:rPr>
      </w:pPr>
      <w:r w:rsidRPr="00DC2854">
        <w:rPr>
          <w:rFonts w:cs="Arial"/>
          <w:lang w:val="en-US"/>
        </w:rPr>
        <w:t>The Continental scenario considered the medium demand growth projection assuming full electricity access by 2035 and allowing full integration at a continental level through the expansion of interconnections at the level of the continent (i.e., within the power pools and between power pools).</w:t>
      </w:r>
    </w:p>
    <w:p w14:paraId="20D70102" w14:textId="77777777" w:rsidR="00C87E79" w:rsidRPr="00DC2854" w:rsidRDefault="00C87E79" w:rsidP="00C87E79">
      <w:pPr>
        <w:pStyle w:val="FootnoteText"/>
        <w:spacing w:before="0" w:after="0"/>
        <w:rPr>
          <w:rFonts w:cs="Arial"/>
          <w:lang w:val="en-US"/>
        </w:rPr>
      </w:pPr>
    </w:p>
    <w:p w14:paraId="734E6298" w14:textId="77777777" w:rsidR="00C87E79" w:rsidRPr="00DC2854" w:rsidRDefault="00C87E79" w:rsidP="00C87E79">
      <w:pPr>
        <w:pStyle w:val="FootnoteText"/>
        <w:spacing w:before="0" w:after="0"/>
        <w:rPr>
          <w:rFonts w:cs="Arial"/>
          <w:lang w:val="en-US"/>
        </w:rPr>
      </w:pPr>
    </w:p>
  </w:footnote>
  <w:footnote w:id="28">
    <w:p w14:paraId="21295C41" w14:textId="41CE3340" w:rsidR="00C87E79" w:rsidRPr="00D7068D" w:rsidRDefault="00C87E79" w:rsidP="00C87E79">
      <w:pPr>
        <w:pStyle w:val="FootnoteText"/>
      </w:pPr>
      <w:r w:rsidRPr="00107120">
        <w:rPr>
          <w:rStyle w:val="FootnoteReference"/>
          <w:color w:val="53575A" w:themeColor="accent1"/>
        </w:rPr>
        <w:footnoteRef/>
      </w:r>
      <w:r w:rsidRPr="00107120">
        <w:rPr>
          <w:color w:val="53575A" w:themeColor="accent1"/>
        </w:rPr>
        <w:t xml:space="preserve"> The </w:t>
      </w:r>
      <w:r w:rsidR="004C0FA4">
        <w:rPr>
          <w:color w:val="53575A" w:themeColor="accent1"/>
        </w:rPr>
        <w:t>S</w:t>
      </w:r>
      <w:r w:rsidRPr="00107120">
        <w:rPr>
          <w:color w:val="53575A" w:themeColor="accent1"/>
        </w:rPr>
        <w:t xml:space="preserve">TEPS provides an outlook for the development of the energy system based on the latest existing policies, including energy, climate and related industrial policies. The </w:t>
      </w:r>
      <w:r w:rsidR="00F504D0">
        <w:rPr>
          <w:color w:val="53575A" w:themeColor="accent1"/>
        </w:rPr>
        <w:t>APS</w:t>
      </w:r>
      <w:r w:rsidRPr="00107120">
        <w:rPr>
          <w:color w:val="53575A" w:themeColor="accent1"/>
        </w:rPr>
        <w:t xml:space="preserve"> provides an outlook of the future of the energy system if all countries were to meet their announced targets, including the pledges in their latest Nationally Determined Contributions and national and regional net zero emissions pledges, on time and in full.</w:t>
      </w:r>
    </w:p>
  </w:footnote>
  <w:footnote w:id="29">
    <w:p w14:paraId="19AD82E6" w14:textId="14E88E8F" w:rsidR="005A739A" w:rsidRPr="00E678F4" w:rsidRDefault="005A739A">
      <w:pPr>
        <w:pStyle w:val="FootnoteText"/>
        <w:rPr>
          <w:lang w:val="en-US"/>
        </w:rPr>
      </w:pPr>
      <w:r>
        <w:rPr>
          <w:rStyle w:val="FootnoteReference"/>
        </w:rPr>
        <w:footnoteRef/>
      </w:r>
      <w:r>
        <w:t xml:space="preserve"> </w:t>
      </w:r>
      <w:r w:rsidR="004C7FA6" w:rsidRPr="004C7FA6">
        <w:t>https://www.worldbank.org/en/news/feature/2024/09/19/five-ways-the-world-bank-will-achieve-mission-300</w:t>
      </w:r>
    </w:p>
  </w:footnote>
  <w:footnote w:id="30">
    <w:p w14:paraId="6A5578D3" w14:textId="77777777" w:rsidR="00B20027" w:rsidRPr="00DC2854" w:rsidRDefault="00B20027" w:rsidP="00B20027">
      <w:pPr>
        <w:pStyle w:val="FootnoteText"/>
        <w:spacing w:before="0" w:after="0"/>
        <w:rPr>
          <w:rFonts w:cs="Arial"/>
        </w:rPr>
      </w:pPr>
      <w:r w:rsidRPr="00DC2854">
        <w:rPr>
          <w:rStyle w:val="FootnoteReference"/>
          <w:rFonts w:cs="Arial"/>
        </w:rPr>
        <w:footnoteRef/>
      </w:r>
      <w:r w:rsidRPr="00DC2854">
        <w:rPr>
          <w:rFonts w:cs="Arial"/>
        </w:rPr>
        <w:t xml:space="preserve"> General details on financing sources and some opportunities for ET financing are included in D2.</w:t>
      </w:r>
    </w:p>
  </w:footnote>
  <w:footnote w:id="31">
    <w:p w14:paraId="54022B3A" w14:textId="14E90F38" w:rsidR="006E5611" w:rsidRPr="006E5611" w:rsidRDefault="006E5611">
      <w:pPr>
        <w:pStyle w:val="FootnoteText"/>
        <w:rPr>
          <w:lang w:val="en-US"/>
        </w:rPr>
      </w:pPr>
      <w:r>
        <w:rPr>
          <w:rStyle w:val="FootnoteReference"/>
        </w:rPr>
        <w:footnoteRef/>
      </w:r>
      <w:r>
        <w:t xml:space="preserve"> </w:t>
      </w:r>
      <w:r w:rsidRPr="006E5611">
        <w:t>https://cmpmwanga.nepad.org/SSS</w:t>
      </w:r>
    </w:p>
  </w:footnote>
  <w:footnote w:id="32">
    <w:p w14:paraId="1DB2A004" w14:textId="75EC33DB" w:rsidR="00676C84" w:rsidRPr="0098698D" w:rsidRDefault="00676C84">
      <w:pPr>
        <w:pStyle w:val="FootnoteText"/>
        <w:rPr>
          <w:lang w:val="en-US"/>
        </w:rPr>
      </w:pPr>
      <w:r>
        <w:rPr>
          <w:rStyle w:val="FootnoteReference"/>
        </w:rPr>
        <w:footnoteRef/>
      </w:r>
      <w:r>
        <w:t xml:space="preserve"> </w:t>
      </w:r>
      <w:r>
        <w:rPr>
          <w:lang w:val="en-US"/>
        </w:rPr>
        <w:t>Emanating from the Strategic Objectives in Section 3.4</w:t>
      </w:r>
    </w:p>
  </w:footnote>
  <w:footnote w:id="33">
    <w:p w14:paraId="5BA37858" w14:textId="3D2970F1" w:rsidR="00C00487" w:rsidRPr="009A0D6A" w:rsidRDefault="00C00487" w:rsidP="005852FE">
      <w:pPr>
        <w:pStyle w:val="FootnoteText"/>
        <w:rPr>
          <w:color w:val="53575A" w:themeColor="accent1"/>
          <w:lang w:val="en-US"/>
        </w:rPr>
      </w:pPr>
      <w:r w:rsidRPr="009A0D6A">
        <w:rPr>
          <w:rStyle w:val="FootnoteReference"/>
          <w:color w:val="53575A" w:themeColor="accent1"/>
        </w:rPr>
        <w:footnoteRef/>
      </w:r>
      <w:r w:rsidRPr="009A0D6A">
        <w:rPr>
          <w:color w:val="53575A" w:themeColor="accent1"/>
        </w:rPr>
        <w:t xml:space="preserve"> </w:t>
      </w:r>
      <w:r w:rsidRPr="009A0D6A">
        <w:rPr>
          <w:color w:val="53575A" w:themeColor="accent1"/>
          <w:lang w:val="en-US"/>
        </w:rPr>
        <w:t xml:space="preserve">IRENA. </w:t>
      </w:r>
      <w:r w:rsidR="005852FE" w:rsidRPr="009A0D6A">
        <w:rPr>
          <w:color w:val="53575A" w:themeColor="accent1"/>
          <w:lang w:val="en-US"/>
        </w:rPr>
        <w:t xml:space="preserve">Renewable Power Generation Costs in 2023, </w:t>
      </w:r>
      <w:r w:rsidRPr="009A0D6A">
        <w:rPr>
          <w:color w:val="53575A" w:themeColor="accent1"/>
          <w:lang w:val="en-US"/>
        </w:rPr>
        <w:t>2024</w:t>
      </w:r>
    </w:p>
  </w:footnote>
  <w:footnote w:id="34">
    <w:p w14:paraId="49AFA79E" w14:textId="6385A2B4" w:rsidR="00C505FA" w:rsidRPr="009A0D6A" w:rsidRDefault="00C505FA">
      <w:pPr>
        <w:pStyle w:val="FootnoteText"/>
        <w:rPr>
          <w:color w:val="53575A" w:themeColor="accent1"/>
          <w:lang w:val="en-US"/>
        </w:rPr>
      </w:pPr>
      <w:r w:rsidRPr="009A0D6A">
        <w:rPr>
          <w:rStyle w:val="FootnoteReference"/>
          <w:color w:val="53575A" w:themeColor="accent1"/>
        </w:rPr>
        <w:footnoteRef/>
      </w:r>
      <w:r w:rsidRPr="009A0D6A">
        <w:rPr>
          <w:color w:val="53575A" w:themeColor="accent1"/>
        </w:rPr>
        <w:t xml:space="preserve"> </w:t>
      </w:r>
      <w:r w:rsidR="00825BB5" w:rsidRPr="009A0D6A">
        <w:rPr>
          <w:color w:val="53575A" w:themeColor="accent1"/>
        </w:rPr>
        <w:t>This includes both centralized and decentralized generation and storage, transmission, distribution as well as the retail sector</w:t>
      </w:r>
    </w:p>
  </w:footnote>
  <w:footnote w:id="35">
    <w:p w14:paraId="7CBF27D3" w14:textId="77777777" w:rsidR="00251FF1" w:rsidRPr="00DC2854" w:rsidRDefault="00251FF1" w:rsidP="00251FF1">
      <w:pPr>
        <w:pStyle w:val="FootnoteText"/>
        <w:rPr>
          <w:rFonts w:cs="Arial"/>
        </w:rPr>
      </w:pPr>
      <w:r w:rsidRPr="009A0D6A">
        <w:rPr>
          <w:rStyle w:val="FootnoteReference"/>
          <w:rFonts w:cs="Arial"/>
          <w:color w:val="53575A" w:themeColor="accent1"/>
        </w:rPr>
        <w:footnoteRef/>
      </w:r>
      <w:r w:rsidRPr="009A0D6A">
        <w:rPr>
          <w:rFonts w:cs="Arial"/>
          <w:color w:val="53575A" w:themeColor="accent1"/>
        </w:rPr>
        <w:t xml:space="preserve"> Winfield, Mark, Shahab Shokrzadeh, and Adam Jones. "Energy policy regime change and advanced energy storage: A comparative analysis." Energy Policy 115 (2018): 572-583.</w:t>
      </w:r>
    </w:p>
  </w:footnote>
  <w:footnote w:id="36">
    <w:p w14:paraId="00C443A2" w14:textId="3284E455" w:rsidR="0092331F" w:rsidRPr="00E12831" w:rsidRDefault="0092331F" w:rsidP="00E12831">
      <w:pPr>
        <w:rPr>
          <w:sz w:val="16"/>
          <w:szCs w:val="16"/>
        </w:rPr>
      </w:pPr>
      <w:r w:rsidRPr="00E12831">
        <w:rPr>
          <w:rStyle w:val="FootnoteReference"/>
          <w:sz w:val="16"/>
          <w:szCs w:val="16"/>
        </w:rPr>
        <w:footnoteRef/>
      </w:r>
      <w:r w:rsidRPr="00E12831">
        <w:rPr>
          <w:sz w:val="16"/>
          <w:szCs w:val="16"/>
        </w:rPr>
        <w:t xml:space="preserve"> The Continental Strategy to support development and deployment of SAF and other Low Carbon Aviation Fuels (LCAF) in Africa; The revised Abuja Aviation Safety Targets</w:t>
      </w:r>
    </w:p>
  </w:footnote>
  <w:footnote w:id="37">
    <w:p w14:paraId="640FADA4" w14:textId="475D4FF4" w:rsidR="2D8B2CEE" w:rsidRPr="00DC2854" w:rsidRDefault="2D8B2CEE" w:rsidP="00DC2854">
      <w:pPr>
        <w:pStyle w:val="FootnoteText"/>
        <w:spacing w:before="0" w:after="0"/>
        <w:jc w:val="left"/>
        <w:rPr>
          <w:rFonts w:cs="Arial"/>
        </w:rPr>
      </w:pPr>
      <w:r w:rsidRPr="00DC2854">
        <w:rPr>
          <w:rStyle w:val="FootnoteReference"/>
          <w:rFonts w:cs="Arial"/>
        </w:rPr>
        <w:footnoteRef/>
      </w:r>
      <w:r w:rsidRPr="00DC2854">
        <w:rPr>
          <w:rFonts w:cs="Arial"/>
        </w:rPr>
        <w:t xml:space="preserve"> UNEP. 2021. Global status report for buildings and construction. Retrieved from </w:t>
      </w:r>
      <w:hyperlink r:id="rId5">
        <w:r w:rsidRPr="00DC2854">
          <w:rPr>
            <w:rStyle w:val="Hyperlink"/>
            <w:rFonts w:eastAsia="Arial" w:cs="Arial"/>
          </w:rPr>
          <w:t>https://globalabc.org/sites/default/files/2021-10/GABC_Buildings-GSR-2021_BOOK.pdf</w:t>
        </w:r>
      </w:hyperlink>
    </w:p>
  </w:footnote>
  <w:footnote w:id="38">
    <w:p w14:paraId="702A673D" w14:textId="0314A8FA" w:rsidR="00893616" w:rsidRPr="009D1447" w:rsidRDefault="00893616">
      <w:pPr>
        <w:pStyle w:val="FootnoteText"/>
        <w:rPr>
          <w:lang w:val="en-US"/>
        </w:rPr>
      </w:pPr>
      <w:r>
        <w:rPr>
          <w:rStyle w:val="FootnoteReference"/>
        </w:rPr>
        <w:footnoteRef/>
      </w:r>
      <w:r>
        <w:t xml:space="preserve"> </w:t>
      </w:r>
      <w:r w:rsidR="00E83D09" w:rsidRPr="009D1447">
        <w:t>Smart building technology</w:t>
      </w:r>
      <w:r w:rsidR="00E83D09" w:rsidRPr="00E83D09">
        <w:t xml:space="preserve"> integrates IoT sensors, AI, and automation to optimize energy use, security, and comfort. Key systems include smart HVAC, adaptive lighting, occupancy sensors, predictive maintenance, and energy management platforms.</w:t>
      </w:r>
    </w:p>
  </w:footnote>
  <w:footnote w:id="39">
    <w:p w14:paraId="0E242FCA" w14:textId="7472FBE8" w:rsidR="004966F6" w:rsidRPr="0098698D" w:rsidRDefault="004966F6">
      <w:pPr>
        <w:pStyle w:val="FootnoteText"/>
        <w:rPr>
          <w:lang w:val="en-US"/>
        </w:rPr>
      </w:pPr>
      <w:r>
        <w:rPr>
          <w:rStyle w:val="FootnoteReference"/>
        </w:rPr>
        <w:footnoteRef/>
      </w:r>
      <w:r>
        <w:t xml:space="preserve"> </w:t>
      </w:r>
      <w:r w:rsidRPr="004966F6">
        <w:t>https://globalabc.org/news/building-sustainable-future-unlocking-africas-potential-construction-industry</w:t>
      </w:r>
    </w:p>
  </w:footnote>
  <w:footnote w:id="40">
    <w:p w14:paraId="4E2F9DDA" w14:textId="77777777" w:rsidR="00BE032C" w:rsidRDefault="00BE032C" w:rsidP="006D04C5">
      <w:r w:rsidRPr="00FF5AEE">
        <w:rPr>
          <w:sz w:val="16"/>
          <w:szCs w:val="16"/>
          <w:vertAlign w:val="superscript"/>
        </w:rPr>
        <w:footnoteRef/>
      </w:r>
      <w:r>
        <w:t xml:space="preserve"> </w:t>
      </w:r>
      <w:r w:rsidRPr="0D959390">
        <w:rPr>
          <w:rFonts w:eastAsia="Arial" w:cs="Arial"/>
          <w:color w:val="808080" w:themeColor="background2" w:themeShade="80"/>
          <w:sz w:val="16"/>
          <w:szCs w:val="16"/>
        </w:rPr>
        <w:t>In full alignment with the report: EU TAF, Strategy and Roadmap for Establishing a Market for Energy Efficient Appliances in Africa, 2021</w:t>
      </w:r>
    </w:p>
  </w:footnote>
  <w:footnote w:id="41">
    <w:p w14:paraId="58B10A04" w14:textId="58FB70C6" w:rsidR="008B050B" w:rsidRPr="004A0E7E" w:rsidRDefault="008B050B" w:rsidP="008B050B">
      <w:pPr>
        <w:pStyle w:val="FootnoteText"/>
        <w:rPr>
          <w:lang w:val="en-US"/>
        </w:rPr>
      </w:pPr>
      <w:r>
        <w:rPr>
          <w:rStyle w:val="FootnoteReference"/>
        </w:rPr>
        <w:footnoteRef/>
      </w:r>
      <w:r>
        <w:t xml:space="preserve"> </w:t>
      </w:r>
      <w:r>
        <w:rPr>
          <w:lang w:val="en-US"/>
        </w:rPr>
        <w:t xml:space="preserve">Setting up R&amp;D facilities will be </w:t>
      </w:r>
      <w:r w:rsidR="00AE7D1F">
        <w:rPr>
          <w:lang w:val="en-US"/>
        </w:rPr>
        <w:t>additional.</w:t>
      </w:r>
    </w:p>
  </w:footnote>
  <w:footnote w:id="42">
    <w:p w14:paraId="1ADA330B" w14:textId="77777777" w:rsidR="008B050B" w:rsidRPr="00ED76F5" w:rsidRDefault="008B050B" w:rsidP="008B050B">
      <w:pPr>
        <w:pStyle w:val="FootnoteText"/>
        <w:rPr>
          <w:lang w:val="en-US"/>
        </w:rPr>
      </w:pPr>
      <w:r>
        <w:rPr>
          <w:rStyle w:val="FootnoteReference"/>
        </w:rPr>
        <w:footnoteRef/>
      </w:r>
      <w:r>
        <w:t xml:space="preserve"> </w:t>
      </w:r>
      <w:r>
        <w:rPr>
          <w:lang w:val="en-US"/>
        </w:rPr>
        <w:t>Means no short-term Continental Action under that Strategic Intervention</w:t>
      </w:r>
    </w:p>
  </w:footnote>
  <w:footnote w:id="43">
    <w:p w14:paraId="3FE4DC93" w14:textId="611B9D0B" w:rsidR="008B050B" w:rsidRPr="004A0E7E" w:rsidRDefault="008B050B" w:rsidP="008B050B">
      <w:pPr>
        <w:pStyle w:val="FootnoteText"/>
        <w:rPr>
          <w:lang w:val="en-US"/>
        </w:rPr>
      </w:pPr>
      <w:r>
        <w:rPr>
          <w:rStyle w:val="FootnoteReference"/>
        </w:rPr>
        <w:footnoteRef/>
      </w:r>
      <w:r>
        <w:t xml:space="preserve"> </w:t>
      </w:r>
      <w:r>
        <w:rPr>
          <w:lang w:val="en-US"/>
        </w:rPr>
        <w:t xml:space="preserve">Setting up R&amp;D facility will be </w:t>
      </w:r>
      <w:r w:rsidR="00AE7D1F">
        <w:rPr>
          <w:lang w:val="en-US"/>
        </w:rPr>
        <w:t>additional.</w:t>
      </w:r>
    </w:p>
  </w:footnote>
  <w:footnote w:id="44">
    <w:p w14:paraId="49EEDA5B" w14:textId="41DD536E" w:rsidR="008B050B" w:rsidRPr="004A0E7E" w:rsidRDefault="008B050B" w:rsidP="008B050B">
      <w:pPr>
        <w:pStyle w:val="FootnoteText"/>
        <w:rPr>
          <w:lang w:val="en-US"/>
        </w:rPr>
      </w:pPr>
      <w:r>
        <w:rPr>
          <w:rStyle w:val="FootnoteReference"/>
        </w:rPr>
        <w:footnoteRef/>
      </w:r>
      <w:r>
        <w:t xml:space="preserve"> </w:t>
      </w:r>
      <w:r>
        <w:rPr>
          <w:lang w:val="en-US"/>
        </w:rPr>
        <w:t xml:space="preserve">Setting up R&amp;D facilities will be </w:t>
      </w:r>
      <w:r w:rsidR="00AE7D1F">
        <w:rPr>
          <w:lang w:val="en-US"/>
        </w:rPr>
        <w:t>additional.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5F64" w14:textId="797BA83E" w:rsidR="00C7739D" w:rsidRPr="009A0BCE" w:rsidRDefault="00046793" w:rsidP="004E7299">
    <w:pPr>
      <w:pStyle w:val="Header"/>
    </w:pPr>
    <w:r w:rsidRPr="009A0BCE">
      <w:rPr>
        <w:noProof/>
      </w:rPr>
      <mc:AlternateContent>
        <mc:Choice Requires="wps">
          <w:drawing>
            <wp:anchor distT="0" distB="0" distL="114300" distR="114300" simplePos="0" relativeHeight="251658240" behindDoc="0" locked="0" layoutInCell="1" allowOverlap="1" wp14:anchorId="339B7DB5" wp14:editId="5F9527F3">
              <wp:simplePos x="0" y="0"/>
              <wp:positionH relativeFrom="column">
                <wp:posOffset>-887095</wp:posOffset>
              </wp:positionH>
              <wp:positionV relativeFrom="paragraph">
                <wp:posOffset>-225425</wp:posOffset>
              </wp:positionV>
              <wp:extent cx="7506335" cy="570230"/>
              <wp:effectExtent l="0" t="0" r="0" b="0"/>
              <wp:wrapNone/>
              <wp:docPr id="92654133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063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7CA57" w14:textId="77777777" w:rsidR="00BC116D" w:rsidRPr="009A0BCE" w:rsidRDefault="00BC116D" w:rsidP="002422AB">
                          <w:pPr>
                            <w:jc w:val="center"/>
                          </w:pPr>
                          <w:r w:rsidRPr="009A0BCE">
                            <w:t>Design of the African Energy Transition Strategy and Country- level Decarbonization Pathways</w:t>
                          </w:r>
                        </w:p>
                        <w:p w14:paraId="4E56DB08" w14:textId="4EF9F423" w:rsidR="00C7739D" w:rsidRPr="009A0BCE" w:rsidRDefault="00C7739D" w:rsidP="002422AB">
                          <w:pPr>
                            <w:jc w:val="cente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9B7DB5" id="Rectangle 16" o:spid="_x0000_s1027" style="position:absolute;left:0;text-align:left;margin-left:-69.85pt;margin-top:-17.75pt;width:591.05pt;height:4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" filled="f" stroked="f">
              <v:path arrowok="t"/>
              <v:textbox inset="2.53958mm,1.2694mm,2.53958mm,1.2694mm">
                <w:txbxContent>
                  <w:p w14:paraId="6617CA57" w14:textId="77777777" w:rsidR="00BC116D" w:rsidRPr="009A0BCE" w:rsidRDefault="00BC116D" w:rsidP="002422AB">
                    <w:pPr>
                      <w:jc w:val="center"/>
                    </w:pPr>
                    <w:r w:rsidRPr="009A0BCE">
                      <w:t>Design of the African Energy Transition Strategy and Country- level Decarbonization Pathways</w:t>
                    </w:r>
                  </w:p>
                  <w:p w14:paraId="4E56DB08" w14:textId="4EF9F423" w:rsidR="00C7739D" w:rsidRPr="009A0BCE" w:rsidRDefault="00C7739D" w:rsidP="002422AB">
                    <w:pPr>
                      <w:jc w:val="center"/>
                    </w:pPr>
                  </w:p>
                </w:txbxContent>
              </v:textbox>
            </v:rect>
          </w:pict>
        </mc:Fallback>
      </mc:AlternateContent>
    </w:r>
    <w:r w:rsidR="00C7739D" w:rsidRPr="009A0BC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BFD8" w14:textId="5A14EE07" w:rsidR="00C7739D" w:rsidRPr="009A0BCE" w:rsidRDefault="006B748A" w:rsidP="004E7299">
    <w:pPr>
      <w:pStyle w:val="Header"/>
    </w:pPr>
    <w:bookmarkStart w:id="0" w:name="_Hlk176337665"/>
    <w:bookmarkEnd w:id="0"/>
    <w:r w:rsidRPr="007B3BF4">
      <w:rPr>
        <w:noProof/>
        <w:lang w:eastAsia="en-GB"/>
      </w:rPr>
      <w:drawing>
        <wp:anchor distT="0" distB="0" distL="114300" distR="114300" simplePos="0" relativeHeight="251658244" behindDoc="0" locked="0" layoutInCell="1" allowOverlap="1" wp14:anchorId="6FFC67B2" wp14:editId="708691B5">
          <wp:simplePos x="0" y="0"/>
          <wp:positionH relativeFrom="margin">
            <wp:posOffset>4641448</wp:posOffset>
          </wp:positionH>
          <wp:positionV relativeFrom="paragraph">
            <wp:posOffset>-260430</wp:posOffset>
          </wp:positionV>
          <wp:extent cx="1331089" cy="729205"/>
          <wp:effectExtent l="0" t="0" r="2540" b="0"/>
          <wp:wrapNone/>
          <wp:docPr id="461" name="Picture 461"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339903" cy="734033"/>
                  </a:xfrm>
                  <a:prstGeom prst="rect">
                    <a:avLst/>
                  </a:prstGeom>
                  <a:ln/>
                </pic:spPr>
              </pic:pic>
            </a:graphicData>
          </a:graphic>
          <wp14:sizeRelH relativeFrom="page">
            <wp14:pctWidth>0</wp14:pctWidth>
          </wp14:sizeRelH>
          <wp14:sizeRelV relativeFrom="page">
            <wp14:pctHeight>0</wp14:pctHeight>
          </wp14:sizeRelV>
        </wp:anchor>
      </w:drawing>
    </w:r>
    <w:r w:rsidRPr="006B748A">
      <w:rPr>
        <w:noProof/>
      </w:rPr>
      <w:drawing>
        <wp:anchor distT="0" distB="0" distL="114300" distR="114300" simplePos="0" relativeHeight="251658243" behindDoc="0" locked="0" layoutInCell="1" allowOverlap="1" wp14:anchorId="778BE127" wp14:editId="21157BC1">
          <wp:simplePos x="0" y="0"/>
          <wp:positionH relativeFrom="column">
            <wp:posOffset>-572946</wp:posOffset>
          </wp:positionH>
          <wp:positionV relativeFrom="paragraph">
            <wp:posOffset>-196866</wp:posOffset>
          </wp:positionV>
          <wp:extent cx="3026410" cy="695325"/>
          <wp:effectExtent l="0" t="0" r="2540" b="9525"/>
          <wp:wrapThrough wrapText="bothSides">
            <wp:wrapPolygon edited="0">
              <wp:start x="0" y="0"/>
              <wp:lineTo x="0" y="21304"/>
              <wp:lineTo x="21482" y="21304"/>
              <wp:lineTo x="21482" y="0"/>
              <wp:lineTo x="0" y="0"/>
            </wp:wrapPolygon>
          </wp:wrapThrough>
          <wp:docPr id="210593460"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3460" name="Picture 1" descr="A close-up of a paper&#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026410" cy="695325"/>
                  </a:xfrm>
                  <a:prstGeom prst="rect">
                    <a:avLst/>
                  </a:prstGeom>
                </pic:spPr>
              </pic:pic>
            </a:graphicData>
          </a:graphic>
          <wp14:sizeRelH relativeFrom="page">
            <wp14:pctWidth>0</wp14:pctWidth>
          </wp14:sizeRelH>
          <wp14:sizeRelV relativeFrom="page">
            <wp14:pctHeight>0</wp14:pctHeight>
          </wp14:sizeRelV>
        </wp:anchor>
      </w:drawing>
    </w:r>
    <w:r w:rsidR="00046793" w:rsidRPr="009A0BCE">
      <w:rPr>
        <w:noProof/>
      </w:rPr>
      <mc:AlternateContent>
        <mc:Choice Requires="wps">
          <w:drawing>
            <wp:anchor distT="0" distB="0" distL="114300" distR="114300" simplePos="0" relativeHeight="251658241" behindDoc="0" locked="0" layoutInCell="1" allowOverlap="1" wp14:anchorId="25DDA347" wp14:editId="782A7FBF">
              <wp:simplePos x="0" y="0"/>
              <wp:positionH relativeFrom="column">
                <wp:posOffset>1181100</wp:posOffset>
              </wp:positionH>
              <wp:positionV relativeFrom="paragraph">
                <wp:posOffset>-171450</wp:posOffset>
              </wp:positionV>
              <wp:extent cx="5340350" cy="767080"/>
              <wp:effectExtent l="0" t="0" r="0" b="0"/>
              <wp:wrapNone/>
              <wp:docPr id="194386355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0350" cy="76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6CE4" w14:textId="6536F163" w:rsidR="00C7739D" w:rsidRPr="009A0BCE" w:rsidRDefault="00C7739D" w:rsidP="004E7299"/>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DDA347" id="Rectangle 19" o:spid="_x0000_s1028" style="position:absolute;left:0;text-align:left;margin-left:93pt;margin-top:-13.5pt;width:420.5pt;height:6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" filled="f" stroked="f">
              <v:path arrowok="t"/>
              <v:textbox inset="2.53958mm,1.2694mm,2.53958mm,1.2694mm">
                <w:txbxContent>
                  <w:p w14:paraId="01B06CE4" w14:textId="6536F163" w:rsidR="00C7739D" w:rsidRPr="009A0BCE" w:rsidRDefault="00C7739D" w:rsidP="004E7299"/>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4FAC" w14:textId="1C04796E" w:rsidR="00BC116D" w:rsidRPr="009A0BCE" w:rsidRDefault="00046793" w:rsidP="004E7299">
    <w:pPr>
      <w:pStyle w:val="Header"/>
    </w:pPr>
    <w:r w:rsidRPr="009A0BCE">
      <w:rPr>
        <w:noProof/>
      </w:rPr>
      <mc:AlternateContent>
        <mc:Choice Requires="wps">
          <w:drawing>
            <wp:anchor distT="0" distB="0" distL="114300" distR="114300" simplePos="0" relativeHeight="251658242" behindDoc="0" locked="0" layoutInCell="1" allowOverlap="1" wp14:anchorId="7826690A" wp14:editId="1173C6DD">
              <wp:simplePos x="0" y="0"/>
              <wp:positionH relativeFrom="column">
                <wp:posOffset>1675765</wp:posOffset>
              </wp:positionH>
              <wp:positionV relativeFrom="paragraph">
                <wp:posOffset>-47625</wp:posOffset>
              </wp:positionV>
              <wp:extent cx="4161760" cy="389846"/>
              <wp:effectExtent l="0" t="0" r="0" b="0"/>
              <wp:wrapNone/>
              <wp:docPr id="14161305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61760" cy="389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17A2A" w14:textId="25E12E40" w:rsidR="00BC116D" w:rsidRPr="009A0BCE" w:rsidRDefault="00107120" w:rsidP="00867364">
                          <w:pPr>
                            <w:jc w:val="right"/>
                          </w:pPr>
                          <w:r>
                            <w:t xml:space="preserve">AU </w:t>
                          </w:r>
                          <w:r w:rsidR="00E84CC6">
                            <w:t>Energy Transition Strategy and Action Plan</w:t>
                          </w:r>
                        </w:p>
                      </w:txbxContent>
                    </wps:txbx>
                    <wps:bodyPr rot="0" vert="horz" wrap="square" lIns="91425" tIns="45698" rIns="91425" bIns="45698"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7826690A" id="_x0000_s1029" style="position:absolute;left:0;text-align:left;margin-left:131.95pt;margin-top:-3.75pt;width:327.7pt;height:3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" filled="f" stroked="f">
              <v:path arrowok="t"/>
              <v:textbox inset="2.53958mm,1.2694mm,2.53958mm,1.2694mm">
                <w:txbxContent>
                  <w:p w14:paraId="5F217A2A" w14:textId="25E12E40" w:rsidR="00BC116D" w:rsidRPr="009A0BCE" w:rsidRDefault="00107120" w:rsidP="00867364">
                    <w:pPr>
                      <w:jc w:val="right"/>
                    </w:pPr>
                    <w:r>
                      <w:t xml:space="preserve">AU </w:t>
                    </w:r>
                    <w:r w:rsidR="00E84CC6">
                      <w:t>Energy Transition Strategy and Action Plan</w:t>
                    </w:r>
                  </w:p>
                </w:txbxContent>
              </v:textbox>
            </v:rect>
          </w:pict>
        </mc:Fallback>
      </mc:AlternateContent>
    </w:r>
    <w:r w:rsidR="00BC116D" w:rsidRPr="009A0BCE">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FBA7" w14:textId="55882D37" w:rsidR="00C7739D" w:rsidRPr="009A0BCE" w:rsidRDefault="00107120" w:rsidP="0098698D">
    <w:pPr>
      <w:pStyle w:val="Header"/>
      <w:jc w:val="center"/>
    </w:pPr>
    <w:r w:rsidRPr="009A0BCE">
      <w:rPr>
        <w:noProof/>
      </w:rPr>
      <mc:AlternateContent>
        <mc:Choice Requires="wps">
          <w:drawing>
            <wp:anchor distT="0" distB="0" distL="114300" distR="114300" simplePos="0" relativeHeight="251660292" behindDoc="0" locked="0" layoutInCell="1" allowOverlap="1" wp14:anchorId="643B88F2" wp14:editId="5B019051">
              <wp:simplePos x="0" y="0"/>
              <wp:positionH relativeFrom="column">
                <wp:posOffset>0</wp:posOffset>
              </wp:positionH>
              <wp:positionV relativeFrom="paragraph">
                <wp:posOffset>0</wp:posOffset>
              </wp:positionV>
              <wp:extent cx="9258270" cy="389846"/>
              <wp:effectExtent l="0" t="0" r="0" b="0"/>
              <wp:wrapNone/>
              <wp:docPr id="19277869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58270" cy="389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FA3D8" w14:textId="6C7EC79D" w:rsidR="00107120" w:rsidRPr="009A0BCE" w:rsidRDefault="00107120" w:rsidP="00EF72B0">
                          <w:pPr>
                            <w:jc w:val="center"/>
                          </w:pPr>
                          <w:r>
                            <w:t>AU Energy Transition Strategy and Action Plan</w:t>
                          </w:r>
                        </w:p>
                      </w:txbxContent>
                    </wps:txbx>
                    <wps:bodyPr rot="0" vert="horz" wrap="square" lIns="91425" tIns="45698" rIns="91425" bIns="45698"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643B88F2" id="_x0000_s1030" style="position:absolute;left:0;text-align:left;margin-left:0;margin-top:0;width:729pt;height:30.7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" filled="f" stroked="f">
              <v:path arrowok="t"/>
              <v:textbox inset="2.53958mm,1.2694mm,2.53958mm,1.2694mm">
                <w:txbxContent>
                  <w:p w14:paraId="23BFA3D8" w14:textId="6C7EC79D" w:rsidR="00107120" w:rsidRPr="009A0BCE" w:rsidRDefault="00107120" w:rsidP="00EF72B0">
                    <w:pPr>
                      <w:jc w:val="center"/>
                    </w:pPr>
                    <w:r>
                      <w:t>AU Energy Transition Strategy and Action Plan</w:t>
                    </w:r>
                  </w:p>
                </w:txbxContent>
              </v:textbox>
            </v:rect>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5C6"/>
    <w:multiLevelType w:val="hybridMultilevel"/>
    <w:tmpl w:val="8624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47BB2"/>
    <w:multiLevelType w:val="hybridMultilevel"/>
    <w:tmpl w:val="74D6ADB4"/>
    <w:lvl w:ilvl="0" w:tplc="06A89660">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E3AD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35A3B47"/>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73066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42A7BD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47A68A0"/>
    <w:multiLevelType w:val="multilevel"/>
    <w:tmpl w:val="02F85D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5274A4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5A36B7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5ED012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660373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674300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6AA547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074F19B0"/>
    <w:multiLevelType w:val="hybridMultilevel"/>
    <w:tmpl w:val="67C09318"/>
    <w:lvl w:ilvl="0" w:tplc="6E78767A">
      <w:start w:val="1"/>
      <w:numFmt w:val="bullet"/>
      <w:pStyle w:val="Bullet1"/>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07625A36"/>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07836701"/>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7B2599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806703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09967AB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0AAB7507"/>
    <w:multiLevelType w:val="hybridMultilevel"/>
    <w:tmpl w:val="D7E8663A"/>
    <w:lvl w:ilvl="0" w:tplc="4072DD9E">
      <w:start w:val="1"/>
      <w:numFmt w:val="bullet"/>
      <w:lvlText w:val="•"/>
      <w:lvlJc w:val="left"/>
      <w:pPr>
        <w:tabs>
          <w:tab w:val="num" w:pos="720"/>
        </w:tabs>
        <w:ind w:left="720" w:hanging="360"/>
      </w:pPr>
      <w:rPr>
        <w:rFonts w:ascii="Arial" w:hAnsi="Arial" w:hint="default"/>
      </w:rPr>
    </w:lvl>
    <w:lvl w:ilvl="1" w:tplc="7D20C5F6" w:tentative="1">
      <w:start w:val="1"/>
      <w:numFmt w:val="bullet"/>
      <w:lvlText w:val="•"/>
      <w:lvlJc w:val="left"/>
      <w:pPr>
        <w:tabs>
          <w:tab w:val="num" w:pos="1440"/>
        </w:tabs>
        <w:ind w:left="1440" w:hanging="360"/>
      </w:pPr>
      <w:rPr>
        <w:rFonts w:ascii="Arial" w:hAnsi="Arial" w:hint="default"/>
      </w:rPr>
    </w:lvl>
    <w:lvl w:ilvl="2" w:tplc="075CC15E" w:tentative="1">
      <w:start w:val="1"/>
      <w:numFmt w:val="bullet"/>
      <w:lvlText w:val="•"/>
      <w:lvlJc w:val="left"/>
      <w:pPr>
        <w:tabs>
          <w:tab w:val="num" w:pos="2160"/>
        </w:tabs>
        <w:ind w:left="2160" w:hanging="360"/>
      </w:pPr>
      <w:rPr>
        <w:rFonts w:ascii="Arial" w:hAnsi="Arial" w:hint="default"/>
      </w:rPr>
    </w:lvl>
    <w:lvl w:ilvl="3" w:tplc="AADE81C2" w:tentative="1">
      <w:start w:val="1"/>
      <w:numFmt w:val="bullet"/>
      <w:lvlText w:val="•"/>
      <w:lvlJc w:val="left"/>
      <w:pPr>
        <w:tabs>
          <w:tab w:val="num" w:pos="2880"/>
        </w:tabs>
        <w:ind w:left="2880" w:hanging="360"/>
      </w:pPr>
      <w:rPr>
        <w:rFonts w:ascii="Arial" w:hAnsi="Arial" w:hint="default"/>
      </w:rPr>
    </w:lvl>
    <w:lvl w:ilvl="4" w:tplc="895E4338" w:tentative="1">
      <w:start w:val="1"/>
      <w:numFmt w:val="bullet"/>
      <w:lvlText w:val="•"/>
      <w:lvlJc w:val="left"/>
      <w:pPr>
        <w:tabs>
          <w:tab w:val="num" w:pos="3600"/>
        </w:tabs>
        <w:ind w:left="3600" w:hanging="360"/>
      </w:pPr>
      <w:rPr>
        <w:rFonts w:ascii="Arial" w:hAnsi="Arial" w:hint="default"/>
      </w:rPr>
    </w:lvl>
    <w:lvl w:ilvl="5" w:tplc="3C482956" w:tentative="1">
      <w:start w:val="1"/>
      <w:numFmt w:val="bullet"/>
      <w:lvlText w:val="•"/>
      <w:lvlJc w:val="left"/>
      <w:pPr>
        <w:tabs>
          <w:tab w:val="num" w:pos="4320"/>
        </w:tabs>
        <w:ind w:left="4320" w:hanging="360"/>
      </w:pPr>
      <w:rPr>
        <w:rFonts w:ascii="Arial" w:hAnsi="Arial" w:hint="default"/>
      </w:rPr>
    </w:lvl>
    <w:lvl w:ilvl="6" w:tplc="2B361A64" w:tentative="1">
      <w:start w:val="1"/>
      <w:numFmt w:val="bullet"/>
      <w:lvlText w:val="•"/>
      <w:lvlJc w:val="left"/>
      <w:pPr>
        <w:tabs>
          <w:tab w:val="num" w:pos="5040"/>
        </w:tabs>
        <w:ind w:left="5040" w:hanging="360"/>
      </w:pPr>
      <w:rPr>
        <w:rFonts w:ascii="Arial" w:hAnsi="Arial" w:hint="default"/>
      </w:rPr>
    </w:lvl>
    <w:lvl w:ilvl="7" w:tplc="BCEC378A" w:tentative="1">
      <w:start w:val="1"/>
      <w:numFmt w:val="bullet"/>
      <w:lvlText w:val="•"/>
      <w:lvlJc w:val="left"/>
      <w:pPr>
        <w:tabs>
          <w:tab w:val="num" w:pos="5760"/>
        </w:tabs>
        <w:ind w:left="5760" w:hanging="360"/>
      </w:pPr>
      <w:rPr>
        <w:rFonts w:ascii="Arial" w:hAnsi="Arial" w:hint="default"/>
      </w:rPr>
    </w:lvl>
    <w:lvl w:ilvl="8" w:tplc="07188EF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B72534B"/>
    <w:multiLevelType w:val="multilevel"/>
    <w:tmpl w:val="74A6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5F532C"/>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0D1A524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D7C134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0EB976B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16326F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20F00D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121C693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128941AF"/>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2F86C5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46F177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4EB412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525581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1544056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16B6758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6BE276D"/>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16BF4144"/>
    <w:multiLevelType w:val="multilevel"/>
    <w:tmpl w:val="24E2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D63A6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71523E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173B68C8"/>
    <w:multiLevelType w:val="hybridMultilevel"/>
    <w:tmpl w:val="FB86F6F0"/>
    <w:lvl w:ilvl="0" w:tplc="E960AB64">
      <w:start w:val="1"/>
      <w:numFmt w:val="bullet"/>
      <w:lvlText w:val=""/>
      <w:lvlJc w:val="left"/>
      <w:pPr>
        <w:ind w:left="720" w:hanging="360"/>
      </w:pPr>
      <w:rPr>
        <w:rFonts w:ascii="Symbol" w:hAnsi="Symbol"/>
      </w:rPr>
    </w:lvl>
    <w:lvl w:ilvl="1" w:tplc="C3BEF770">
      <w:start w:val="1"/>
      <w:numFmt w:val="bullet"/>
      <w:lvlText w:val=""/>
      <w:lvlJc w:val="left"/>
      <w:pPr>
        <w:ind w:left="720" w:hanging="360"/>
      </w:pPr>
      <w:rPr>
        <w:rFonts w:ascii="Symbol" w:hAnsi="Symbol"/>
      </w:rPr>
    </w:lvl>
    <w:lvl w:ilvl="2" w:tplc="43E641A4">
      <w:start w:val="1"/>
      <w:numFmt w:val="bullet"/>
      <w:lvlText w:val=""/>
      <w:lvlJc w:val="left"/>
      <w:pPr>
        <w:ind w:left="720" w:hanging="360"/>
      </w:pPr>
      <w:rPr>
        <w:rFonts w:ascii="Symbol" w:hAnsi="Symbol"/>
      </w:rPr>
    </w:lvl>
    <w:lvl w:ilvl="3" w:tplc="813AF5BC">
      <w:start w:val="1"/>
      <w:numFmt w:val="bullet"/>
      <w:lvlText w:val=""/>
      <w:lvlJc w:val="left"/>
      <w:pPr>
        <w:ind w:left="720" w:hanging="360"/>
      </w:pPr>
      <w:rPr>
        <w:rFonts w:ascii="Symbol" w:hAnsi="Symbol"/>
      </w:rPr>
    </w:lvl>
    <w:lvl w:ilvl="4" w:tplc="F84868C2">
      <w:start w:val="1"/>
      <w:numFmt w:val="bullet"/>
      <w:lvlText w:val=""/>
      <w:lvlJc w:val="left"/>
      <w:pPr>
        <w:ind w:left="720" w:hanging="360"/>
      </w:pPr>
      <w:rPr>
        <w:rFonts w:ascii="Symbol" w:hAnsi="Symbol"/>
      </w:rPr>
    </w:lvl>
    <w:lvl w:ilvl="5" w:tplc="414692A6">
      <w:start w:val="1"/>
      <w:numFmt w:val="bullet"/>
      <w:lvlText w:val=""/>
      <w:lvlJc w:val="left"/>
      <w:pPr>
        <w:ind w:left="720" w:hanging="360"/>
      </w:pPr>
      <w:rPr>
        <w:rFonts w:ascii="Symbol" w:hAnsi="Symbol"/>
      </w:rPr>
    </w:lvl>
    <w:lvl w:ilvl="6" w:tplc="93385282">
      <w:start w:val="1"/>
      <w:numFmt w:val="bullet"/>
      <w:lvlText w:val=""/>
      <w:lvlJc w:val="left"/>
      <w:pPr>
        <w:ind w:left="720" w:hanging="360"/>
      </w:pPr>
      <w:rPr>
        <w:rFonts w:ascii="Symbol" w:hAnsi="Symbol"/>
      </w:rPr>
    </w:lvl>
    <w:lvl w:ilvl="7" w:tplc="B9A0BE22">
      <w:start w:val="1"/>
      <w:numFmt w:val="bullet"/>
      <w:lvlText w:val=""/>
      <w:lvlJc w:val="left"/>
      <w:pPr>
        <w:ind w:left="720" w:hanging="360"/>
      </w:pPr>
      <w:rPr>
        <w:rFonts w:ascii="Symbol" w:hAnsi="Symbol"/>
      </w:rPr>
    </w:lvl>
    <w:lvl w:ilvl="8" w:tplc="C986D824">
      <w:start w:val="1"/>
      <w:numFmt w:val="bullet"/>
      <w:lvlText w:val=""/>
      <w:lvlJc w:val="left"/>
      <w:pPr>
        <w:ind w:left="720" w:hanging="360"/>
      </w:pPr>
      <w:rPr>
        <w:rFonts w:ascii="Symbol" w:hAnsi="Symbol"/>
      </w:rPr>
    </w:lvl>
  </w:abstractNum>
  <w:abstractNum w:abstractNumId="40" w15:restartNumberingAfterBreak="0">
    <w:nsid w:val="176066F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17706BAB"/>
    <w:multiLevelType w:val="hybridMultilevel"/>
    <w:tmpl w:val="BE126AA4"/>
    <w:lvl w:ilvl="0" w:tplc="B54E19AC">
      <w:start w:val="1"/>
      <w:numFmt w:val="bullet"/>
      <w:lvlText w:val="•"/>
      <w:lvlJc w:val="left"/>
      <w:pPr>
        <w:tabs>
          <w:tab w:val="num" w:pos="720"/>
        </w:tabs>
        <w:ind w:left="720" w:hanging="360"/>
      </w:pPr>
      <w:rPr>
        <w:rFonts w:ascii="Arial" w:hAnsi="Arial" w:hint="default"/>
      </w:rPr>
    </w:lvl>
    <w:lvl w:ilvl="1" w:tplc="34FCF5A8" w:tentative="1">
      <w:start w:val="1"/>
      <w:numFmt w:val="bullet"/>
      <w:lvlText w:val="•"/>
      <w:lvlJc w:val="left"/>
      <w:pPr>
        <w:tabs>
          <w:tab w:val="num" w:pos="1440"/>
        </w:tabs>
        <w:ind w:left="1440" w:hanging="360"/>
      </w:pPr>
      <w:rPr>
        <w:rFonts w:ascii="Arial" w:hAnsi="Arial" w:hint="default"/>
      </w:rPr>
    </w:lvl>
    <w:lvl w:ilvl="2" w:tplc="C12E9A78" w:tentative="1">
      <w:start w:val="1"/>
      <w:numFmt w:val="bullet"/>
      <w:lvlText w:val="•"/>
      <w:lvlJc w:val="left"/>
      <w:pPr>
        <w:tabs>
          <w:tab w:val="num" w:pos="2160"/>
        </w:tabs>
        <w:ind w:left="2160" w:hanging="360"/>
      </w:pPr>
      <w:rPr>
        <w:rFonts w:ascii="Arial" w:hAnsi="Arial" w:hint="default"/>
      </w:rPr>
    </w:lvl>
    <w:lvl w:ilvl="3" w:tplc="7D024A8E" w:tentative="1">
      <w:start w:val="1"/>
      <w:numFmt w:val="bullet"/>
      <w:lvlText w:val="•"/>
      <w:lvlJc w:val="left"/>
      <w:pPr>
        <w:tabs>
          <w:tab w:val="num" w:pos="2880"/>
        </w:tabs>
        <w:ind w:left="2880" w:hanging="360"/>
      </w:pPr>
      <w:rPr>
        <w:rFonts w:ascii="Arial" w:hAnsi="Arial" w:hint="default"/>
      </w:rPr>
    </w:lvl>
    <w:lvl w:ilvl="4" w:tplc="AE9404E0" w:tentative="1">
      <w:start w:val="1"/>
      <w:numFmt w:val="bullet"/>
      <w:lvlText w:val="•"/>
      <w:lvlJc w:val="left"/>
      <w:pPr>
        <w:tabs>
          <w:tab w:val="num" w:pos="3600"/>
        </w:tabs>
        <w:ind w:left="3600" w:hanging="360"/>
      </w:pPr>
      <w:rPr>
        <w:rFonts w:ascii="Arial" w:hAnsi="Arial" w:hint="default"/>
      </w:rPr>
    </w:lvl>
    <w:lvl w:ilvl="5" w:tplc="86A60E5A" w:tentative="1">
      <w:start w:val="1"/>
      <w:numFmt w:val="bullet"/>
      <w:lvlText w:val="•"/>
      <w:lvlJc w:val="left"/>
      <w:pPr>
        <w:tabs>
          <w:tab w:val="num" w:pos="4320"/>
        </w:tabs>
        <w:ind w:left="4320" w:hanging="360"/>
      </w:pPr>
      <w:rPr>
        <w:rFonts w:ascii="Arial" w:hAnsi="Arial" w:hint="default"/>
      </w:rPr>
    </w:lvl>
    <w:lvl w:ilvl="6" w:tplc="19285140" w:tentative="1">
      <w:start w:val="1"/>
      <w:numFmt w:val="bullet"/>
      <w:lvlText w:val="•"/>
      <w:lvlJc w:val="left"/>
      <w:pPr>
        <w:tabs>
          <w:tab w:val="num" w:pos="5040"/>
        </w:tabs>
        <w:ind w:left="5040" w:hanging="360"/>
      </w:pPr>
      <w:rPr>
        <w:rFonts w:ascii="Arial" w:hAnsi="Arial" w:hint="default"/>
      </w:rPr>
    </w:lvl>
    <w:lvl w:ilvl="7" w:tplc="7BD63D5E" w:tentative="1">
      <w:start w:val="1"/>
      <w:numFmt w:val="bullet"/>
      <w:lvlText w:val="•"/>
      <w:lvlJc w:val="left"/>
      <w:pPr>
        <w:tabs>
          <w:tab w:val="num" w:pos="5760"/>
        </w:tabs>
        <w:ind w:left="5760" w:hanging="360"/>
      </w:pPr>
      <w:rPr>
        <w:rFonts w:ascii="Arial" w:hAnsi="Arial" w:hint="default"/>
      </w:rPr>
    </w:lvl>
    <w:lvl w:ilvl="8" w:tplc="9A58D25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185230C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18AF36B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18C90BCC"/>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8F827D3"/>
    <w:multiLevelType w:val="hybridMultilevel"/>
    <w:tmpl w:val="F8848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99639A2"/>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9A04DA6"/>
    <w:multiLevelType w:val="multilevel"/>
    <w:tmpl w:val="C25CC1BE"/>
    <w:lvl w:ilvl="0">
      <w:start w:val="1"/>
      <w:numFmt w:val="decimal"/>
      <w:pStyle w:val="Heading1"/>
      <w:lvlText w:val="%1."/>
      <w:lvlJc w:val="left"/>
      <w:pPr>
        <w:ind w:left="644" w:hanging="360"/>
      </w:pPr>
      <w:rPr>
        <w:rFonts w:ascii="Arial" w:hAnsi="Arial" w:hint="default"/>
        <w:b/>
        <w:bCs w:val="0"/>
        <w:i w:val="0"/>
        <w:color w:val="348F41" w:themeColor="text1"/>
        <w:sz w:val="26"/>
        <w:szCs w:val="20"/>
      </w:rPr>
    </w:lvl>
    <w:lvl w:ilvl="1">
      <w:start w:val="1"/>
      <w:numFmt w:val="decimal"/>
      <w:pStyle w:val="Heading2"/>
      <w:suff w:val="space"/>
      <w:lvlText w:val="%1.%2."/>
      <w:lvlJc w:val="left"/>
      <w:pPr>
        <w:ind w:left="360" w:firstLine="0"/>
      </w:pPr>
      <w:rPr>
        <w:rFonts w:hint="default"/>
        <w:b/>
        <w:bCs/>
      </w:rPr>
    </w:lvl>
    <w:lvl w:ilvl="2">
      <w:start w:val="1"/>
      <w:numFmt w:val="decimal"/>
      <w:pStyle w:val="Heading3"/>
      <w:suff w:val="space"/>
      <w:lvlText w:val="%1.%2.%3."/>
      <w:lvlJc w:val="left"/>
      <w:pPr>
        <w:ind w:left="425" w:firstLine="0"/>
      </w:pPr>
      <w:rPr>
        <w:rFonts w:hint="default"/>
      </w:rPr>
    </w:lvl>
    <w:lvl w:ilvl="3">
      <w:start w:val="1"/>
      <w:numFmt w:val="decimal"/>
      <w:suff w:val="space"/>
      <w:lvlText w:val="%1.%2.%3.%4."/>
      <w:lvlJc w:val="left"/>
      <w:pPr>
        <w:ind w:left="284" w:firstLine="0"/>
      </w:pPr>
      <w:rPr>
        <w:rFonts w:hint="default"/>
      </w:rPr>
    </w:lvl>
    <w:lvl w:ilvl="4">
      <w:start w:val="1"/>
      <w:numFmt w:val="decimal"/>
      <w:suff w:val="space"/>
      <w:lvlText w:val="%1.%2.%3.%4.%5."/>
      <w:lvlJc w:val="left"/>
      <w:pPr>
        <w:ind w:left="142"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1A2E7AC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1B8D1B3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1BD27D6F"/>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1BD44A1E"/>
    <w:multiLevelType w:val="multilevel"/>
    <w:tmpl w:val="5734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C966EB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1C9D6C8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1D1B4A1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1D30712F"/>
    <w:multiLevelType w:val="hybridMultilevel"/>
    <w:tmpl w:val="254633E4"/>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D84064A"/>
    <w:multiLevelType w:val="multilevel"/>
    <w:tmpl w:val="D94C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794BF4"/>
    <w:multiLevelType w:val="hybridMultilevel"/>
    <w:tmpl w:val="2FB22B56"/>
    <w:lvl w:ilvl="0" w:tplc="FFFFFFFF">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1EA85D5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1EE9155F"/>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1F716B01"/>
    <w:multiLevelType w:val="multilevel"/>
    <w:tmpl w:val="B7EE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77555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1F815786"/>
    <w:multiLevelType w:val="multilevel"/>
    <w:tmpl w:val="DE6A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3256F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21C0779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231638C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23CF72D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24447528"/>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54E515E"/>
    <w:multiLevelType w:val="hybridMultilevel"/>
    <w:tmpl w:val="83EC68D2"/>
    <w:lvl w:ilvl="0" w:tplc="C1AA52EE">
      <w:start w:val="1"/>
      <w:numFmt w:val="bullet"/>
      <w:lvlText w:val="•"/>
      <w:lvlJc w:val="left"/>
      <w:pPr>
        <w:tabs>
          <w:tab w:val="num" w:pos="720"/>
        </w:tabs>
        <w:ind w:left="720" w:hanging="360"/>
      </w:pPr>
      <w:rPr>
        <w:rFonts w:ascii="Arial" w:hAnsi="Arial" w:hint="default"/>
      </w:rPr>
    </w:lvl>
    <w:lvl w:ilvl="1" w:tplc="DB0AABA8" w:tentative="1">
      <w:start w:val="1"/>
      <w:numFmt w:val="bullet"/>
      <w:lvlText w:val="•"/>
      <w:lvlJc w:val="left"/>
      <w:pPr>
        <w:tabs>
          <w:tab w:val="num" w:pos="1440"/>
        </w:tabs>
        <w:ind w:left="1440" w:hanging="360"/>
      </w:pPr>
      <w:rPr>
        <w:rFonts w:ascii="Arial" w:hAnsi="Arial" w:hint="default"/>
      </w:rPr>
    </w:lvl>
    <w:lvl w:ilvl="2" w:tplc="E1C27E5A" w:tentative="1">
      <w:start w:val="1"/>
      <w:numFmt w:val="bullet"/>
      <w:lvlText w:val="•"/>
      <w:lvlJc w:val="left"/>
      <w:pPr>
        <w:tabs>
          <w:tab w:val="num" w:pos="2160"/>
        </w:tabs>
        <w:ind w:left="2160" w:hanging="360"/>
      </w:pPr>
      <w:rPr>
        <w:rFonts w:ascii="Arial" w:hAnsi="Arial" w:hint="default"/>
      </w:rPr>
    </w:lvl>
    <w:lvl w:ilvl="3" w:tplc="D5DE4D7C" w:tentative="1">
      <w:start w:val="1"/>
      <w:numFmt w:val="bullet"/>
      <w:lvlText w:val="•"/>
      <w:lvlJc w:val="left"/>
      <w:pPr>
        <w:tabs>
          <w:tab w:val="num" w:pos="2880"/>
        </w:tabs>
        <w:ind w:left="2880" w:hanging="360"/>
      </w:pPr>
      <w:rPr>
        <w:rFonts w:ascii="Arial" w:hAnsi="Arial" w:hint="default"/>
      </w:rPr>
    </w:lvl>
    <w:lvl w:ilvl="4" w:tplc="EC32E6F2" w:tentative="1">
      <w:start w:val="1"/>
      <w:numFmt w:val="bullet"/>
      <w:lvlText w:val="•"/>
      <w:lvlJc w:val="left"/>
      <w:pPr>
        <w:tabs>
          <w:tab w:val="num" w:pos="3600"/>
        </w:tabs>
        <w:ind w:left="3600" w:hanging="360"/>
      </w:pPr>
      <w:rPr>
        <w:rFonts w:ascii="Arial" w:hAnsi="Arial" w:hint="default"/>
      </w:rPr>
    </w:lvl>
    <w:lvl w:ilvl="5" w:tplc="7A66233C" w:tentative="1">
      <w:start w:val="1"/>
      <w:numFmt w:val="bullet"/>
      <w:lvlText w:val="•"/>
      <w:lvlJc w:val="left"/>
      <w:pPr>
        <w:tabs>
          <w:tab w:val="num" w:pos="4320"/>
        </w:tabs>
        <w:ind w:left="4320" w:hanging="360"/>
      </w:pPr>
      <w:rPr>
        <w:rFonts w:ascii="Arial" w:hAnsi="Arial" w:hint="default"/>
      </w:rPr>
    </w:lvl>
    <w:lvl w:ilvl="6" w:tplc="FBB8524A" w:tentative="1">
      <w:start w:val="1"/>
      <w:numFmt w:val="bullet"/>
      <w:lvlText w:val="•"/>
      <w:lvlJc w:val="left"/>
      <w:pPr>
        <w:tabs>
          <w:tab w:val="num" w:pos="5040"/>
        </w:tabs>
        <w:ind w:left="5040" w:hanging="360"/>
      </w:pPr>
      <w:rPr>
        <w:rFonts w:ascii="Arial" w:hAnsi="Arial" w:hint="default"/>
      </w:rPr>
    </w:lvl>
    <w:lvl w:ilvl="7" w:tplc="34B8D5F0" w:tentative="1">
      <w:start w:val="1"/>
      <w:numFmt w:val="bullet"/>
      <w:lvlText w:val="•"/>
      <w:lvlJc w:val="left"/>
      <w:pPr>
        <w:tabs>
          <w:tab w:val="num" w:pos="5760"/>
        </w:tabs>
        <w:ind w:left="5760" w:hanging="360"/>
      </w:pPr>
      <w:rPr>
        <w:rFonts w:ascii="Arial" w:hAnsi="Arial" w:hint="default"/>
      </w:rPr>
    </w:lvl>
    <w:lvl w:ilvl="8" w:tplc="DF069BE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57F2F8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25E1588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260017B7"/>
    <w:multiLevelType w:val="hybridMultilevel"/>
    <w:tmpl w:val="EA4E5E30"/>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69F62C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26FF4D3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27117B65"/>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285333F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299622D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2A71767C"/>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2A77493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2A8A1F23"/>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A99709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2B07576D"/>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B58116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2B686236"/>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CA9191C"/>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2CE0407E"/>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2EA47A54"/>
    <w:multiLevelType w:val="hybridMultilevel"/>
    <w:tmpl w:val="9306E7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2EB03FB0"/>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F9E0036"/>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FAF7C05"/>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31C457F1"/>
    <w:multiLevelType w:val="hybridMultilevel"/>
    <w:tmpl w:val="FC46A252"/>
    <w:lvl w:ilvl="0" w:tplc="A5E833AC">
      <w:start w:val="1"/>
      <w:numFmt w:val="decimal"/>
      <w:lvlText w:val="%1."/>
      <w:lvlJc w:val="left"/>
      <w:pPr>
        <w:ind w:left="720" w:hanging="360"/>
      </w:pPr>
      <w:rPr>
        <w:rFonts w:ascii="Arial" w:hAnsi="Arial" w:cs="Arial"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2133596"/>
    <w:multiLevelType w:val="multilevel"/>
    <w:tmpl w:val="7F24FEBC"/>
    <w:lvl w:ilvl="0">
      <w:start w:val="1"/>
      <w:numFmt w:val="decimal"/>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32466BE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324E08BD"/>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32C86CF6"/>
    <w:multiLevelType w:val="multilevel"/>
    <w:tmpl w:val="E00A690E"/>
    <w:lvl w:ilvl="0">
      <w:start w:val="1"/>
      <w:numFmt w:val="decimal"/>
      <w:lvlText w:val="%1."/>
      <w:lvlJc w:val="left"/>
      <w:pPr>
        <w:tabs>
          <w:tab w:val="num" w:pos="360"/>
        </w:tabs>
        <w:ind w:left="360" w:hanging="360"/>
      </w:pPr>
      <w:rPr>
        <w:b/>
        <w:bCs/>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15:restartNumberingAfterBreak="0">
    <w:nsid w:val="32E3595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330B5E9F"/>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31B414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347A67D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34BD63E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34CD6C67"/>
    <w:multiLevelType w:val="hybridMultilevel"/>
    <w:tmpl w:val="CF545B58"/>
    <w:lvl w:ilvl="0" w:tplc="C4F6B338">
      <w:start w:val="1"/>
      <w:numFmt w:val="bullet"/>
      <w:lvlText w:val=""/>
      <w:lvlJc w:val="left"/>
      <w:pPr>
        <w:ind w:left="720" w:hanging="360"/>
      </w:pPr>
      <w:rPr>
        <w:rFonts w:ascii="Symbol" w:hAnsi="Symbol"/>
      </w:rPr>
    </w:lvl>
    <w:lvl w:ilvl="1" w:tplc="04162D0E">
      <w:start w:val="1"/>
      <w:numFmt w:val="bullet"/>
      <w:lvlText w:val=""/>
      <w:lvlJc w:val="left"/>
      <w:pPr>
        <w:ind w:left="720" w:hanging="360"/>
      </w:pPr>
      <w:rPr>
        <w:rFonts w:ascii="Symbol" w:hAnsi="Symbol"/>
      </w:rPr>
    </w:lvl>
    <w:lvl w:ilvl="2" w:tplc="E834D2BE">
      <w:start w:val="1"/>
      <w:numFmt w:val="bullet"/>
      <w:lvlText w:val=""/>
      <w:lvlJc w:val="left"/>
      <w:pPr>
        <w:ind w:left="720" w:hanging="360"/>
      </w:pPr>
      <w:rPr>
        <w:rFonts w:ascii="Symbol" w:hAnsi="Symbol"/>
      </w:rPr>
    </w:lvl>
    <w:lvl w:ilvl="3" w:tplc="66507D2A">
      <w:start w:val="1"/>
      <w:numFmt w:val="bullet"/>
      <w:lvlText w:val=""/>
      <w:lvlJc w:val="left"/>
      <w:pPr>
        <w:ind w:left="720" w:hanging="360"/>
      </w:pPr>
      <w:rPr>
        <w:rFonts w:ascii="Symbol" w:hAnsi="Symbol"/>
      </w:rPr>
    </w:lvl>
    <w:lvl w:ilvl="4" w:tplc="4A727508">
      <w:start w:val="1"/>
      <w:numFmt w:val="bullet"/>
      <w:lvlText w:val=""/>
      <w:lvlJc w:val="left"/>
      <w:pPr>
        <w:ind w:left="720" w:hanging="360"/>
      </w:pPr>
      <w:rPr>
        <w:rFonts w:ascii="Symbol" w:hAnsi="Symbol"/>
      </w:rPr>
    </w:lvl>
    <w:lvl w:ilvl="5" w:tplc="48F41C12">
      <w:start w:val="1"/>
      <w:numFmt w:val="bullet"/>
      <w:lvlText w:val=""/>
      <w:lvlJc w:val="left"/>
      <w:pPr>
        <w:ind w:left="720" w:hanging="360"/>
      </w:pPr>
      <w:rPr>
        <w:rFonts w:ascii="Symbol" w:hAnsi="Symbol"/>
      </w:rPr>
    </w:lvl>
    <w:lvl w:ilvl="6" w:tplc="4086D978">
      <w:start w:val="1"/>
      <w:numFmt w:val="bullet"/>
      <w:lvlText w:val=""/>
      <w:lvlJc w:val="left"/>
      <w:pPr>
        <w:ind w:left="720" w:hanging="360"/>
      </w:pPr>
      <w:rPr>
        <w:rFonts w:ascii="Symbol" w:hAnsi="Symbol"/>
      </w:rPr>
    </w:lvl>
    <w:lvl w:ilvl="7" w:tplc="8758B3BA">
      <w:start w:val="1"/>
      <w:numFmt w:val="bullet"/>
      <w:lvlText w:val=""/>
      <w:lvlJc w:val="left"/>
      <w:pPr>
        <w:ind w:left="720" w:hanging="360"/>
      </w:pPr>
      <w:rPr>
        <w:rFonts w:ascii="Symbol" w:hAnsi="Symbol"/>
      </w:rPr>
    </w:lvl>
    <w:lvl w:ilvl="8" w:tplc="9B26AFC6">
      <w:start w:val="1"/>
      <w:numFmt w:val="bullet"/>
      <w:lvlText w:val=""/>
      <w:lvlJc w:val="left"/>
      <w:pPr>
        <w:ind w:left="720" w:hanging="360"/>
      </w:pPr>
      <w:rPr>
        <w:rFonts w:ascii="Symbol" w:hAnsi="Symbol"/>
      </w:rPr>
    </w:lvl>
  </w:abstractNum>
  <w:abstractNum w:abstractNumId="101" w15:restartNumberingAfterBreak="0">
    <w:nsid w:val="36DF3C3E"/>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38932E7C"/>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8A25E5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390F3740"/>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39D1368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39F11C0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7" w15:restartNumberingAfterBreak="0">
    <w:nsid w:val="3A4F22C7"/>
    <w:multiLevelType w:val="multilevel"/>
    <w:tmpl w:val="C574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69185C"/>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3AC855C4"/>
    <w:multiLevelType w:val="hybridMultilevel"/>
    <w:tmpl w:val="0B6ED406"/>
    <w:lvl w:ilvl="0" w:tplc="7B84151C">
      <w:start w:val="4"/>
      <w:numFmt w:val="bullet"/>
      <w:lvlText w:val="•"/>
      <w:lvlJc w:val="left"/>
      <w:pPr>
        <w:ind w:left="720" w:hanging="360"/>
      </w:pPr>
      <w:rPr>
        <w:rFonts w:ascii="Arial" w:eastAsia="Arial" w:hAnsi="Arial" w:cs="Aria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C815BD6"/>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12" w15:restartNumberingAfterBreak="0">
    <w:nsid w:val="3D8E24B9"/>
    <w:multiLevelType w:val="hybridMultilevel"/>
    <w:tmpl w:val="935EE8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DF5213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3DFB7CF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3E6605DD"/>
    <w:multiLevelType w:val="multilevel"/>
    <w:tmpl w:val="537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E7A20E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3E8665C6"/>
    <w:multiLevelType w:val="hybridMultilevel"/>
    <w:tmpl w:val="64CC667A"/>
    <w:lvl w:ilvl="0" w:tplc="F0B29C84">
      <w:start w:val="1"/>
      <w:numFmt w:val="lowerLetter"/>
      <w:lvlText w:val="%1."/>
      <w:lvlJc w:val="left"/>
      <w:pPr>
        <w:ind w:left="720" w:hanging="360"/>
      </w:pPr>
    </w:lvl>
    <w:lvl w:ilvl="1" w:tplc="E2C2B60C">
      <w:start w:val="1"/>
      <w:numFmt w:val="lowerLetter"/>
      <w:lvlText w:val="%2."/>
      <w:lvlJc w:val="left"/>
      <w:pPr>
        <w:ind w:left="720" w:hanging="360"/>
      </w:pPr>
    </w:lvl>
    <w:lvl w:ilvl="2" w:tplc="908CDBB6">
      <w:start w:val="1"/>
      <w:numFmt w:val="lowerLetter"/>
      <w:lvlText w:val="%3."/>
      <w:lvlJc w:val="left"/>
      <w:pPr>
        <w:ind w:left="720" w:hanging="360"/>
      </w:pPr>
    </w:lvl>
    <w:lvl w:ilvl="3" w:tplc="688C1D8A">
      <w:start w:val="1"/>
      <w:numFmt w:val="lowerLetter"/>
      <w:lvlText w:val="%4."/>
      <w:lvlJc w:val="left"/>
      <w:pPr>
        <w:ind w:left="720" w:hanging="360"/>
      </w:pPr>
    </w:lvl>
    <w:lvl w:ilvl="4" w:tplc="84449328">
      <w:start w:val="1"/>
      <w:numFmt w:val="lowerLetter"/>
      <w:lvlText w:val="%5."/>
      <w:lvlJc w:val="left"/>
      <w:pPr>
        <w:ind w:left="720" w:hanging="360"/>
      </w:pPr>
    </w:lvl>
    <w:lvl w:ilvl="5" w:tplc="0DA031AA">
      <w:start w:val="1"/>
      <w:numFmt w:val="lowerLetter"/>
      <w:lvlText w:val="%6."/>
      <w:lvlJc w:val="left"/>
      <w:pPr>
        <w:ind w:left="720" w:hanging="360"/>
      </w:pPr>
    </w:lvl>
    <w:lvl w:ilvl="6" w:tplc="D20E0D9E">
      <w:start w:val="1"/>
      <w:numFmt w:val="lowerLetter"/>
      <w:lvlText w:val="%7."/>
      <w:lvlJc w:val="left"/>
      <w:pPr>
        <w:ind w:left="720" w:hanging="360"/>
      </w:pPr>
    </w:lvl>
    <w:lvl w:ilvl="7" w:tplc="E0C0D43C">
      <w:start w:val="1"/>
      <w:numFmt w:val="lowerLetter"/>
      <w:lvlText w:val="%8."/>
      <w:lvlJc w:val="left"/>
      <w:pPr>
        <w:ind w:left="720" w:hanging="360"/>
      </w:pPr>
    </w:lvl>
    <w:lvl w:ilvl="8" w:tplc="969C7DEC">
      <w:start w:val="1"/>
      <w:numFmt w:val="lowerLetter"/>
      <w:lvlText w:val="%9."/>
      <w:lvlJc w:val="left"/>
      <w:pPr>
        <w:ind w:left="720" w:hanging="360"/>
      </w:pPr>
    </w:lvl>
  </w:abstractNum>
  <w:abstractNum w:abstractNumId="118" w15:restartNumberingAfterBreak="0">
    <w:nsid w:val="3E87070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3E975750"/>
    <w:multiLevelType w:val="multilevel"/>
    <w:tmpl w:val="083AE408"/>
    <w:lvl w:ilvl="0">
      <w:start w:val="1"/>
      <w:numFmt w:val="bullet"/>
      <w:pStyle w:val="EXTableBullet"/>
      <w:lvlText w:val=""/>
      <w:lvlJc w:val="left"/>
      <w:pPr>
        <w:ind w:left="216" w:hanging="144"/>
      </w:pPr>
      <w:rPr>
        <w:rFonts w:ascii="Symbol" w:hAnsi="Symbol" w:hint="default"/>
        <w:color w:val="auto"/>
        <w:sz w:val="28"/>
        <w:u w:color="993366"/>
      </w:rPr>
    </w:lvl>
    <w:lvl w:ilvl="1">
      <w:start w:val="1"/>
      <w:numFmt w:val="bullet"/>
      <w:lvlText w:val="─"/>
      <w:lvlJc w:val="left"/>
      <w:pPr>
        <w:ind w:left="504" w:hanging="216"/>
      </w:pPr>
      <w:rPr>
        <w:rFonts w:ascii="Courier New" w:hAnsi="Courier New" w:hint="default"/>
        <w:color w:val="156082"/>
      </w:rPr>
    </w:lvl>
    <w:lvl w:ilvl="2">
      <w:start w:val="1"/>
      <w:numFmt w:val="bullet"/>
      <w:lvlText w:val="·"/>
      <w:lvlJc w:val="left"/>
      <w:pPr>
        <w:ind w:left="792" w:hanging="144"/>
      </w:pPr>
      <w:rPr>
        <w:rFonts w:ascii="Vrinda" w:hAnsi="Vrinda" w:hint="default"/>
        <w:color w:val="156082"/>
        <w:u w:color="156082"/>
        <w:vertAlign w:val="baseline"/>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3F21151C"/>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F316CB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2" w15:restartNumberingAfterBreak="0">
    <w:nsid w:val="404552F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3" w15:restartNumberingAfterBreak="0">
    <w:nsid w:val="41120BEC"/>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4" w15:restartNumberingAfterBreak="0">
    <w:nsid w:val="423A7A41"/>
    <w:multiLevelType w:val="multilevel"/>
    <w:tmpl w:val="E9AE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24F152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432E6DD2"/>
    <w:multiLevelType w:val="hybridMultilevel"/>
    <w:tmpl w:val="3D6A922E"/>
    <w:lvl w:ilvl="0" w:tplc="89D2D544">
      <w:start w:val="1"/>
      <w:numFmt w:val="decimal"/>
      <w:lvlText w:val="%1."/>
      <w:lvlJc w:val="left"/>
      <w:pPr>
        <w:ind w:left="720" w:hanging="360"/>
      </w:pPr>
      <w:rPr>
        <w:rFonts w:hint="default"/>
        <w:b/>
        <w:bCs/>
        <w:color w:val="53575A" w:themeColor="accen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43635FE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8" w15:restartNumberingAfterBreak="0">
    <w:nsid w:val="440C498B"/>
    <w:multiLevelType w:val="multilevel"/>
    <w:tmpl w:val="291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4524ED5"/>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47670E7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47A0142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47D2786A"/>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48EF34A6"/>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496C7B6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499510E6"/>
    <w:multiLevelType w:val="multilevel"/>
    <w:tmpl w:val="F68A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9FA3E8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4ACE032D"/>
    <w:multiLevelType w:val="multilevel"/>
    <w:tmpl w:val="F848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1A46F6"/>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9" w15:restartNumberingAfterBreak="0">
    <w:nsid w:val="4C3E1A2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4D26000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1" w15:restartNumberingAfterBreak="0">
    <w:nsid w:val="4DF3221F"/>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DF91B9C"/>
    <w:multiLevelType w:val="multilevel"/>
    <w:tmpl w:val="AA54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DFC0B7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4E4F056E"/>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507D0B96"/>
    <w:multiLevelType w:val="hybridMultilevel"/>
    <w:tmpl w:val="580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13B1BB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7" w15:restartNumberingAfterBreak="0">
    <w:nsid w:val="52B65F8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8" w15:restartNumberingAfterBreak="0">
    <w:nsid w:val="53DC617F"/>
    <w:multiLevelType w:val="hybridMultilevel"/>
    <w:tmpl w:val="3C6E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4FA546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0" w15:restartNumberingAfterBreak="0">
    <w:nsid w:val="55770919"/>
    <w:multiLevelType w:val="multilevel"/>
    <w:tmpl w:val="85B4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5AB3736"/>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2" w15:restartNumberingAfterBreak="0">
    <w:nsid w:val="55DC1B2F"/>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3" w15:restartNumberingAfterBreak="0">
    <w:nsid w:val="568F78E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57C618C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5" w15:restartNumberingAfterBreak="0">
    <w:nsid w:val="57DD0BD4"/>
    <w:multiLevelType w:val="multilevel"/>
    <w:tmpl w:val="0786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7EF45EE"/>
    <w:multiLevelType w:val="hybridMultilevel"/>
    <w:tmpl w:val="DED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95C5B1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8" w15:restartNumberingAfterBreak="0">
    <w:nsid w:val="59C3505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9" w15:restartNumberingAfterBreak="0">
    <w:nsid w:val="59F54981"/>
    <w:multiLevelType w:val="hybridMultilevel"/>
    <w:tmpl w:val="84B0B754"/>
    <w:lvl w:ilvl="0" w:tplc="53BE155E">
      <w:start w:val="1"/>
      <w:numFmt w:val="bullet"/>
      <w:pStyle w:val="Bullets"/>
      <w:lvlText w:val=""/>
      <w:lvlJc w:val="left"/>
      <w:pPr>
        <w:ind w:left="1080" w:hanging="360"/>
      </w:pPr>
      <w:rPr>
        <w:rFonts w:ascii="Symbol" w:hAnsi="Symbol" w:hint="default"/>
        <w:color w:val="53575A" w:themeColor="accent1"/>
        <w:sz w:val="20"/>
        <w:szCs w:val="20"/>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0" w15:restartNumberingAfterBreak="0">
    <w:nsid w:val="5A0C4561"/>
    <w:multiLevelType w:val="hybridMultilevel"/>
    <w:tmpl w:val="D4A8DD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A7E6197"/>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5AD4492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3" w15:restartNumberingAfterBreak="0">
    <w:nsid w:val="5AE972D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5AEE1492"/>
    <w:multiLevelType w:val="multilevel"/>
    <w:tmpl w:val="9740F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B8244C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15:restartNumberingAfterBreak="0">
    <w:nsid w:val="5C625CD2"/>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8053E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5EC14D0D"/>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5E6FC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0" w15:restartNumberingAfterBreak="0">
    <w:nsid w:val="60625A6C"/>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0C065F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2" w15:restartNumberingAfterBreak="0">
    <w:nsid w:val="62BF7B6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3" w15:restartNumberingAfterBreak="0">
    <w:nsid w:val="63F7420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4" w15:restartNumberingAfterBreak="0">
    <w:nsid w:val="65135183"/>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5" w15:restartNumberingAfterBreak="0">
    <w:nsid w:val="66366F1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6" w15:restartNumberingAfterBreak="0">
    <w:nsid w:val="670D183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7" w15:restartNumberingAfterBreak="0">
    <w:nsid w:val="67E2289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8" w15:restartNumberingAfterBreak="0">
    <w:nsid w:val="68123A64"/>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8346B1C"/>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0" w15:restartNumberingAfterBreak="0">
    <w:nsid w:val="689D12CD"/>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988450C"/>
    <w:multiLevelType w:val="multilevel"/>
    <w:tmpl w:val="BAA262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A0464F2"/>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B1D18E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4" w15:restartNumberingAfterBreak="0">
    <w:nsid w:val="6C04124B"/>
    <w:multiLevelType w:val="hybridMultilevel"/>
    <w:tmpl w:val="F69C5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C1709B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6" w15:restartNumberingAfterBreak="0">
    <w:nsid w:val="6C94397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7" w15:restartNumberingAfterBreak="0">
    <w:nsid w:val="6C9B4E84"/>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8" w15:restartNumberingAfterBreak="0">
    <w:nsid w:val="6CF40D7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9" w15:restartNumberingAfterBreak="0">
    <w:nsid w:val="6FD04BE5"/>
    <w:multiLevelType w:val="multilevel"/>
    <w:tmpl w:val="B3AC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FDD48E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1" w15:restartNumberingAfterBreak="0">
    <w:nsid w:val="7050012C"/>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15:restartNumberingAfterBreak="0">
    <w:nsid w:val="70815A75"/>
    <w:multiLevelType w:val="hybridMultilevel"/>
    <w:tmpl w:val="1F206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716A3679"/>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4" w15:restartNumberingAfterBreak="0">
    <w:nsid w:val="72155C3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5" w15:restartNumberingAfterBreak="0">
    <w:nsid w:val="72946A81"/>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6" w15:restartNumberingAfterBreak="0">
    <w:nsid w:val="73D5791A"/>
    <w:multiLevelType w:val="hybridMultilevel"/>
    <w:tmpl w:val="447E2010"/>
    <w:lvl w:ilvl="0" w:tplc="72EADB4C">
      <w:start w:val="1"/>
      <w:numFmt w:val="bullet"/>
      <w:lvlText w:val=""/>
      <w:lvlJc w:val="left"/>
      <w:pPr>
        <w:ind w:left="720" w:hanging="360"/>
      </w:pPr>
      <w:rPr>
        <w:rFonts w:ascii="Symbol" w:hAnsi="Symbol"/>
      </w:rPr>
    </w:lvl>
    <w:lvl w:ilvl="1" w:tplc="B164EBDA">
      <w:start w:val="1"/>
      <w:numFmt w:val="bullet"/>
      <w:lvlText w:val=""/>
      <w:lvlJc w:val="left"/>
      <w:pPr>
        <w:ind w:left="720" w:hanging="360"/>
      </w:pPr>
      <w:rPr>
        <w:rFonts w:ascii="Symbol" w:hAnsi="Symbol"/>
      </w:rPr>
    </w:lvl>
    <w:lvl w:ilvl="2" w:tplc="C75EF42C">
      <w:start w:val="1"/>
      <w:numFmt w:val="bullet"/>
      <w:lvlText w:val=""/>
      <w:lvlJc w:val="left"/>
      <w:pPr>
        <w:ind w:left="720" w:hanging="360"/>
      </w:pPr>
      <w:rPr>
        <w:rFonts w:ascii="Symbol" w:hAnsi="Symbol"/>
      </w:rPr>
    </w:lvl>
    <w:lvl w:ilvl="3" w:tplc="DEA2A40A">
      <w:start w:val="1"/>
      <w:numFmt w:val="bullet"/>
      <w:lvlText w:val=""/>
      <w:lvlJc w:val="left"/>
      <w:pPr>
        <w:ind w:left="720" w:hanging="360"/>
      </w:pPr>
      <w:rPr>
        <w:rFonts w:ascii="Symbol" w:hAnsi="Symbol"/>
      </w:rPr>
    </w:lvl>
    <w:lvl w:ilvl="4" w:tplc="8B5E3F8E">
      <w:start w:val="1"/>
      <w:numFmt w:val="bullet"/>
      <w:lvlText w:val=""/>
      <w:lvlJc w:val="left"/>
      <w:pPr>
        <w:ind w:left="720" w:hanging="360"/>
      </w:pPr>
      <w:rPr>
        <w:rFonts w:ascii="Symbol" w:hAnsi="Symbol"/>
      </w:rPr>
    </w:lvl>
    <w:lvl w:ilvl="5" w:tplc="8020D90C">
      <w:start w:val="1"/>
      <w:numFmt w:val="bullet"/>
      <w:lvlText w:val=""/>
      <w:lvlJc w:val="left"/>
      <w:pPr>
        <w:ind w:left="720" w:hanging="360"/>
      </w:pPr>
      <w:rPr>
        <w:rFonts w:ascii="Symbol" w:hAnsi="Symbol"/>
      </w:rPr>
    </w:lvl>
    <w:lvl w:ilvl="6" w:tplc="4A0621A6">
      <w:start w:val="1"/>
      <w:numFmt w:val="bullet"/>
      <w:lvlText w:val=""/>
      <w:lvlJc w:val="left"/>
      <w:pPr>
        <w:ind w:left="720" w:hanging="360"/>
      </w:pPr>
      <w:rPr>
        <w:rFonts w:ascii="Symbol" w:hAnsi="Symbol"/>
      </w:rPr>
    </w:lvl>
    <w:lvl w:ilvl="7" w:tplc="527A9DD2">
      <w:start w:val="1"/>
      <w:numFmt w:val="bullet"/>
      <w:lvlText w:val=""/>
      <w:lvlJc w:val="left"/>
      <w:pPr>
        <w:ind w:left="720" w:hanging="360"/>
      </w:pPr>
      <w:rPr>
        <w:rFonts w:ascii="Symbol" w:hAnsi="Symbol"/>
      </w:rPr>
    </w:lvl>
    <w:lvl w:ilvl="8" w:tplc="F918B930">
      <w:start w:val="1"/>
      <w:numFmt w:val="bullet"/>
      <w:lvlText w:val=""/>
      <w:lvlJc w:val="left"/>
      <w:pPr>
        <w:ind w:left="720" w:hanging="360"/>
      </w:pPr>
      <w:rPr>
        <w:rFonts w:ascii="Symbol" w:hAnsi="Symbol"/>
      </w:rPr>
    </w:lvl>
  </w:abstractNum>
  <w:abstractNum w:abstractNumId="197" w15:restartNumberingAfterBreak="0">
    <w:nsid w:val="743438CE"/>
    <w:multiLevelType w:val="multilevel"/>
    <w:tmpl w:val="F35C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470300B"/>
    <w:multiLevelType w:val="multilevel"/>
    <w:tmpl w:val="C948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48F50EC"/>
    <w:multiLevelType w:val="hybridMultilevel"/>
    <w:tmpl w:val="7D104392"/>
    <w:lvl w:ilvl="0" w:tplc="CCC8C786">
      <w:start w:val="1"/>
      <w:numFmt w:val="bullet"/>
      <w:lvlText w:val="•"/>
      <w:lvlJc w:val="left"/>
      <w:pPr>
        <w:tabs>
          <w:tab w:val="num" w:pos="720"/>
        </w:tabs>
        <w:ind w:left="720" w:hanging="360"/>
      </w:pPr>
      <w:rPr>
        <w:rFonts w:ascii="Arial" w:hAnsi="Arial" w:hint="default"/>
      </w:rPr>
    </w:lvl>
    <w:lvl w:ilvl="1" w:tplc="D6E6D558" w:tentative="1">
      <w:start w:val="1"/>
      <w:numFmt w:val="bullet"/>
      <w:lvlText w:val="•"/>
      <w:lvlJc w:val="left"/>
      <w:pPr>
        <w:tabs>
          <w:tab w:val="num" w:pos="1440"/>
        </w:tabs>
        <w:ind w:left="1440" w:hanging="360"/>
      </w:pPr>
      <w:rPr>
        <w:rFonts w:ascii="Arial" w:hAnsi="Arial" w:hint="default"/>
      </w:rPr>
    </w:lvl>
    <w:lvl w:ilvl="2" w:tplc="3F1453B6" w:tentative="1">
      <w:start w:val="1"/>
      <w:numFmt w:val="bullet"/>
      <w:lvlText w:val="•"/>
      <w:lvlJc w:val="left"/>
      <w:pPr>
        <w:tabs>
          <w:tab w:val="num" w:pos="2160"/>
        </w:tabs>
        <w:ind w:left="2160" w:hanging="360"/>
      </w:pPr>
      <w:rPr>
        <w:rFonts w:ascii="Arial" w:hAnsi="Arial" w:hint="default"/>
      </w:rPr>
    </w:lvl>
    <w:lvl w:ilvl="3" w:tplc="CAA22720" w:tentative="1">
      <w:start w:val="1"/>
      <w:numFmt w:val="bullet"/>
      <w:lvlText w:val="•"/>
      <w:lvlJc w:val="left"/>
      <w:pPr>
        <w:tabs>
          <w:tab w:val="num" w:pos="2880"/>
        </w:tabs>
        <w:ind w:left="2880" w:hanging="360"/>
      </w:pPr>
      <w:rPr>
        <w:rFonts w:ascii="Arial" w:hAnsi="Arial" w:hint="default"/>
      </w:rPr>
    </w:lvl>
    <w:lvl w:ilvl="4" w:tplc="47087926" w:tentative="1">
      <w:start w:val="1"/>
      <w:numFmt w:val="bullet"/>
      <w:lvlText w:val="•"/>
      <w:lvlJc w:val="left"/>
      <w:pPr>
        <w:tabs>
          <w:tab w:val="num" w:pos="3600"/>
        </w:tabs>
        <w:ind w:left="3600" w:hanging="360"/>
      </w:pPr>
      <w:rPr>
        <w:rFonts w:ascii="Arial" w:hAnsi="Arial" w:hint="default"/>
      </w:rPr>
    </w:lvl>
    <w:lvl w:ilvl="5" w:tplc="46DE129C" w:tentative="1">
      <w:start w:val="1"/>
      <w:numFmt w:val="bullet"/>
      <w:lvlText w:val="•"/>
      <w:lvlJc w:val="left"/>
      <w:pPr>
        <w:tabs>
          <w:tab w:val="num" w:pos="4320"/>
        </w:tabs>
        <w:ind w:left="4320" w:hanging="360"/>
      </w:pPr>
      <w:rPr>
        <w:rFonts w:ascii="Arial" w:hAnsi="Arial" w:hint="default"/>
      </w:rPr>
    </w:lvl>
    <w:lvl w:ilvl="6" w:tplc="46E08204" w:tentative="1">
      <w:start w:val="1"/>
      <w:numFmt w:val="bullet"/>
      <w:lvlText w:val="•"/>
      <w:lvlJc w:val="left"/>
      <w:pPr>
        <w:tabs>
          <w:tab w:val="num" w:pos="5040"/>
        </w:tabs>
        <w:ind w:left="5040" w:hanging="360"/>
      </w:pPr>
      <w:rPr>
        <w:rFonts w:ascii="Arial" w:hAnsi="Arial" w:hint="default"/>
      </w:rPr>
    </w:lvl>
    <w:lvl w:ilvl="7" w:tplc="79B24254" w:tentative="1">
      <w:start w:val="1"/>
      <w:numFmt w:val="bullet"/>
      <w:lvlText w:val="•"/>
      <w:lvlJc w:val="left"/>
      <w:pPr>
        <w:tabs>
          <w:tab w:val="num" w:pos="5760"/>
        </w:tabs>
        <w:ind w:left="5760" w:hanging="360"/>
      </w:pPr>
      <w:rPr>
        <w:rFonts w:ascii="Arial" w:hAnsi="Arial" w:hint="default"/>
      </w:rPr>
    </w:lvl>
    <w:lvl w:ilvl="8" w:tplc="DC02C962" w:tentative="1">
      <w:start w:val="1"/>
      <w:numFmt w:val="bullet"/>
      <w:lvlText w:val="•"/>
      <w:lvlJc w:val="left"/>
      <w:pPr>
        <w:tabs>
          <w:tab w:val="num" w:pos="6480"/>
        </w:tabs>
        <w:ind w:left="6480" w:hanging="360"/>
      </w:pPr>
      <w:rPr>
        <w:rFonts w:ascii="Arial" w:hAnsi="Arial" w:hint="default"/>
      </w:rPr>
    </w:lvl>
  </w:abstractNum>
  <w:abstractNum w:abstractNumId="200" w15:restartNumberingAfterBreak="0">
    <w:nsid w:val="756B53C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1" w15:restartNumberingAfterBreak="0">
    <w:nsid w:val="75702ACA"/>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2" w15:restartNumberingAfterBreak="0">
    <w:nsid w:val="757725AE"/>
    <w:multiLevelType w:val="hybridMultilevel"/>
    <w:tmpl w:val="2362B4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76A72E1E"/>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4" w15:restartNumberingAfterBreak="0">
    <w:nsid w:val="76C713FB"/>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5" w15:restartNumberingAfterBreak="0">
    <w:nsid w:val="773B596F"/>
    <w:multiLevelType w:val="multilevel"/>
    <w:tmpl w:val="6FA4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7430C73"/>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7" w15:restartNumberingAfterBreak="0">
    <w:nsid w:val="77A42587"/>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8" w15:restartNumberingAfterBreak="0">
    <w:nsid w:val="77D8696D"/>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9" w15:restartNumberingAfterBreak="0">
    <w:nsid w:val="78DA069A"/>
    <w:multiLevelType w:val="hybridMultilevel"/>
    <w:tmpl w:val="D9F8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99170D2"/>
    <w:multiLevelType w:val="multilevel"/>
    <w:tmpl w:val="10F2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9CC5685"/>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2" w15:restartNumberingAfterBreak="0">
    <w:nsid w:val="7A6A1A22"/>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3" w15:restartNumberingAfterBreak="0">
    <w:nsid w:val="7A7B1E51"/>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A9A286C"/>
    <w:multiLevelType w:val="hybridMultilevel"/>
    <w:tmpl w:val="1F206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5" w15:restartNumberingAfterBreak="0">
    <w:nsid w:val="7BE436A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6" w15:restartNumberingAfterBreak="0">
    <w:nsid w:val="7E351A9B"/>
    <w:multiLevelType w:val="hybridMultilevel"/>
    <w:tmpl w:val="FC46A252"/>
    <w:lvl w:ilvl="0" w:tplc="FFFFFFFF">
      <w:start w:val="1"/>
      <w:numFmt w:val="decimal"/>
      <w:lvlText w:val="%1."/>
      <w:lvlJc w:val="left"/>
      <w:pPr>
        <w:ind w:left="720" w:hanging="360"/>
      </w:pPr>
      <w:rPr>
        <w:rFonts w:ascii="Arial" w:hAnsi="Arial" w:cs="Arial" w:hint="default"/>
        <w:b w:val="0"/>
        <w:bCs w:val="0"/>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565588"/>
    <w:multiLevelType w:val="hybridMultilevel"/>
    <w:tmpl w:val="EA4E5E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45473244">
    <w:abstractNumId w:val="57"/>
  </w:num>
  <w:num w:numId="2" w16cid:durableId="1460562509">
    <w:abstractNumId w:val="119"/>
  </w:num>
  <w:num w:numId="3" w16cid:durableId="392697510">
    <w:abstractNumId w:val="111"/>
  </w:num>
  <w:num w:numId="4" w16cid:durableId="59603505">
    <w:abstractNumId w:val="160"/>
  </w:num>
  <w:num w:numId="5" w16cid:durableId="1000236059">
    <w:abstractNumId w:val="209"/>
  </w:num>
  <w:num w:numId="6" w16cid:durableId="301734659">
    <w:abstractNumId w:val="156"/>
  </w:num>
  <w:num w:numId="7" w16cid:durableId="1015377320">
    <w:abstractNumId w:val="148"/>
  </w:num>
  <w:num w:numId="8" w16cid:durableId="1482497962">
    <w:abstractNumId w:val="184"/>
  </w:num>
  <w:num w:numId="9" w16cid:durableId="1285772953">
    <w:abstractNumId w:val="126"/>
  </w:num>
  <w:num w:numId="10" w16cid:durableId="326517138">
    <w:abstractNumId w:val="41"/>
  </w:num>
  <w:num w:numId="11" w16cid:durableId="2044133432">
    <w:abstractNumId w:val="199"/>
  </w:num>
  <w:num w:numId="12" w16cid:durableId="1668627317">
    <w:abstractNumId w:val="68"/>
  </w:num>
  <w:num w:numId="13" w16cid:durableId="848329924">
    <w:abstractNumId w:val="19"/>
  </w:num>
  <w:num w:numId="14" w16cid:durableId="1788549737">
    <w:abstractNumId w:val="13"/>
  </w:num>
  <w:num w:numId="15" w16cid:durableId="2068911626">
    <w:abstractNumId w:val="47"/>
  </w:num>
  <w:num w:numId="16" w16cid:durableId="1535266529">
    <w:abstractNumId w:val="202"/>
  </w:num>
  <w:num w:numId="17" w16cid:durableId="1785883674">
    <w:abstractNumId w:val="55"/>
  </w:num>
  <w:num w:numId="18" w16cid:durableId="1171019502">
    <w:abstractNumId w:val="1"/>
  </w:num>
  <w:num w:numId="19" w16cid:durableId="1027678646">
    <w:abstractNumId w:val="86"/>
  </w:num>
  <w:num w:numId="20" w16cid:durableId="1410879756">
    <w:abstractNumId w:val="197"/>
  </w:num>
  <w:num w:numId="21" w16cid:durableId="95640897">
    <w:abstractNumId w:val="150"/>
  </w:num>
  <w:num w:numId="22" w16cid:durableId="1342391743">
    <w:abstractNumId w:val="164"/>
  </w:num>
  <w:num w:numId="23" w16cid:durableId="667054739">
    <w:abstractNumId w:val="56"/>
  </w:num>
  <w:num w:numId="24" w16cid:durableId="1618638783">
    <w:abstractNumId w:val="124"/>
  </w:num>
  <w:num w:numId="25" w16cid:durableId="771973916">
    <w:abstractNumId w:val="107"/>
  </w:num>
  <w:num w:numId="26" w16cid:durableId="2090153250">
    <w:abstractNumId w:val="189"/>
  </w:num>
  <w:num w:numId="27" w16cid:durableId="993876859">
    <w:abstractNumId w:val="62"/>
  </w:num>
  <w:num w:numId="28" w16cid:durableId="243296810">
    <w:abstractNumId w:val="115"/>
  </w:num>
  <w:num w:numId="29" w16cid:durableId="1694719630">
    <w:abstractNumId w:val="20"/>
  </w:num>
  <w:num w:numId="30" w16cid:durableId="1441604962">
    <w:abstractNumId w:val="94"/>
  </w:num>
  <w:num w:numId="31" w16cid:durableId="1723365580">
    <w:abstractNumId w:val="28"/>
  </w:num>
  <w:num w:numId="32" w16cid:durableId="1595742311">
    <w:abstractNumId w:val="170"/>
  </w:num>
  <w:num w:numId="33" w16cid:durableId="1956862753">
    <w:abstractNumId w:val="180"/>
  </w:num>
  <w:num w:numId="34" w16cid:durableId="1908610698">
    <w:abstractNumId w:val="181"/>
  </w:num>
  <w:num w:numId="35" w16cid:durableId="964429542">
    <w:abstractNumId w:val="88"/>
  </w:num>
  <w:num w:numId="36" w16cid:durableId="1948000440">
    <w:abstractNumId w:val="44"/>
  </w:num>
  <w:num w:numId="37" w16cid:durableId="1711412712">
    <w:abstractNumId w:val="142"/>
  </w:num>
  <w:num w:numId="38" w16cid:durableId="597445763">
    <w:abstractNumId w:val="155"/>
  </w:num>
  <w:num w:numId="39" w16cid:durableId="862085748">
    <w:abstractNumId w:val="128"/>
  </w:num>
  <w:num w:numId="40" w16cid:durableId="2125078483">
    <w:abstractNumId w:val="135"/>
  </w:num>
  <w:num w:numId="41" w16cid:durableId="889002292">
    <w:abstractNumId w:val="198"/>
  </w:num>
  <w:num w:numId="42" w16cid:durableId="209611473">
    <w:abstractNumId w:val="36"/>
  </w:num>
  <w:num w:numId="43" w16cid:durableId="1001159410">
    <w:abstractNumId w:val="60"/>
  </w:num>
  <w:num w:numId="44" w16cid:durableId="64106214">
    <w:abstractNumId w:val="91"/>
  </w:num>
  <w:num w:numId="45" w16cid:durableId="1434321550">
    <w:abstractNumId w:val="166"/>
  </w:num>
  <w:num w:numId="46" w16cid:durableId="850795243">
    <w:abstractNumId w:val="6"/>
  </w:num>
  <w:num w:numId="47" w16cid:durableId="1507018136">
    <w:abstractNumId w:val="45"/>
  </w:num>
  <w:num w:numId="48" w16cid:durableId="772214734">
    <w:abstractNumId w:val="159"/>
  </w:num>
  <w:num w:numId="49" w16cid:durableId="696195219">
    <w:abstractNumId w:val="51"/>
  </w:num>
  <w:num w:numId="50" w16cid:durableId="2045862347">
    <w:abstractNumId w:val="0"/>
  </w:num>
  <w:num w:numId="51" w16cid:durableId="377512202">
    <w:abstractNumId w:val="145"/>
  </w:num>
  <w:num w:numId="52" w16cid:durableId="1181118565">
    <w:abstractNumId w:val="117"/>
  </w:num>
  <w:num w:numId="53" w16cid:durableId="267661142">
    <w:abstractNumId w:val="100"/>
  </w:num>
  <w:num w:numId="54" w16cid:durableId="49697205">
    <w:abstractNumId w:val="39"/>
  </w:num>
  <w:num w:numId="55" w16cid:durableId="1796488367">
    <w:abstractNumId w:val="196"/>
  </w:num>
  <w:num w:numId="56" w16cid:durableId="1486049235">
    <w:abstractNumId w:val="112"/>
  </w:num>
  <w:num w:numId="57" w16cid:durableId="1768882949">
    <w:abstractNumId w:val="205"/>
  </w:num>
  <w:num w:numId="58" w16cid:durableId="705642809">
    <w:abstractNumId w:val="90"/>
  </w:num>
  <w:num w:numId="59" w16cid:durableId="223685572">
    <w:abstractNumId w:val="71"/>
  </w:num>
  <w:num w:numId="60" w16cid:durableId="1251158731">
    <w:abstractNumId w:val="138"/>
  </w:num>
  <w:num w:numId="61" w16cid:durableId="497884683">
    <w:abstractNumId w:val="153"/>
  </w:num>
  <w:num w:numId="62" w16cid:durableId="1401172497">
    <w:abstractNumId w:val="52"/>
  </w:num>
  <w:num w:numId="63" w16cid:durableId="23331352">
    <w:abstractNumId w:val="109"/>
  </w:num>
  <w:num w:numId="64" w16cid:durableId="1898085782">
    <w:abstractNumId w:val="141"/>
  </w:num>
  <w:num w:numId="65" w16cid:durableId="1032850165">
    <w:abstractNumId w:val="131"/>
  </w:num>
  <w:num w:numId="66" w16cid:durableId="1889682678">
    <w:abstractNumId w:val="58"/>
  </w:num>
  <w:num w:numId="67" w16cid:durableId="1041905108">
    <w:abstractNumId w:val="188"/>
  </w:num>
  <w:num w:numId="68" w16cid:durableId="687293085">
    <w:abstractNumId w:val="114"/>
  </w:num>
  <w:num w:numId="69" w16cid:durableId="380519153">
    <w:abstractNumId w:val="102"/>
  </w:num>
  <w:num w:numId="70" w16cid:durableId="1339113214">
    <w:abstractNumId w:val="72"/>
  </w:num>
  <w:num w:numId="71" w16cid:durableId="1796947286">
    <w:abstractNumId w:val="157"/>
  </w:num>
  <w:num w:numId="72" w16cid:durableId="73405954">
    <w:abstractNumId w:val="2"/>
  </w:num>
  <w:num w:numId="73" w16cid:durableId="704864607">
    <w:abstractNumId w:val="78"/>
  </w:num>
  <w:num w:numId="74" w16cid:durableId="1289581548">
    <w:abstractNumId w:val="49"/>
  </w:num>
  <w:num w:numId="75" w16cid:durableId="98305322">
    <w:abstractNumId w:val="140"/>
  </w:num>
  <w:num w:numId="76" w16cid:durableId="2111387456">
    <w:abstractNumId w:val="213"/>
  </w:num>
  <w:num w:numId="77" w16cid:durableId="1442187290">
    <w:abstractNumId w:val="66"/>
  </w:num>
  <w:num w:numId="78" w16cid:durableId="518395314">
    <w:abstractNumId w:val="147"/>
  </w:num>
  <w:num w:numId="79" w16cid:durableId="2137067899">
    <w:abstractNumId w:val="10"/>
  </w:num>
  <w:num w:numId="80" w16cid:durableId="501775690">
    <w:abstractNumId w:val="203"/>
  </w:num>
  <w:num w:numId="81" w16cid:durableId="351806964">
    <w:abstractNumId w:val="80"/>
  </w:num>
  <w:num w:numId="82" w16cid:durableId="1590582955">
    <w:abstractNumId w:val="29"/>
  </w:num>
  <w:num w:numId="83" w16cid:durableId="1125387035">
    <w:abstractNumId w:val="97"/>
  </w:num>
  <w:num w:numId="84" w16cid:durableId="1969511536">
    <w:abstractNumId w:val="87"/>
  </w:num>
  <w:num w:numId="85" w16cid:durableId="1409497441">
    <w:abstractNumId w:val="69"/>
  </w:num>
  <w:num w:numId="86" w16cid:durableId="1929734601">
    <w:abstractNumId w:val="195"/>
  </w:num>
  <w:num w:numId="87" w16cid:durableId="1267809339">
    <w:abstractNumId w:val="99"/>
  </w:num>
  <w:num w:numId="88" w16cid:durableId="103964451">
    <w:abstractNumId w:val="139"/>
  </w:num>
  <w:num w:numId="89" w16cid:durableId="351733300">
    <w:abstractNumId w:val="152"/>
  </w:num>
  <w:num w:numId="90" w16cid:durableId="1190997141">
    <w:abstractNumId w:val="207"/>
  </w:num>
  <w:num w:numId="91" w16cid:durableId="313682254">
    <w:abstractNumId w:val="24"/>
  </w:num>
  <w:num w:numId="92" w16cid:durableId="1174227712">
    <w:abstractNumId w:val="81"/>
  </w:num>
  <w:num w:numId="93" w16cid:durableId="595291392">
    <w:abstractNumId w:val="116"/>
  </w:num>
  <w:num w:numId="94" w16cid:durableId="1529298146">
    <w:abstractNumId w:val="193"/>
  </w:num>
  <w:num w:numId="95" w16cid:durableId="1322389608">
    <w:abstractNumId w:val="163"/>
  </w:num>
  <w:num w:numId="96" w16cid:durableId="1154952659">
    <w:abstractNumId w:val="130"/>
  </w:num>
  <w:num w:numId="97" w16cid:durableId="350111321">
    <w:abstractNumId w:val="182"/>
  </w:num>
  <w:num w:numId="98" w16cid:durableId="1838033555">
    <w:abstractNumId w:val="9"/>
  </w:num>
  <w:num w:numId="99" w16cid:durableId="774786728">
    <w:abstractNumId w:val="173"/>
  </w:num>
  <w:num w:numId="100" w16cid:durableId="91319258">
    <w:abstractNumId w:val="53"/>
  </w:num>
  <w:num w:numId="101" w16cid:durableId="1256330656">
    <w:abstractNumId w:val="82"/>
  </w:num>
  <w:num w:numId="102" w16cid:durableId="248002375">
    <w:abstractNumId w:val="84"/>
  </w:num>
  <w:num w:numId="103" w16cid:durableId="1726879328">
    <w:abstractNumId w:val="215"/>
  </w:num>
  <w:num w:numId="104" w16cid:durableId="947158743">
    <w:abstractNumId w:val="178"/>
  </w:num>
  <w:num w:numId="105" w16cid:durableId="1368136893">
    <w:abstractNumId w:val="43"/>
  </w:num>
  <w:num w:numId="106" w16cid:durableId="1444963211">
    <w:abstractNumId w:val="104"/>
  </w:num>
  <w:num w:numId="107" w16cid:durableId="958797344">
    <w:abstractNumId w:val="12"/>
  </w:num>
  <w:num w:numId="108" w16cid:durableId="1914273157">
    <w:abstractNumId w:val="177"/>
  </w:num>
  <w:num w:numId="109" w16cid:durableId="1762950969">
    <w:abstractNumId w:val="185"/>
  </w:num>
  <w:num w:numId="110" w16cid:durableId="1253473717">
    <w:abstractNumId w:val="216"/>
  </w:num>
  <w:num w:numId="111" w16cid:durableId="1595940391">
    <w:abstractNumId w:val="204"/>
  </w:num>
  <w:num w:numId="112" w16cid:durableId="576131997">
    <w:abstractNumId w:val="63"/>
  </w:num>
  <w:num w:numId="113" w16cid:durableId="1906647268">
    <w:abstractNumId w:val="30"/>
  </w:num>
  <w:num w:numId="114" w16cid:durableId="556938655">
    <w:abstractNumId w:val="208"/>
  </w:num>
  <w:num w:numId="115" w16cid:durableId="1756512299">
    <w:abstractNumId w:val="11"/>
  </w:num>
  <w:num w:numId="116" w16cid:durableId="257372874">
    <w:abstractNumId w:val="200"/>
  </w:num>
  <w:num w:numId="117" w16cid:durableId="1792938888">
    <w:abstractNumId w:val="27"/>
  </w:num>
  <w:num w:numId="118" w16cid:durableId="346374429">
    <w:abstractNumId w:val="64"/>
  </w:num>
  <w:num w:numId="119" w16cid:durableId="18970518">
    <w:abstractNumId w:val="108"/>
  </w:num>
  <w:num w:numId="120" w16cid:durableId="317005730">
    <w:abstractNumId w:val="172"/>
  </w:num>
  <w:num w:numId="121" w16cid:durableId="86855879">
    <w:abstractNumId w:val="190"/>
  </w:num>
  <w:num w:numId="122" w16cid:durableId="258877268">
    <w:abstractNumId w:val="212"/>
  </w:num>
  <w:num w:numId="123" w16cid:durableId="521671399">
    <w:abstractNumId w:val="136"/>
  </w:num>
  <w:num w:numId="124" w16cid:durableId="271404963">
    <w:abstractNumId w:val="149"/>
  </w:num>
  <w:num w:numId="125" w16cid:durableId="716008396">
    <w:abstractNumId w:val="70"/>
  </w:num>
  <w:num w:numId="126" w16cid:durableId="573321840">
    <w:abstractNumId w:val="96"/>
  </w:num>
  <w:num w:numId="127" w16cid:durableId="586423412">
    <w:abstractNumId w:val="110"/>
  </w:num>
  <w:num w:numId="128" w16cid:durableId="821582790">
    <w:abstractNumId w:val="14"/>
  </w:num>
  <w:num w:numId="129" w16cid:durableId="1589000882">
    <w:abstractNumId w:val="54"/>
  </w:num>
  <w:num w:numId="130" w16cid:durableId="2320622">
    <w:abstractNumId w:val="4"/>
  </w:num>
  <w:num w:numId="131" w16cid:durableId="1026753103">
    <w:abstractNumId w:val="3"/>
  </w:num>
  <w:num w:numId="132" w16cid:durableId="551115301">
    <w:abstractNumId w:val="105"/>
  </w:num>
  <w:num w:numId="133" w16cid:durableId="903837238">
    <w:abstractNumId w:val="183"/>
  </w:num>
  <w:num w:numId="134" w16cid:durableId="422990722">
    <w:abstractNumId w:val="143"/>
  </w:num>
  <w:num w:numId="135" w16cid:durableId="1764645431">
    <w:abstractNumId w:val="217"/>
  </w:num>
  <w:num w:numId="136" w16cid:durableId="898319733">
    <w:abstractNumId w:val="67"/>
  </w:num>
  <w:num w:numId="137" w16cid:durableId="767696300">
    <w:abstractNumId w:val="18"/>
  </w:num>
  <w:num w:numId="138" w16cid:durableId="2049260365">
    <w:abstractNumId w:val="174"/>
  </w:num>
  <w:num w:numId="139" w16cid:durableId="128212661">
    <w:abstractNumId w:val="211"/>
  </w:num>
  <w:num w:numId="140" w16cid:durableId="1262373320">
    <w:abstractNumId w:val="123"/>
  </w:num>
  <w:num w:numId="141" w16cid:durableId="438379621">
    <w:abstractNumId w:val="38"/>
  </w:num>
  <w:num w:numId="142" w16cid:durableId="1430808623">
    <w:abstractNumId w:val="146"/>
  </w:num>
  <w:num w:numId="143" w16cid:durableId="2138722305">
    <w:abstractNumId w:val="92"/>
  </w:num>
  <w:num w:numId="144" w16cid:durableId="1099065140">
    <w:abstractNumId w:val="132"/>
  </w:num>
  <w:num w:numId="145" w16cid:durableId="414788312">
    <w:abstractNumId w:val="179"/>
  </w:num>
  <w:num w:numId="146" w16cid:durableId="1944260007">
    <w:abstractNumId w:val="21"/>
  </w:num>
  <w:num w:numId="147" w16cid:durableId="873931376">
    <w:abstractNumId w:val="158"/>
  </w:num>
  <w:num w:numId="148" w16cid:durableId="748624316">
    <w:abstractNumId w:val="171"/>
  </w:num>
  <w:num w:numId="149" w16cid:durableId="30767781">
    <w:abstractNumId w:val="122"/>
  </w:num>
  <w:num w:numId="150" w16cid:durableId="1263611155">
    <w:abstractNumId w:val="61"/>
  </w:num>
  <w:num w:numId="151" w16cid:durableId="1727995181">
    <w:abstractNumId w:val="175"/>
  </w:num>
  <w:num w:numId="152" w16cid:durableId="1238247709">
    <w:abstractNumId w:val="42"/>
  </w:num>
  <w:num w:numId="153" w16cid:durableId="508062808">
    <w:abstractNumId w:val="168"/>
  </w:num>
  <w:num w:numId="154" w16cid:durableId="1151211739">
    <w:abstractNumId w:val="113"/>
  </w:num>
  <w:num w:numId="155" w16cid:durableId="1212376789">
    <w:abstractNumId w:val="33"/>
  </w:num>
  <w:num w:numId="156" w16cid:durableId="1541554483">
    <w:abstractNumId w:val="151"/>
  </w:num>
  <w:num w:numId="157" w16cid:durableId="586033987">
    <w:abstractNumId w:val="16"/>
  </w:num>
  <w:num w:numId="158" w16cid:durableId="1735883793">
    <w:abstractNumId w:val="34"/>
  </w:num>
  <w:num w:numId="159" w16cid:durableId="458651969">
    <w:abstractNumId w:val="162"/>
  </w:num>
  <w:num w:numId="160" w16cid:durableId="1565486475">
    <w:abstractNumId w:val="165"/>
  </w:num>
  <w:num w:numId="161" w16cid:durableId="890381825">
    <w:abstractNumId w:val="79"/>
  </w:num>
  <w:num w:numId="162" w16cid:durableId="2106000318">
    <w:abstractNumId w:val="118"/>
  </w:num>
  <w:num w:numId="163" w16cid:durableId="614409719">
    <w:abstractNumId w:val="23"/>
  </w:num>
  <w:num w:numId="164" w16cid:durableId="680593522">
    <w:abstractNumId w:val="169"/>
  </w:num>
  <w:num w:numId="165" w16cid:durableId="1987933885">
    <w:abstractNumId w:val="5"/>
  </w:num>
  <w:num w:numId="166" w16cid:durableId="1464888174">
    <w:abstractNumId w:val="106"/>
  </w:num>
  <w:num w:numId="167" w16cid:durableId="110367718">
    <w:abstractNumId w:val="186"/>
  </w:num>
  <w:num w:numId="168" w16cid:durableId="227885300">
    <w:abstractNumId w:val="25"/>
  </w:num>
  <w:num w:numId="169" w16cid:durableId="2144303288">
    <w:abstractNumId w:val="95"/>
  </w:num>
  <w:num w:numId="170" w16cid:durableId="1626496831">
    <w:abstractNumId w:val="15"/>
  </w:num>
  <w:num w:numId="171" w16cid:durableId="1890877406">
    <w:abstractNumId w:val="103"/>
  </w:num>
  <w:num w:numId="172" w16cid:durableId="1835030438">
    <w:abstractNumId w:val="31"/>
  </w:num>
  <w:num w:numId="173" w16cid:durableId="1451781798">
    <w:abstractNumId w:val="127"/>
  </w:num>
  <w:num w:numId="174" w16cid:durableId="1577204657">
    <w:abstractNumId w:val="8"/>
  </w:num>
  <w:num w:numId="175" w16cid:durableId="233322931">
    <w:abstractNumId w:val="32"/>
  </w:num>
  <w:num w:numId="176" w16cid:durableId="2103715983">
    <w:abstractNumId w:val="125"/>
  </w:num>
  <w:num w:numId="177" w16cid:durableId="893615919">
    <w:abstractNumId w:val="176"/>
  </w:num>
  <w:num w:numId="178" w16cid:durableId="1994024439">
    <w:abstractNumId w:val="134"/>
  </w:num>
  <w:num w:numId="179" w16cid:durableId="2015953386">
    <w:abstractNumId w:val="26"/>
  </w:num>
  <w:num w:numId="180" w16cid:durableId="991101616">
    <w:abstractNumId w:val="120"/>
  </w:num>
  <w:num w:numId="181" w16cid:durableId="161746921">
    <w:abstractNumId w:val="76"/>
  </w:num>
  <w:num w:numId="182" w16cid:durableId="238566998">
    <w:abstractNumId w:val="65"/>
  </w:num>
  <w:num w:numId="183" w16cid:durableId="1791822165">
    <w:abstractNumId w:val="73"/>
  </w:num>
  <w:num w:numId="184" w16cid:durableId="186871081">
    <w:abstractNumId w:val="121"/>
  </w:num>
  <w:num w:numId="185" w16cid:durableId="886382123">
    <w:abstractNumId w:val="48"/>
  </w:num>
  <w:num w:numId="186" w16cid:durableId="1571771816">
    <w:abstractNumId w:val="167"/>
  </w:num>
  <w:num w:numId="187" w16cid:durableId="47415178">
    <w:abstractNumId w:val="154"/>
  </w:num>
  <w:num w:numId="188" w16cid:durableId="780346310">
    <w:abstractNumId w:val="40"/>
  </w:num>
  <w:num w:numId="189" w16cid:durableId="1637296207">
    <w:abstractNumId w:val="161"/>
  </w:num>
  <w:num w:numId="190" w16cid:durableId="1261061962">
    <w:abstractNumId w:val="75"/>
  </w:num>
  <w:num w:numId="191" w16cid:durableId="1095590985">
    <w:abstractNumId w:val="201"/>
  </w:num>
  <w:num w:numId="192" w16cid:durableId="987317138">
    <w:abstractNumId w:val="187"/>
  </w:num>
  <w:num w:numId="193" w16cid:durableId="1988241349">
    <w:abstractNumId w:val="194"/>
  </w:num>
  <w:num w:numId="194" w16cid:durableId="1421559543">
    <w:abstractNumId w:val="7"/>
  </w:num>
  <w:num w:numId="195" w16cid:durableId="1774938973">
    <w:abstractNumId w:val="17"/>
  </w:num>
  <w:num w:numId="196" w16cid:durableId="311639988">
    <w:abstractNumId w:val="37"/>
  </w:num>
  <w:num w:numId="197" w16cid:durableId="1234583497">
    <w:abstractNumId w:val="22"/>
  </w:num>
  <w:num w:numId="198" w16cid:durableId="581449427">
    <w:abstractNumId w:val="210"/>
  </w:num>
  <w:num w:numId="199" w16cid:durableId="1254440552">
    <w:abstractNumId w:val="137"/>
  </w:num>
  <w:num w:numId="200" w16cid:durableId="53355880">
    <w:abstractNumId w:val="192"/>
  </w:num>
  <w:num w:numId="201" w16cid:durableId="392432722">
    <w:abstractNumId w:val="77"/>
  </w:num>
  <w:num w:numId="202" w16cid:durableId="1329210141">
    <w:abstractNumId w:val="98"/>
  </w:num>
  <w:num w:numId="203" w16cid:durableId="1870678084">
    <w:abstractNumId w:val="206"/>
  </w:num>
  <w:num w:numId="204" w16cid:durableId="733233794">
    <w:abstractNumId w:val="46"/>
  </w:num>
  <w:num w:numId="205" w16cid:durableId="1056777355">
    <w:abstractNumId w:val="101"/>
  </w:num>
  <w:num w:numId="206" w16cid:durableId="1554579918">
    <w:abstractNumId w:val="74"/>
  </w:num>
  <w:num w:numId="207" w16cid:durableId="1867479114">
    <w:abstractNumId w:val="144"/>
  </w:num>
  <w:num w:numId="208" w16cid:durableId="1479155062">
    <w:abstractNumId w:val="83"/>
  </w:num>
  <w:num w:numId="209" w16cid:durableId="506016671">
    <w:abstractNumId w:val="85"/>
  </w:num>
  <w:num w:numId="210" w16cid:durableId="409887299">
    <w:abstractNumId w:val="191"/>
  </w:num>
  <w:num w:numId="211" w16cid:durableId="1238129030">
    <w:abstractNumId w:val="133"/>
  </w:num>
  <w:num w:numId="212" w16cid:durableId="917594345">
    <w:abstractNumId w:val="50"/>
  </w:num>
  <w:num w:numId="213" w16cid:durableId="1591961860">
    <w:abstractNumId w:val="35"/>
  </w:num>
  <w:num w:numId="214" w16cid:durableId="488524748">
    <w:abstractNumId w:val="214"/>
  </w:num>
  <w:num w:numId="215" w16cid:durableId="1935630011">
    <w:abstractNumId w:val="93"/>
  </w:num>
  <w:num w:numId="216" w16cid:durableId="2053654504">
    <w:abstractNumId w:val="89"/>
  </w:num>
  <w:num w:numId="217" w16cid:durableId="1685746100">
    <w:abstractNumId w:val="129"/>
  </w:num>
  <w:num w:numId="218" w16cid:durableId="1787313272">
    <w:abstractNumId w:val="59"/>
  </w:num>
  <w:num w:numId="219" w16cid:durableId="163552318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835151833">
    <w:abstractNumId w:val="47"/>
  </w:num>
  <w:num w:numId="221" w16cid:durableId="262959322">
    <w:abstractNumId w:val="57"/>
  </w:num>
  <w:num w:numId="222" w16cid:durableId="2057508026">
    <w:abstractNumId w:val="57"/>
  </w:num>
  <w:num w:numId="223" w16cid:durableId="1848130172">
    <w:abstractNumId w:val="5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F5"/>
    <w:rsid w:val="00000231"/>
    <w:rsid w:val="000005D2"/>
    <w:rsid w:val="000009D8"/>
    <w:rsid w:val="000012E8"/>
    <w:rsid w:val="00001854"/>
    <w:rsid w:val="00001987"/>
    <w:rsid w:val="00001AC0"/>
    <w:rsid w:val="00001E89"/>
    <w:rsid w:val="00002318"/>
    <w:rsid w:val="0000245D"/>
    <w:rsid w:val="00002FBD"/>
    <w:rsid w:val="000035C4"/>
    <w:rsid w:val="000036C2"/>
    <w:rsid w:val="000039E7"/>
    <w:rsid w:val="00003A9B"/>
    <w:rsid w:val="00003DC6"/>
    <w:rsid w:val="00004167"/>
    <w:rsid w:val="000042EB"/>
    <w:rsid w:val="00005125"/>
    <w:rsid w:val="0000514E"/>
    <w:rsid w:val="000051F2"/>
    <w:rsid w:val="000058BC"/>
    <w:rsid w:val="00005A46"/>
    <w:rsid w:val="00006380"/>
    <w:rsid w:val="000065AF"/>
    <w:rsid w:val="00007004"/>
    <w:rsid w:val="00007205"/>
    <w:rsid w:val="00007D89"/>
    <w:rsid w:val="000109F3"/>
    <w:rsid w:val="00010E7F"/>
    <w:rsid w:val="000111F4"/>
    <w:rsid w:val="0001160B"/>
    <w:rsid w:val="0001205E"/>
    <w:rsid w:val="00012457"/>
    <w:rsid w:val="00012660"/>
    <w:rsid w:val="000126B1"/>
    <w:rsid w:val="0001274C"/>
    <w:rsid w:val="00012F31"/>
    <w:rsid w:val="00013088"/>
    <w:rsid w:val="000135FE"/>
    <w:rsid w:val="00013705"/>
    <w:rsid w:val="00013C84"/>
    <w:rsid w:val="000140C8"/>
    <w:rsid w:val="000142C0"/>
    <w:rsid w:val="00014A68"/>
    <w:rsid w:val="00015D8A"/>
    <w:rsid w:val="00016495"/>
    <w:rsid w:val="00016F08"/>
    <w:rsid w:val="00016FB5"/>
    <w:rsid w:val="00017026"/>
    <w:rsid w:val="00017189"/>
    <w:rsid w:val="0001718E"/>
    <w:rsid w:val="000173BF"/>
    <w:rsid w:val="00017B35"/>
    <w:rsid w:val="00020412"/>
    <w:rsid w:val="00021356"/>
    <w:rsid w:val="000215CB"/>
    <w:rsid w:val="000216AA"/>
    <w:rsid w:val="00021D39"/>
    <w:rsid w:val="00021EE1"/>
    <w:rsid w:val="00022ECC"/>
    <w:rsid w:val="00023491"/>
    <w:rsid w:val="00023C65"/>
    <w:rsid w:val="00023C93"/>
    <w:rsid w:val="00023F07"/>
    <w:rsid w:val="00023F1D"/>
    <w:rsid w:val="00023F49"/>
    <w:rsid w:val="000252E8"/>
    <w:rsid w:val="00025713"/>
    <w:rsid w:val="00025784"/>
    <w:rsid w:val="00025992"/>
    <w:rsid w:val="000260D6"/>
    <w:rsid w:val="00026CAB"/>
    <w:rsid w:val="00027555"/>
    <w:rsid w:val="00027788"/>
    <w:rsid w:val="00027ED0"/>
    <w:rsid w:val="00030047"/>
    <w:rsid w:val="00030075"/>
    <w:rsid w:val="00030191"/>
    <w:rsid w:val="000301B3"/>
    <w:rsid w:val="00030C24"/>
    <w:rsid w:val="00030D4F"/>
    <w:rsid w:val="0003126D"/>
    <w:rsid w:val="000313CC"/>
    <w:rsid w:val="0003143A"/>
    <w:rsid w:val="00031518"/>
    <w:rsid w:val="0003181D"/>
    <w:rsid w:val="0003184B"/>
    <w:rsid w:val="00031A60"/>
    <w:rsid w:val="00031FCC"/>
    <w:rsid w:val="0003204C"/>
    <w:rsid w:val="00032393"/>
    <w:rsid w:val="00032B95"/>
    <w:rsid w:val="00032F82"/>
    <w:rsid w:val="00033276"/>
    <w:rsid w:val="0003390A"/>
    <w:rsid w:val="0003396D"/>
    <w:rsid w:val="00033998"/>
    <w:rsid w:val="00033CF2"/>
    <w:rsid w:val="000342A5"/>
    <w:rsid w:val="000342FF"/>
    <w:rsid w:val="0003547D"/>
    <w:rsid w:val="000355F7"/>
    <w:rsid w:val="00036052"/>
    <w:rsid w:val="000360DC"/>
    <w:rsid w:val="000362EC"/>
    <w:rsid w:val="0003633A"/>
    <w:rsid w:val="0003682A"/>
    <w:rsid w:val="0003693B"/>
    <w:rsid w:val="00036B29"/>
    <w:rsid w:val="00036F76"/>
    <w:rsid w:val="00037642"/>
    <w:rsid w:val="0003764E"/>
    <w:rsid w:val="00037AC4"/>
    <w:rsid w:val="00037D70"/>
    <w:rsid w:val="00040159"/>
    <w:rsid w:val="000408C8"/>
    <w:rsid w:val="00040CFD"/>
    <w:rsid w:val="0004182C"/>
    <w:rsid w:val="00041DED"/>
    <w:rsid w:val="00042071"/>
    <w:rsid w:val="0004298B"/>
    <w:rsid w:val="00042D47"/>
    <w:rsid w:val="00043124"/>
    <w:rsid w:val="000433D4"/>
    <w:rsid w:val="000437A7"/>
    <w:rsid w:val="0004437F"/>
    <w:rsid w:val="000443DF"/>
    <w:rsid w:val="0004463F"/>
    <w:rsid w:val="0004473A"/>
    <w:rsid w:val="000449E9"/>
    <w:rsid w:val="00044A4B"/>
    <w:rsid w:val="00044C1D"/>
    <w:rsid w:val="00045B17"/>
    <w:rsid w:val="000460A5"/>
    <w:rsid w:val="000464C7"/>
    <w:rsid w:val="000465A7"/>
    <w:rsid w:val="00046793"/>
    <w:rsid w:val="000467F2"/>
    <w:rsid w:val="0004695B"/>
    <w:rsid w:val="00046B52"/>
    <w:rsid w:val="00047435"/>
    <w:rsid w:val="000477CC"/>
    <w:rsid w:val="000478F9"/>
    <w:rsid w:val="00047AAC"/>
    <w:rsid w:val="00050009"/>
    <w:rsid w:val="00050549"/>
    <w:rsid w:val="00050730"/>
    <w:rsid w:val="00050739"/>
    <w:rsid w:val="00050A91"/>
    <w:rsid w:val="00050F20"/>
    <w:rsid w:val="000510C0"/>
    <w:rsid w:val="0005188D"/>
    <w:rsid w:val="00051C8A"/>
    <w:rsid w:val="00051F82"/>
    <w:rsid w:val="00051FC2"/>
    <w:rsid w:val="000522C6"/>
    <w:rsid w:val="00053045"/>
    <w:rsid w:val="000536EE"/>
    <w:rsid w:val="0005404D"/>
    <w:rsid w:val="000541AA"/>
    <w:rsid w:val="00054601"/>
    <w:rsid w:val="00054729"/>
    <w:rsid w:val="00054A15"/>
    <w:rsid w:val="00055014"/>
    <w:rsid w:val="0005532A"/>
    <w:rsid w:val="00055ABF"/>
    <w:rsid w:val="000560AD"/>
    <w:rsid w:val="000561DD"/>
    <w:rsid w:val="000568C4"/>
    <w:rsid w:val="00056B82"/>
    <w:rsid w:val="00056CFD"/>
    <w:rsid w:val="00057135"/>
    <w:rsid w:val="00057916"/>
    <w:rsid w:val="00060307"/>
    <w:rsid w:val="00061137"/>
    <w:rsid w:val="00061162"/>
    <w:rsid w:val="00062168"/>
    <w:rsid w:val="00062A62"/>
    <w:rsid w:val="00063122"/>
    <w:rsid w:val="00063975"/>
    <w:rsid w:val="00063D02"/>
    <w:rsid w:val="0006465C"/>
    <w:rsid w:val="00064F2E"/>
    <w:rsid w:val="0006520B"/>
    <w:rsid w:val="00065EF9"/>
    <w:rsid w:val="00066015"/>
    <w:rsid w:val="00066946"/>
    <w:rsid w:val="000672A5"/>
    <w:rsid w:val="000672F2"/>
    <w:rsid w:val="00067A10"/>
    <w:rsid w:val="00067F55"/>
    <w:rsid w:val="0007056D"/>
    <w:rsid w:val="00070EDF"/>
    <w:rsid w:val="00070F48"/>
    <w:rsid w:val="000710DC"/>
    <w:rsid w:val="00071126"/>
    <w:rsid w:val="00071152"/>
    <w:rsid w:val="000713A4"/>
    <w:rsid w:val="00071BA9"/>
    <w:rsid w:val="00071C30"/>
    <w:rsid w:val="0007207A"/>
    <w:rsid w:val="000723A2"/>
    <w:rsid w:val="0007247C"/>
    <w:rsid w:val="00072911"/>
    <w:rsid w:val="00073628"/>
    <w:rsid w:val="000738BB"/>
    <w:rsid w:val="000745D2"/>
    <w:rsid w:val="00074C00"/>
    <w:rsid w:val="00074C37"/>
    <w:rsid w:val="00074C4B"/>
    <w:rsid w:val="00074EFF"/>
    <w:rsid w:val="00075102"/>
    <w:rsid w:val="00075115"/>
    <w:rsid w:val="000753B5"/>
    <w:rsid w:val="000755C8"/>
    <w:rsid w:val="00075619"/>
    <w:rsid w:val="00075960"/>
    <w:rsid w:val="00075A96"/>
    <w:rsid w:val="00075B1F"/>
    <w:rsid w:val="000769F4"/>
    <w:rsid w:val="00076D31"/>
    <w:rsid w:val="00076E76"/>
    <w:rsid w:val="00076EF9"/>
    <w:rsid w:val="00076F49"/>
    <w:rsid w:val="00077197"/>
    <w:rsid w:val="00077AB0"/>
    <w:rsid w:val="00077F43"/>
    <w:rsid w:val="0007D473"/>
    <w:rsid w:val="000802D3"/>
    <w:rsid w:val="000805F3"/>
    <w:rsid w:val="000805FD"/>
    <w:rsid w:val="0008083A"/>
    <w:rsid w:val="00080BB3"/>
    <w:rsid w:val="00081368"/>
    <w:rsid w:val="00081C9C"/>
    <w:rsid w:val="00081CCC"/>
    <w:rsid w:val="00081FA8"/>
    <w:rsid w:val="000820A5"/>
    <w:rsid w:val="00082852"/>
    <w:rsid w:val="00082AE9"/>
    <w:rsid w:val="00083799"/>
    <w:rsid w:val="00083A3D"/>
    <w:rsid w:val="00083CA8"/>
    <w:rsid w:val="00083EA0"/>
    <w:rsid w:val="000846FD"/>
    <w:rsid w:val="0008487F"/>
    <w:rsid w:val="00084A96"/>
    <w:rsid w:val="00084D51"/>
    <w:rsid w:val="00084E63"/>
    <w:rsid w:val="000851A5"/>
    <w:rsid w:val="00085459"/>
    <w:rsid w:val="0008583C"/>
    <w:rsid w:val="00085F9F"/>
    <w:rsid w:val="00086090"/>
    <w:rsid w:val="000860D3"/>
    <w:rsid w:val="000865A6"/>
    <w:rsid w:val="0008676B"/>
    <w:rsid w:val="000868FD"/>
    <w:rsid w:val="000871B1"/>
    <w:rsid w:val="000873C3"/>
    <w:rsid w:val="00087475"/>
    <w:rsid w:val="0008754B"/>
    <w:rsid w:val="000877F1"/>
    <w:rsid w:val="00090137"/>
    <w:rsid w:val="00090228"/>
    <w:rsid w:val="000902AB"/>
    <w:rsid w:val="00090505"/>
    <w:rsid w:val="000909D3"/>
    <w:rsid w:val="00091223"/>
    <w:rsid w:val="00091250"/>
    <w:rsid w:val="000913D9"/>
    <w:rsid w:val="00091873"/>
    <w:rsid w:val="00091D9C"/>
    <w:rsid w:val="00092514"/>
    <w:rsid w:val="00092D5D"/>
    <w:rsid w:val="00092E17"/>
    <w:rsid w:val="00093582"/>
    <w:rsid w:val="00094995"/>
    <w:rsid w:val="00094A9F"/>
    <w:rsid w:val="00094AE6"/>
    <w:rsid w:val="00094BC8"/>
    <w:rsid w:val="00094CA1"/>
    <w:rsid w:val="0009569F"/>
    <w:rsid w:val="00095990"/>
    <w:rsid w:val="00095A13"/>
    <w:rsid w:val="00095D68"/>
    <w:rsid w:val="00096A9F"/>
    <w:rsid w:val="00097298"/>
    <w:rsid w:val="0009736C"/>
    <w:rsid w:val="0009754E"/>
    <w:rsid w:val="000978BD"/>
    <w:rsid w:val="00097B62"/>
    <w:rsid w:val="00097BC8"/>
    <w:rsid w:val="0009B868"/>
    <w:rsid w:val="000A0292"/>
    <w:rsid w:val="000A0BF3"/>
    <w:rsid w:val="000A0D0E"/>
    <w:rsid w:val="000A1158"/>
    <w:rsid w:val="000A133D"/>
    <w:rsid w:val="000A143D"/>
    <w:rsid w:val="000A1562"/>
    <w:rsid w:val="000A22D2"/>
    <w:rsid w:val="000A2C1C"/>
    <w:rsid w:val="000A2C4C"/>
    <w:rsid w:val="000A2E1A"/>
    <w:rsid w:val="000A2EE8"/>
    <w:rsid w:val="000A2F93"/>
    <w:rsid w:val="000A2FCC"/>
    <w:rsid w:val="000A312E"/>
    <w:rsid w:val="000A33AB"/>
    <w:rsid w:val="000A38EC"/>
    <w:rsid w:val="000A3B68"/>
    <w:rsid w:val="000A3D85"/>
    <w:rsid w:val="000A41AF"/>
    <w:rsid w:val="000A41FD"/>
    <w:rsid w:val="000A4461"/>
    <w:rsid w:val="000A46DF"/>
    <w:rsid w:val="000A479D"/>
    <w:rsid w:val="000A48BD"/>
    <w:rsid w:val="000A4B27"/>
    <w:rsid w:val="000A5220"/>
    <w:rsid w:val="000A5599"/>
    <w:rsid w:val="000A5822"/>
    <w:rsid w:val="000A5E18"/>
    <w:rsid w:val="000A5EB0"/>
    <w:rsid w:val="000A5FB3"/>
    <w:rsid w:val="000A64EE"/>
    <w:rsid w:val="000A6956"/>
    <w:rsid w:val="000A6D4B"/>
    <w:rsid w:val="000A6DD1"/>
    <w:rsid w:val="000A6FD1"/>
    <w:rsid w:val="000A75CC"/>
    <w:rsid w:val="000B0A32"/>
    <w:rsid w:val="000B2C4D"/>
    <w:rsid w:val="000B2DC1"/>
    <w:rsid w:val="000B37CE"/>
    <w:rsid w:val="000B39CE"/>
    <w:rsid w:val="000B3ADA"/>
    <w:rsid w:val="000B5FD4"/>
    <w:rsid w:val="000B712A"/>
    <w:rsid w:val="000B7B14"/>
    <w:rsid w:val="000B7D5E"/>
    <w:rsid w:val="000B7EE3"/>
    <w:rsid w:val="000BEBFD"/>
    <w:rsid w:val="000C0164"/>
    <w:rsid w:val="000C01E9"/>
    <w:rsid w:val="000C063C"/>
    <w:rsid w:val="000C083A"/>
    <w:rsid w:val="000C159F"/>
    <w:rsid w:val="000C16D1"/>
    <w:rsid w:val="000C1802"/>
    <w:rsid w:val="000C1AC4"/>
    <w:rsid w:val="000C1E08"/>
    <w:rsid w:val="000C1FE6"/>
    <w:rsid w:val="000C233F"/>
    <w:rsid w:val="000C2360"/>
    <w:rsid w:val="000C2A19"/>
    <w:rsid w:val="000C2D23"/>
    <w:rsid w:val="000C2E8F"/>
    <w:rsid w:val="000C3395"/>
    <w:rsid w:val="000C346A"/>
    <w:rsid w:val="000C3F59"/>
    <w:rsid w:val="000C46F9"/>
    <w:rsid w:val="000C48A3"/>
    <w:rsid w:val="000C4934"/>
    <w:rsid w:val="000C49F6"/>
    <w:rsid w:val="000C4B67"/>
    <w:rsid w:val="000C535A"/>
    <w:rsid w:val="000C5792"/>
    <w:rsid w:val="000C5FA4"/>
    <w:rsid w:val="000C6047"/>
    <w:rsid w:val="000C6460"/>
    <w:rsid w:val="000C71EA"/>
    <w:rsid w:val="000D00C1"/>
    <w:rsid w:val="000D0810"/>
    <w:rsid w:val="000D08E7"/>
    <w:rsid w:val="000D09B5"/>
    <w:rsid w:val="000D0E06"/>
    <w:rsid w:val="000D105F"/>
    <w:rsid w:val="000D12CD"/>
    <w:rsid w:val="000D148E"/>
    <w:rsid w:val="000D1A06"/>
    <w:rsid w:val="000D2822"/>
    <w:rsid w:val="000D2D90"/>
    <w:rsid w:val="000D3436"/>
    <w:rsid w:val="000D3693"/>
    <w:rsid w:val="000D3835"/>
    <w:rsid w:val="000D38A4"/>
    <w:rsid w:val="000D3BFF"/>
    <w:rsid w:val="000D3D89"/>
    <w:rsid w:val="000D419C"/>
    <w:rsid w:val="000D4C2E"/>
    <w:rsid w:val="000D4EC5"/>
    <w:rsid w:val="000D5017"/>
    <w:rsid w:val="000D5073"/>
    <w:rsid w:val="000D50B9"/>
    <w:rsid w:val="000D5270"/>
    <w:rsid w:val="000D54D5"/>
    <w:rsid w:val="000D57D6"/>
    <w:rsid w:val="000D5BF4"/>
    <w:rsid w:val="000D5ECF"/>
    <w:rsid w:val="000D6085"/>
    <w:rsid w:val="000D6102"/>
    <w:rsid w:val="000D6FCF"/>
    <w:rsid w:val="000D70E1"/>
    <w:rsid w:val="000D722F"/>
    <w:rsid w:val="000D735F"/>
    <w:rsid w:val="000D74DC"/>
    <w:rsid w:val="000D77D0"/>
    <w:rsid w:val="000D7F7F"/>
    <w:rsid w:val="000E0728"/>
    <w:rsid w:val="000E07AA"/>
    <w:rsid w:val="000E0D3D"/>
    <w:rsid w:val="000E0E24"/>
    <w:rsid w:val="000E11B1"/>
    <w:rsid w:val="000E1747"/>
    <w:rsid w:val="000E1999"/>
    <w:rsid w:val="000E1C81"/>
    <w:rsid w:val="000E1D53"/>
    <w:rsid w:val="000E1FDF"/>
    <w:rsid w:val="000E2259"/>
    <w:rsid w:val="000E2339"/>
    <w:rsid w:val="000E3D6D"/>
    <w:rsid w:val="000E3F30"/>
    <w:rsid w:val="000E418E"/>
    <w:rsid w:val="000E41EB"/>
    <w:rsid w:val="000E47F7"/>
    <w:rsid w:val="000E5485"/>
    <w:rsid w:val="000E55B2"/>
    <w:rsid w:val="000E5BC2"/>
    <w:rsid w:val="000E5BCA"/>
    <w:rsid w:val="000E61A5"/>
    <w:rsid w:val="000E6AA4"/>
    <w:rsid w:val="000E6B55"/>
    <w:rsid w:val="000E7759"/>
    <w:rsid w:val="000E7C6D"/>
    <w:rsid w:val="000E7DB5"/>
    <w:rsid w:val="000E7E83"/>
    <w:rsid w:val="000F0399"/>
    <w:rsid w:val="000F0401"/>
    <w:rsid w:val="000F06BF"/>
    <w:rsid w:val="000F0808"/>
    <w:rsid w:val="000F09A9"/>
    <w:rsid w:val="000F13A5"/>
    <w:rsid w:val="000F16CA"/>
    <w:rsid w:val="000F193A"/>
    <w:rsid w:val="000F1962"/>
    <w:rsid w:val="000F1A45"/>
    <w:rsid w:val="000F1DC5"/>
    <w:rsid w:val="000F1F17"/>
    <w:rsid w:val="000F200F"/>
    <w:rsid w:val="000F2021"/>
    <w:rsid w:val="000F215D"/>
    <w:rsid w:val="000F2173"/>
    <w:rsid w:val="000F2401"/>
    <w:rsid w:val="000F2FC7"/>
    <w:rsid w:val="000F2FF8"/>
    <w:rsid w:val="000F314C"/>
    <w:rsid w:val="000F33BB"/>
    <w:rsid w:val="000F3CFF"/>
    <w:rsid w:val="000F4311"/>
    <w:rsid w:val="000F437B"/>
    <w:rsid w:val="000F4509"/>
    <w:rsid w:val="000F45FB"/>
    <w:rsid w:val="000F49A3"/>
    <w:rsid w:val="000F4C55"/>
    <w:rsid w:val="000F5246"/>
    <w:rsid w:val="000F5509"/>
    <w:rsid w:val="000F5A80"/>
    <w:rsid w:val="000F5EBC"/>
    <w:rsid w:val="000F7000"/>
    <w:rsid w:val="000F70BA"/>
    <w:rsid w:val="000F72F7"/>
    <w:rsid w:val="000F72F9"/>
    <w:rsid w:val="000F7470"/>
    <w:rsid w:val="000F780F"/>
    <w:rsid w:val="001012DA"/>
    <w:rsid w:val="001017E9"/>
    <w:rsid w:val="001019A6"/>
    <w:rsid w:val="001024E2"/>
    <w:rsid w:val="00102E4F"/>
    <w:rsid w:val="001034D2"/>
    <w:rsid w:val="00103504"/>
    <w:rsid w:val="001037EA"/>
    <w:rsid w:val="001038D2"/>
    <w:rsid w:val="00103B92"/>
    <w:rsid w:val="00103E06"/>
    <w:rsid w:val="0010403E"/>
    <w:rsid w:val="001042D3"/>
    <w:rsid w:val="001042DD"/>
    <w:rsid w:val="001049D4"/>
    <w:rsid w:val="001055BA"/>
    <w:rsid w:val="0010572C"/>
    <w:rsid w:val="0010616A"/>
    <w:rsid w:val="001064FD"/>
    <w:rsid w:val="00106BB6"/>
    <w:rsid w:val="00106BF8"/>
    <w:rsid w:val="00107120"/>
    <w:rsid w:val="0010788E"/>
    <w:rsid w:val="00107D29"/>
    <w:rsid w:val="00110640"/>
    <w:rsid w:val="0011086C"/>
    <w:rsid w:val="00110A8B"/>
    <w:rsid w:val="00110B83"/>
    <w:rsid w:val="00111130"/>
    <w:rsid w:val="00111161"/>
    <w:rsid w:val="001114DF"/>
    <w:rsid w:val="001117F1"/>
    <w:rsid w:val="00111A42"/>
    <w:rsid w:val="00111F2C"/>
    <w:rsid w:val="00112999"/>
    <w:rsid w:val="00112DDA"/>
    <w:rsid w:val="00113239"/>
    <w:rsid w:val="001132A5"/>
    <w:rsid w:val="0011366B"/>
    <w:rsid w:val="001138AB"/>
    <w:rsid w:val="001140CB"/>
    <w:rsid w:val="00114261"/>
    <w:rsid w:val="00114AA2"/>
    <w:rsid w:val="00115280"/>
    <w:rsid w:val="001155A8"/>
    <w:rsid w:val="00115603"/>
    <w:rsid w:val="00115C98"/>
    <w:rsid w:val="0011634A"/>
    <w:rsid w:val="00116376"/>
    <w:rsid w:val="001164AD"/>
    <w:rsid w:val="001169AC"/>
    <w:rsid w:val="00116B8E"/>
    <w:rsid w:val="001200D4"/>
    <w:rsid w:val="0012011C"/>
    <w:rsid w:val="00120268"/>
    <w:rsid w:val="0012071F"/>
    <w:rsid w:val="00120907"/>
    <w:rsid w:val="00120BF1"/>
    <w:rsid w:val="00120E74"/>
    <w:rsid w:val="00121102"/>
    <w:rsid w:val="00122892"/>
    <w:rsid w:val="00122D5B"/>
    <w:rsid w:val="00123DFB"/>
    <w:rsid w:val="00123F15"/>
    <w:rsid w:val="001246D0"/>
    <w:rsid w:val="0012511F"/>
    <w:rsid w:val="0012535B"/>
    <w:rsid w:val="00125539"/>
    <w:rsid w:val="00125668"/>
    <w:rsid w:val="0012567B"/>
    <w:rsid w:val="00125870"/>
    <w:rsid w:val="001266E9"/>
    <w:rsid w:val="001268CB"/>
    <w:rsid w:val="00126928"/>
    <w:rsid w:val="001269C4"/>
    <w:rsid w:val="00126E92"/>
    <w:rsid w:val="00126F05"/>
    <w:rsid w:val="0012749F"/>
    <w:rsid w:val="001274F0"/>
    <w:rsid w:val="001276B5"/>
    <w:rsid w:val="0012786D"/>
    <w:rsid w:val="0012D472"/>
    <w:rsid w:val="00130531"/>
    <w:rsid w:val="0013070D"/>
    <w:rsid w:val="00130735"/>
    <w:rsid w:val="00130884"/>
    <w:rsid w:val="00130AF3"/>
    <w:rsid w:val="00130D60"/>
    <w:rsid w:val="001310F6"/>
    <w:rsid w:val="001312F6"/>
    <w:rsid w:val="001317AD"/>
    <w:rsid w:val="00131A46"/>
    <w:rsid w:val="00131CE1"/>
    <w:rsid w:val="00131FA5"/>
    <w:rsid w:val="00132227"/>
    <w:rsid w:val="0013228E"/>
    <w:rsid w:val="0013294B"/>
    <w:rsid w:val="00132C29"/>
    <w:rsid w:val="001334EF"/>
    <w:rsid w:val="0013398D"/>
    <w:rsid w:val="00134508"/>
    <w:rsid w:val="00134609"/>
    <w:rsid w:val="00134A5C"/>
    <w:rsid w:val="00134C40"/>
    <w:rsid w:val="00134F8F"/>
    <w:rsid w:val="00135002"/>
    <w:rsid w:val="00135961"/>
    <w:rsid w:val="001361B0"/>
    <w:rsid w:val="00136304"/>
    <w:rsid w:val="0013637E"/>
    <w:rsid w:val="0013678D"/>
    <w:rsid w:val="00136AE7"/>
    <w:rsid w:val="00136B00"/>
    <w:rsid w:val="00136C10"/>
    <w:rsid w:val="00137B63"/>
    <w:rsid w:val="001401E3"/>
    <w:rsid w:val="001404A4"/>
    <w:rsid w:val="001406D9"/>
    <w:rsid w:val="00140882"/>
    <w:rsid w:val="00140D1A"/>
    <w:rsid w:val="00140E4B"/>
    <w:rsid w:val="001411D9"/>
    <w:rsid w:val="00141884"/>
    <w:rsid w:val="001419B6"/>
    <w:rsid w:val="00141CF5"/>
    <w:rsid w:val="00141DAA"/>
    <w:rsid w:val="001420AC"/>
    <w:rsid w:val="0014223E"/>
    <w:rsid w:val="001427CE"/>
    <w:rsid w:val="00142A13"/>
    <w:rsid w:val="00143267"/>
    <w:rsid w:val="0014331F"/>
    <w:rsid w:val="001438EA"/>
    <w:rsid w:val="00143967"/>
    <w:rsid w:val="001439B0"/>
    <w:rsid w:val="00144084"/>
    <w:rsid w:val="0014442A"/>
    <w:rsid w:val="00144890"/>
    <w:rsid w:val="0014566B"/>
    <w:rsid w:val="00145F34"/>
    <w:rsid w:val="001465DE"/>
    <w:rsid w:val="00147089"/>
    <w:rsid w:val="0014716B"/>
    <w:rsid w:val="00147E56"/>
    <w:rsid w:val="00148A6A"/>
    <w:rsid w:val="00150009"/>
    <w:rsid w:val="00150155"/>
    <w:rsid w:val="0015033C"/>
    <w:rsid w:val="0015072F"/>
    <w:rsid w:val="001507AF"/>
    <w:rsid w:val="00150C8A"/>
    <w:rsid w:val="00150DC0"/>
    <w:rsid w:val="00151951"/>
    <w:rsid w:val="00151B2F"/>
    <w:rsid w:val="00152122"/>
    <w:rsid w:val="001526D3"/>
    <w:rsid w:val="00152DC7"/>
    <w:rsid w:val="001530D8"/>
    <w:rsid w:val="0015363D"/>
    <w:rsid w:val="00153B94"/>
    <w:rsid w:val="00153D43"/>
    <w:rsid w:val="00154D87"/>
    <w:rsid w:val="00154F46"/>
    <w:rsid w:val="001551E2"/>
    <w:rsid w:val="0015536F"/>
    <w:rsid w:val="00155A18"/>
    <w:rsid w:val="00156089"/>
    <w:rsid w:val="001562EA"/>
    <w:rsid w:val="001565BC"/>
    <w:rsid w:val="0015699F"/>
    <w:rsid w:val="00156A1A"/>
    <w:rsid w:val="00156BD1"/>
    <w:rsid w:val="00156C66"/>
    <w:rsid w:val="00156F59"/>
    <w:rsid w:val="001576A9"/>
    <w:rsid w:val="00157936"/>
    <w:rsid w:val="00157A46"/>
    <w:rsid w:val="0015EDAE"/>
    <w:rsid w:val="00160A82"/>
    <w:rsid w:val="00160ADB"/>
    <w:rsid w:val="00160B8D"/>
    <w:rsid w:val="00160C15"/>
    <w:rsid w:val="00160EEA"/>
    <w:rsid w:val="001617CF"/>
    <w:rsid w:val="00161B6B"/>
    <w:rsid w:val="00161E9D"/>
    <w:rsid w:val="00162718"/>
    <w:rsid w:val="00162780"/>
    <w:rsid w:val="00162EF7"/>
    <w:rsid w:val="00163A0A"/>
    <w:rsid w:val="00163AD0"/>
    <w:rsid w:val="00163DAF"/>
    <w:rsid w:val="00163DCF"/>
    <w:rsid w:val="001649C6"/>
    <w:rsid w:val="00164DFC"/>
    <w:rsid w:val="0016588C"/>
    <w:rsid w:val="001658C0"/>
    <w:rsid w:val="00165D93"/>
    <w:rsid w:val="001665E0"/>
    <w:rsid w:val="001669D8"/>
    <w:rsid w:val="00166A71"/>
    <w:rsid w:val="00167212"/>
    <w:rsid w:val="001674CF"/>
    <w:rsid w:val="001678D8"/>
    <w:rsid w:val="001678EF"/>
    <w:rsid w:val="00167A29"/>
    <w:rsid w:val="00167CA7"/>
    <w:rsid w:val="00167F0C"/>
    <w:rsid w:val="00170751"/>
    <w:rsid w:val="00171034"/>
    <w:rsid w:val="0017105F"/>
    <w:rsid w:val="00171CDB"/>
    <w:rsid w:val="00171D7F"/>
    <w:rsid w:val="001721E4"/>
    <w:rsid w:val="00172272"/>
    <w:rsid w:val="0017264A"/>
    <w:rsid w:val="00172C2B"/>
    <w:rsid w:val="00172C40"/>
    <w:rsid w:val="00172CAD"/>
    <w:rsid w:val="00173233"/>
    <w:rsid w:val="00173772"/>
    <w:rsid w:val="00173AE7"/>
    <w:rsid w:val="00173BD2"/>
    <w:rsid w:val="001740F0"/>
    <w:rsid w:val="001754B3"/>
    <w:rsid w:val="00175D42"/>
    <w:rsid w:val="00175DDE"/>
    <w:rsid w:val="00175FDE"/>
    <w:rsid w:val="00177508"/>
    <w:rsid w:val="00177E63"/>
    <w:rsid w:val="00177F4C"/>
    <w:rsid w:val="00180402"/>
    <w:rsid w:val="001811D3"/>
    <w:rsid w:val="00181590"/>
    <w:rsid w:val="00181732"/>
    <w:rsid w:val="00181B2E"/>
    <w:rsid w:val="00182491"/>
    <w:rsid w:val="001825D8"/>
    <w:rsid w:val="00182C8F"/>
    <w:rsid w:val="00182D6B"/>
    <w:rsid w:val="00182FF2"/>
    <w:rsid w:val="00183C08"/>
    <w:rsid w:val="00184F0E"/>
    <w:rsid w:val="00185071"/>
    <w:rsid w:val="00185178"/>
    <w:rsid w:val="001857D4"/>
    <w:rsid w:val="001858FC"/>
    <w:rsid w:val="00185A92"/>
    <w:rsid w:val="00185A94"/>
    <w:rsid w:val="0018601B"/>
    <w:rsid w:val="001867FE"/>
    <w:rsid w:val="00186D17"/>
    <w:rsid w:val="00186DF3"/>
    <w:rsid w:val="001877D1"/>
    <w:rsid w:val="001877E7"/>
    <w:rsid w:val="00187897"/>
    <w:rsid w:val="00187B0D"/>
    <w:rsid w:val="00187DD5"/>
    <w:rsid w:val="00190291"/>
    <w:rsid w:val="00190D67"/>
    <w:rsid w:val="001917D5"/>
    <w:rsid w:val="00191B33"/>
    <w:rsid w:val="00191B53"/>
    <w:rsid w:val="00191CF1"/>
    <w:rsid w:val="001923AB"/>
    <w:rsid w:val="00192611"/>
    <w:rsid w:val="00192DB5"/>
    <w:rsid w:val="00192E4F"/>
    <w:rsid w:val="001937F4"/>
    <w:rsid w:val="001937FE"/>
    <w:rsid w:val="001939F2"/>
    <w:rsid w:val="0019405B"/>
    <w:rsid w:val="00194260"/>
    <w:rsid w:val="001944BC"/>
    <w:rsid w:val="00194578"/>
    <w:rsid w:val="001953A1"/>
    <w:rsid w:val="00195C14"/>
    <w:rsid w:val="00196268"/>
    <w:rsid w:val="001966B0"/>
    <w:rsid w:val="001967E9"/>
    <w:rsid w:val="0019695B"/>
    <w:rsid w:val="00196B4C"/>
    <w:rsid w:val="001970D4"/>
    <w:rsid w:val="0019764B"/>
    <w:rsid w:val="001978F1"/>
    <w:rsid w:val="001A0350"/>
    <w:rsid w:val="001A0A8D"/>
    <w:rsid w:val="001A0B4C"/>
    <w:rsid w:val="001A0CD4"/>
    <w:rsid w:val="001A0E7F"/>
    <w:rsid w:val="001A1113"/>
    <w:rsid w:val="001A15E1"/>
    <w:rsid w:val="001A2319"/>
    <w:rsid w:val="001A2473"/>
    <w:rsid w:val="001A24E8"/>
    <w:rsid w:val="001A25D2"/>
    <w:rsid w:val="001A25E5"/>
    <w:rsid w:val="001A261A"/>
    <w:rsid w:val="001A2D81"/>
    <w:rsid w:val="001A35AC"/>
    <w:rsid w:val="001A3A14"/>
    <w:rsid w:val="001A4A60"/>
    <w:rsid w:val="001A4C95"/>
    <w:rsid w:val="001A4D01"/>
    <w:rsid w:val="001A52FF"/>
    <w:rsid w:val="001A5336"/>
    <w:rsid w:val="001A5B31"/>
    <w:rsid w:val="001A600A"/>
    <w:rsid w:val="001A63F1"/>
    <w:rsid w:val="001A6737"/>
    <w:rsid w:val="001A687B"/>
    <w:rsid w:val="001A6B10"/>
    <w:rsid w:val="001A73CF"/>
    <w:rsid w:val="001A8207"/>
    <w:rsid w:val="001AD780"/>
    <w:rsid w:val="001B0505"/>
    <w:rsid w:val="001B08A4"/>
    <w:rsid w:val="001B08D0"/>
    <w:rsid w:val="001B0D83"/>
    <w:rsid w:val="001B1607"/>
    <w:rsid w:val="001B16EC"/>
    <w:rsid w:val="001B1A18"/>
    <w:rsid w:val="001B1B89"/>
    <w:rsid w:val="001B2230"/>
    <w:rsid w:val="001B25FF"/>
    <w:rsid w:val="001B2614"/>
    <w:rsid w:val="001B2618"/>
    <w:rsid w:val="001B2C94"/>
    <w:rsid w:val="001B2F33"/>
    <w:rsid w:val="001B33A1"/>
    <w:rsid w:val="001B372D"/>
    <w:rsid w:val="001B37AB"/>
    <w:rsid w:val="001B3812"/>
    <w:rsid w:val="001B3913"/>
    <w:rsid w:val="001B4678"/>
    <w:rsid w:val="001B4FF0"/>
    <w:rsid w:val="001B5095"/>
    <w:rsid w:val="001B54B0"/>
    <w:rsid w:val="001B559C"/>
    <w:rsid w:val="001B5718"/>
    <w:rsid w:val="001B5C4D"/>
    <w:rsid w:val="001B5D14"/>
    <w:rsid w:val="001B5E16"/>
    <w:rsid w:val="001B606E"/>
    <w:rsid w:val="001B643A"/>
    <w:rsid w:val="001B6E91"/>
    <w:rsid w:val="001B763D"/>
    <w:rsid w:val="001B7705"/>
    <w:rsid w:val="001B78EC"/>
    <w:rsid w:val="001C0563"/>
    <w:rsid w:val="001C0952"/>
    <w:rsid w:val="001C0CB2"/>
    <w:rsid w:val="001C0E93"/>
    <w:rsid w:val="001C128F"/>
    <w:rsid w:val="001C146C"/>
    <w:rsid w:val="001C1F19"/>
    <w:rsid w:val="001C2D30"/>
    <w:rsid w:val="001C2D41"/>
    <w:rsid w:val="001C2D53"/>
    <w:rsid w:val="001C34B9"/>
    <w:rsid w:val="001C36F6"/>
    <w:rsid w:val="001C3A9D"/>
    <w:rsid w:val="001C3DF9"/>
    <w:rsid w:val="001C4388"/>
    <w:rsid w:val="001C45BE"/>
    <w:rsid w:val="001C480F"/>
    <w:rsid w:val="001C4C6C"/>
    <w:rsid w:val="001C5064"/>
    <w:rsid w:val="001C5385"/>
    <w:rsid w:val="001C5D59"/>
    <w:rsid w:val="001C68AC"/>
    <w:rsid w:val="001C6C08"/>
    <w:rsid w:val="001C73E4"/>
    <w:rsid w:val="001C7ECC"/>
    <w:rsid w:val="001C9096"/>
    <w:rsid w:val="001D1034"/>
    <w:rsid w:val="001D125F"/>
    <w:rsid w:val="001D2264"/>
    <w:rsid w:val="001D230F"/>
    <w:rsid w:val="001D2366"/>
    <w:rsid w:val="001D266B"/>
    <w:rsid w:val="001D2828"/>
    <w:rsid w:val="001D2CF1"/>
    <w:rsid w:val="001D2DCD"/>
    <w:rsid w:val="001D3141"/>
    <w:rsid w:val="001D3207"/>
    <w:rsid w:val="001D320B"/>
    <w:rsid w:val="001D33F9"/>
    <w:rsid w:val="001D34DD"/>
    <w:rsid w:val="001D361E"/>
    <w:rsid w:val="001D363B"/>
    <w:rsid w:val="001D37D8"/>
    <w:rsid w:val="001D3B74"/>
    <w:rsid w:val="001D4529"/>
    <w:rsid w:val="001D4895"/>
    <w:rsid w:val="001D49C3"/>
    <w:rsid w:val="001D54C9"/>
    <w:rsid w:val="001D550A"/>
    <w:rsid w:val="001D57A9"/>
    <w:rsid w:val="001D5E37"/>
    <w:rsid w:val="001D5F20"/>
    <w:rsid w:val="001D6A62"/>
    <w:rsid w:val="001D6B76"/>
    <w:rsid w:val="001D6DC4"/>
    <w:rsid w:val="001D6DDF"/>
    <w:rsid w:val="001D6EAB"/>
    <w:rsid w:val="001D6F1D"/>
    <w:rsid w:val="001D6F5A"/>
    <w:rsid w:val="001D721C"/>
    <w:rsid w:val="001D76E8"/>
    <w:rsid w:val="001D77C0"/>
    <w:rsid w:val="001D788F"/>
    <w:rsid w:val="001D79EF"/>
    <w:rsid w:val="001E0A54"/>
    <w:rsid w:val="001E0D73"/>
    <w:rsid w:val="001E110F"/>
    <w:rsid w:val="001E14F3"/>
    <w:rsid w:val="001E1839"/>
    <w:rsid w:val="001E186F"/>
    <w:rsid w:val="001E1C9A"/>
    <w:rsid w:val="001E1F1E"/>
    <w:rsid w:val="001E266C"/>
    <w:rsid w:val="001E2694"/>
    <w:rsid w:val="001E2B59"/>
    <w:rsid w:val="001E2BFA"/>
    <w:rsid w:val="001E2D1E"/>
    <w:rsid w:val="001E2E3A"/>
    <w:rsid w:val="001E2F74"/>
    <w:rsid w:val="001E2FEC"/>
    <w:rsid w:val="001E32D8"/>
    <w:rsid w:val="001E3A02"/>
    <w:rsid w:val="001E3A1C"/>
    <w:rsid w:val="001E3B3A"/>
    <w:rsid w:val="001E3DB1"/>
    <w:rsid w:val="001E3DFE"/>
    <w:rsid w:val="001E4557"/>
    <w:rsid w:val="001E4C41"/>
    <w:rsid w:val="001E4CD7"/>
    <w:rsid w:val="001E4D06"/>
    <w:rsid w:val="001E53D7"/>
    <w:rsid w:val="001E576B"/>
    <w:rsid w:val="001E5EF1"/>
    <w:rsid w:val="001E6814"/>
    <w:rsid w:val="001E69D9"/>
    <w:rsid w:val="001E70EC"/>
    <w:rsid w:val="001E7224"/>
    <w:rsid w:val="001E72FA"/>
    <w:rsid w:val="001E73BC"/>
    <w:rsid w:val="001E7B65"/>
    <w:rsid w:val="001F0043"/>
    <w:rsid w:val="001F013B"/>
    <w:rsid w:val="001F07F5"/>
    <w:rsid w:val="001F0B87"/>
    <w:rsid w:val="001F0EA4"/>
    <w:rsid w:val="001F0FFF"/>
    <w:rsid w:val="001F115E"/>
    <w:rsid w:val="001F151F"/>
    <w:rsid w:val="001F1544"/>
    <w:rsid w:val="001F1725"/>
    <w:rsid w:val="001F1FF4"/>
    <w:rsid w:val="001F2018"/>
    <w:rsid w:val="001F2030"/>
    <w:rsid w:val="001F2406"/>
    <w:rsid w:val="001F259E"/>
    <w:rsid w:val="001F2866"/>
    <w:rsid w:val="001F330A"/>
    <w:rsid w:val="001F3483"/>
    <w:rsid w:val="001F348F"/>
    <w:rsid w:val="001F3531"/>
    <w:rsid w:val="001F35A1"/>
    <w:rsid w:val="001F3D46"/>
    <w:rsid w:val="001F3DF5"/>
    <w:rsid w:val="001F433F"/>
    <w:rsid w:val="001F44F1"/>
    <w:rsid w:val="001F45D0"/>
    <w:rsid w:val="001F473D"/>
    <w:rsid w:val="001F4C1D"/>
    <w:rsid w:val="001F543B"/>
    <w:rsid w:val="001F5D44"/>
    <w:rsid w:val="001F6143"/>
    <w:rsid w:val="001F64D4"/>
    <w:rsid w:val="001F698B"/>
    <w:rsid w:val="001F69F8"/>
    <w:rsid w:val="001F711E"/>
    <w:rsid w:val="001F799F"/>
    <w:rsid w:val="001F7AA4"/>
    <w:rsid w:val="001F7B76"/>
    <w:rsid w:val="001F7E0A"/>
    <w:rsid w:val="001F9D38"/>
    <w:rsid w:val="002008BF"/>
    <w:rsid w:val="00200BEA"/>
    <w:rsid w:val="00201037"/>
    <w:rsid w:val="002011D0"/>
    <w:rsid w:val="00201414"/>
    <w:rsid w:val="0020163D"/>
    <w:rsid w:val="002018E7"/>
    <w:rsid w:val="00201C4A"/>
    <w:rsid w:val="00201DF0"/>
    <w:rsid w:val="00202DAE"/>
    <w:rsid w:val="0020324C"/>
    <w:rsid w:val="00203689"/>
    <w:rsid w:val="00203ADC"/>
    <w:rsid w:val="00203DAC"/>
    <w:rsid w:val="00204541"/>
    <w:rsid w:val="00204732"/>
    <w:rsid w:val="00204AC8"/>
    <w:rsid w:val="00204B4E"/>
    <w:rsid w:val="00205457"/>
    <w:rsid w:val="00205534"/>
    <w:rsid w:val="00205742"/>
    <w:rsid w:val="002057E4"/>
    <w:rsid w:val="00205D53"/>
    <w:rsid w:val="0020610B"/>
    <w:rsid w:val="00206666"/>
    <w:rsid w:val="00206FA0"/>
    <w:rsid w:val="00207308"/>
    <w:rsid w:val="00207456"/>
    <w:rsid w:val="0020768D"/>
    <w:rsid w:val="00207D91"/>
    <w:rsid w:val="0020E292"/>
    <w:rsid w:val="002101B4"/>
    <w:rsid w:val="0021028C"/>
    <w:rsid w:val="002102F1"/>
    <w:rsid w:val="00210563"/>
    <w:rsid w:val="00210F39"/>
    <w:rsid w:val="00211291"/>
    <w:rsid w:val="00211AC9"/>
    <w:rsid w:val="00211D1C"/>
    <w:rsid w:val="002122E5"/>
    <w:rsid w:val="00213A11"/>
    <w:rsid w:val="00214177"/>
    <w:rsid w:val="0021551B"/>
    <w:rsid w:val="002156F1"/>
    <w:rsid w:val="00215936"/>
    <w:rsid w:val="00215F7E"/>
    <w:rsid w:val="00216296"/>
    <w:rsid w:val="002162DE"/>
    <w:rsid w:val="00216506"/>
    <w:rsid w:val="00216954"/>
    <w:rsid w:val="002169F4"/>
    <w:rsid w:val="00216CF8"/>
    <w:rsid w:val="00216E94"/>
    <w:rsid w:val="002173C4"/>
    <w:rsid w:val="00217D5B"/>
    <w:rsid w:val="00217F65"/>
    <w:rsid w:val="00218B62"/>
    <w:rsid w:val="00220068"/>
    <w:rsid w:val="0022011D"/>
    <w:rsid w:val="00220220"/>
    <w:rsid w:val="0022073F"/>
    <w:rsid w:val="0022087A"/>
    <w:rsid w:val="00220952"/>
    <w:rsid w:val="00221587"/>
    <w:rsid w:val="002215F2"/>
    <w:rsid w:val="002217EE"/>
    <w:rsid w:val="00221DD9"/>
    <w:rsid w:val="00222173"/>
    <w:rsid w:val="0022225B"/>
    <w:rsid w:val="0022241D"/>
    <w:rsid w:val="0022242B"/>
    <w:rsid w:val="00222CBF"/>
    <w:rsid w:val="00222E44"/>
    <w:rsid w:val="00222FE1"/>
    <w:rsid w:val="002233E2"/>
    <w:rsid w:val="00223FCA"/>
    <w:rsid w:val="00224848"/>
    <w:rsid w:val="00224BEA"/>
    <w:rsid w:val="00224E24"/>
    <w:rsid w:val="00224F54"/>
    <w:rsid w:val="00225366"/>
    <w:rsid w:val="0022595C"/>
    <w:rsid w:val="00225B2A"/>
    <w:rsid w:val="00225B7E"/>
    <w:rsid w:val="00225C2B"/>
    <w:rsid w:val="00225C4B"/>
    <w:rsid w:val="00226379"/>
    <w:rsid w:val="002266AA"/>
    <w:rsid w:val="00226E21"/>
    <w:rsid w:val="002273CB"/>
    <w:rsid w:val="00227C4C"/>
    <w:rsid w:val="0022FA9B"/>
    <w:rsid w:val="002308CF"/>
    <w:rsid w:val="002308D1"/>
    <w:rsid w:val="00230AC6"/>
    <w:rsid w:val="00230D83"/>
    <w:rsid w:val="00231886"/>
    <w:rsid w:val="0023188A"/>
    <w:rsid w:val="002319C7"/>
    <w:rsid w:val="002319EB"/>
    <w:rsid w:val="00231A5F"/>
    <w:rsid w:val="00231F1E"/>
    <w:rsid w:val="0023250B"/>
    <w:rsid w:val="00232526"/>
    <w:rsid w:val="00232854"/>
    <w:rsid w:val="002329BF"/>
    <w:rsid w:val="00232B45"/>
    <w:rsid w:val="00232D97"/>
    <w:rsid w:val="00232DC6"/>
    <w:rsid w:val="002340E1"/>
    <w:rsid w:val="00234A5A"/>
    <w:rsid w:val="00234F66"/>
    <w:rsid w:val="002355DE"/>
    <w:rsid w:val="002356FC"/>
    <w:rsid w:val="00236049"/>
    <w:rsid w:val="002368BD"/>
    <w:rsid w:val="00236AC2"/>
    <w:rsid w:val="002374BB"/>
    <w:rsid w:val="0024011C"/>
    <w:rsid w:val="00240396"/>
    <w:rsid w:val="00240CA9"/>
    <w:rsid w:val="002412EC"/>
    <w:rsid w:val="002414C7"/>
    <w:rsid w:val="002415EA"/>
    <w:rsid w:val="00241EB5"/>
    <w:rsid w:val="002420C6"/>
    <w:rsid w:val="002422AB"/>
    <w:rsid w:val="00242411"/>
    <w:rsid w:val="00243051"/>
    <w:rsid w:val="002438B5"/>
    <w:rsid w:val="00243D92"/>
    <w:rsid w:val="00243EB9"/>
    <w:rsid w:val="00244E76"/>
    <w:rsid w:val="00244F81"/>
    <w:rsid w:val="002458A6"/>
    <w:rsid w:val="002467DC"/>
    <w:rsid w:val="00246C25"/>
    <w:rsid w:val="00246FC5"/>
    <w:rsid w:val="002502EC"/>
    <w:rsid w:val="00251008"/>
    <w:rsid w:val="002513D5"/>
    <w:rsid w:val="0025191E"/>
    <w:rsid w:val="00251A88"/>
    <w:rsid w:val="00251D9D"/>
    <w:rsid w:val="00251DDE"/>
    <w:rsid w:val="00251FF1"/>
    <w:rsid w:val="002521AE"/>
    <w:rsid w:val="002524DB"/>
    <w:rsid w:val="0025270A"/>
    <w:rsid w:val="002529D9"/>
    <w:rsid w:val="00252B8E"/>
    <w:rsid w:val="00252BAD"/>
    <w:rsid w:val="002530C8"/>
    <w:rsid w:val="002531A3"/>
    <w:rsid w:val="002535D8"/>
    <w:rsid w:val="002536DA"/>
    <w:rsid w:val="00253721"/>
    <w:rsid w:val="00253F8A"/>
    <w:rsid w:val="00254338"/>
    <w:rsid w:val="002543AB"/>
    <w:rsid w:val="00254461"/>
    <w:rsid w:val="002547DE"/>
    <w:rsid w:val="00254868"/>
    <w:rsid w:val="002549D8"/>
    <w:rsid w:val="00254D76"/>
    <w:rsid w:val="0025544E"/>
    <w:rsid w:val="002559BD"/>
    <w:rsid w:val="00255A01"/>
    <w:rsid w:val="00256559"/>
    <w:rsid w:val="002567E5"/>
    <w:rsid w:val="00256975"/>
    <w:rsid w:val="00256C9A"/>
    <w:rsid w:val="00256D3D"/>
    <w:rsid w:val="00257236"/>
    <w:rsid w:val="00257946"/>
    <w:rsid w:val="00257CB5"/>
    <w:rsid w:val="00257E1B"/>
    <w:rsid w:val="00260463"/>
    <w:rsid w:val="0026048A"/>
    <w:rsid w:val="00260E44"/>
    <w:rsid w:val="00260EBF"/>
    <w:rsid w:val="00260FCC"/>
    <w:rsid w:val="00261404"/>
    <w:rsid w:val="002616AF"/>
    <w:rsid w:val="002619F8"/>
    <w:rsid w:val="0026200E"/>
    <w:rsid w:val="002622CC"/>
    <w:rsid w:val="0026281E"/>
    <w:rsid w:val="0026283D"/>
    <w:rsid w:val="0026290B"/>
    <w:rsid w:val="00262EDC"/>
    <w:rsid w:val="0026395B"/>
    <w:rsid w:val="00263D87"/>
    <w:rsid w:val="00263E85"/>
    <w:rsid w:val="0026442B"/>
    <w:rsid w:val="0026490C"/>
    <w:rsid w:val="00264F46"/>
    <w:rsid w:val="00265041"/>
    <w:rsid w:val="002650DE"/>
    <w:rsid w:val="002653F4"/>
    <w:rsid w:val="00265615"/>
    <w:rsid w:val="00265757"/>
    <w:rsid w:val="002658A4"/>
    <w:rsid w:val="00265D67"/>
    <w:rsid w:val="00265E28"/>
    <w:rsid w:val="002663C2"/>
    <w:rsid w:val="00266F96"/>
    <w:rsid w:val="00267969"/>
    <w:rsid w:val="0026798F"/>
    <w:rsid w:val="00267B1B"/>
    <w:rsid w:val="00270617"/>
    <w:rsid w:val="00270A19"/>
    <w:rsid w:val="00270DA7"/>
    <w:rsid w:val="00270F15"/>
    <w:rsid w:val="002710A0"/>
    <w:rsid w:val="00271C88"/>
    <w:rsid w:val="00271F57"/>
    <w:rsid w:val="0027201D"/>
    <w:rsid w:val="002721AA"/>
    <w:rsid w:val="002722F1"/>
    <w:rsid w:val="002727A2"/>
    <w:rsid w:val="002728B3"/>
    <w:rsid w:val="00272BE9"/>
    <w:rsid w:val="00273111"/>
    <w:rsid w:val="002731BD"/>
    <w:rsid w:val="002731CC"/>
    <w:rsid w:val="00273879"/>
    <w:rsid w:val="002740BA"/>
    <w:rsid w:val="002742FD"/>
    <w:rsid w:val="00274BC9"/>
    <w:rsid w:val="00274F8D"/>
    <w:rsid w:val="002752BD"/>
    <w:rsid w:val="00275311"/>
    <w:rsid w:val="0027573A"/>
    <w:rsid w:val="00275C65"/>
    <w:rsid w:val="00276B2D"/>
    <w:rsid w:val="00276C14"/>
    <w:rsid w:val="002773E5"/>
    <w:rsid w:val="002775D8"/>
    <w:rsid w:val="002777D7"/>
    <w:rsid w:val="0027781F"/>
    <w:rsid w:val="00277D05"/>
    <w:rsid w:val="0027AA40"/>
    <w:rsid w:val="00280042"/>
    <w:rsid w:val="00280229"/>
    <w:rsid w:val="002803CC"/>
    <w:rsid w:val="002805FF"/>
    <w:rsid w:val="00280786"/>
    <w:rsid w:val="00280D86"/>
    <w:rsid w:val="00280F7F"/>
    <w:rsid w:val="0028284C"/>
    <w:rsid w:val="002828C0"/>
    <w:rsid w:val="00282DE3"/>
    <w:rsid w:val="00283322"/>
    <w:rsid w:val="00283562"/>
    <w:rsid w:val="00283571"/>
    <w:rsid w:val="00283806"/>
    <w:rsid w:val="002844AA"/>
    <w:rsid w:val="00284AD4"/>
    <w:rsid w:val="00284AE6"/>
    <w:rsid w:val="002850E3"/>
    <w:rsid w:val="0028540F"/>
    <w:rsid w:val="002854C3"/>
    <w:rsid w:val="00285B38"/>
    <w:rsid w:val="00286378"/>
    <w:rsid w:val="00286401"/>
    <w:rsid w:val="002868B4"/>
    <w:rsid w:val="00286A60"/>
    <w:rsid w:val="00287479"/>
    <w:rsid w:val="002875B2"/>
    <w:rsid w:val="00287965"/>
    <w:rsid w:val="00287AE6"/>
    <w:rsid w:val="00287CE2"/>
    <w:rsid w:val="0028E3B7"/>
    <w:rsid w:val="00290085"/>
    <w:rsid w:val="002903E3"/>
    <w:rsid w:val="00290DA3"/>
    <w:rsid w:val="00291A52"/>
    <w:rsid w:val="00291CD4"/>
    <w:rsid w:val="00291E58"/>
    <w:rsid w:val="00292427"/>
    <w:rsid w:val="00292CB4"/>
    <w:rsid w:val="00292F89"/>
    <w:rsid w:val="00293106"/>
    <w:rsid w:val="002935F3"/>
    <w:rsid w:val="00293FDF"/>
    <w:rsid w:val="00294156"/>
    <w:rsid w:val="002941B1"/>
    <w:rsid w:val="00294241"/>
    <w:rsid w:val="00294280"/>
    <w:rsid w:val="002949CF"/>
    <w:rsid w:val="002950EF"/>
    <w:rsid w:val="00296237"/>
    <w:rsid w:val="00296EB8"/>
    <w:rsid w:val="00296EEF"/>
    <w:rsid w:val="00297064"/>
    <w:rsid w:val="00297082"/>
    <w:rsid w:val="00297655"/>
    <w:rsid w:val="00297B79"/>
    <w:rsid w:val="00297CDA"/>
    <w:rsid w:val="00297DC7"/>
    <w:rsid w:val="00297F5A"/>
    <w:rsid w:val="00299E1B"/>
    <w:rsid w:val="002A0409"/>
    <w:rsid w:val="002A0600"/>
    <w:rsid w:val="002A08BB"/>
    <w:rsid w:val="002A0AB9"/>
    <w:rsid w:val="002A0BCF"/>
    <w:rsid w:val="002A10E8"/>
    <w:rsid w:val="002A1AB2"/>
    <w:rsid w:val="002A2256"/>
    <w:rsid w:val="002A2A69"/>
    <w:rsid w:val="002A3778"/>
    <w:rsid w:val="002A42AB"/>
    <w:rsid w:val="002A4391"/>
    <w:rsid w:val="002A449C"/>
    <w:rsid w:val="002A468D"/>
    <w:rsid w:val="002A4D71"/>
    <w:rsid w:val="002A54A5"/>
    <w:rsid w:val="002A5666"/>
    <w:rsid w:val="002A68BC"/>
    <w:rsid w:val="002A6B96"/>
    <w:rsid w:val="002A6C71"/>
    <w:rsid w:val="002A76CF"/>
    <w:rsid w:val="002A78CD"/>
    <w:rsid w:val="002A791B"/>
    <w:rsid w:val="002A79B9"/>
    <w:rsid w:val="002A7B9B"/>
    <w:rsid w:val="002A7D3D"/>
    <w:rsid w:val="002B030E"/>
    <w:rsid w:val="002B0CC3"/>
    <w:rsid w:val="002B139B"/>
    <w:rsid w:val="002B14E4"/>
    <w:rsid w:val="002B1572"/>
    <w:rsid w:val="002B162E"/>
    <w:rsid w:val="002B2A63"/>
    <w:rsid w:val="002B2AFD"/>
    <w:rsid w:val="002B2DA1"/>
    <w:rsid w:val="002B2FDE"/>
    <w:rsid w:val="002B2FE3"/>
    <w:rsid w:val="002B345F"/>
    <w:rsid w:val="002B3B87"/>
    <w:rsid w:val="002B41D5"/>
    <w:rsid w:val="002B42BF"/>
    <w:rsid w:val="002B48A5"/>
    <w:rsid w:val="002B49A6"/>
    <w:rsid w:val="002B4EC9"/>
    <w:rsid w:val="002B5CAF"/>
    <w:rsid w:val="002B5D71"/>
    <w:rsid w:val="002B621E"/>
    <w:rsid w:val="002B6283"/>
    <w:rsid w:val="002B62CE"/>
    <w:rsid w:val="002B6A7A"/>
    <w:rsid w:val="002B6BD1"/>
    <w:rsid w:val="002B7263"/>
    <w:rsid w:val="002B749F"/>
    <w:rsid w:val="002B7DA7"/>
    <w:rsid w:val="002C00F6"/>
    <w:rsid w:val="002C03A4"/>
    <w:rsid w:val="002C072A"/>
    <w:rsid w:val="002C0FEC"/>
    <w:rsid w:val="002C1256"/>
    <w:rsid w:val="002C1311"/>
    <w:rsid w:val="002C19D0"/>
    <w:rsid w:val="002C1D22"/>
    <w:rsid w:val="002C23B2"/>
    <w:rsid w:val="002C2CE9"/>
    <w:rsid w:val="002C2E57"/>
    <w:rsid w:val="002C39B5"/>
    <w:rsid w:val="002C39FD"/>
    <w:rsid w:val="002C3CBC"/>
    <w:rsid w:val="002C446C"/>
    <w:rsid w:val="002C44FF"/>
    <w:rsid w:val="002C4A3F"/>
    <w:rsid w:val="002C5200"/>
    <w:rsid w:val="002C5611"/>
    <w:rsid w:val="002C58BE"/>
    <w:rsid w:val="002C5BE5"/>
    <w:rsid w:val="002C5D00"/>
    <w:rsid w:val="002C6105"/>
    <w:rsid w:val="002C612B"/>
    <w:rsid w:val="002C6142"/>
    <w:rsid w:val="002C63BE"/>
    <w:rsid w:val="002C650C"/>
    <w:rsid w:val="002C6B68"/>
    <w:rsid w:val="002C7063"/>
    <w:rsid w:val="002C746A"/>
    <w:rsid w:val="002C7646"/>
    <w:rsid w:val="002C7967"/>
    <w:rsid w:val="002C7B24"/>
    <w:rsid w:val="002D01A9"/>
    <w:rsid w:val="002D0268"/>
    <w:rsid w:val="002D06C1"/>
    <w:rsid w:val="002D16A3"/>
    <w:rsid w:val="002D23CC"/>
    <w:rsid w:val="002D2593"/>
    <w:rsid w:val="002D29CE"/>
    <w:rsid w:val="002D2BAE"/>
    <w:rsid w:val="002D37E2"/>
    <w:rsid w:val="002D3895"/>
    <w:rsid w:val="002D4056"/>
    <w:rsid w:val="002D446D"/>
    <w:rsid w:val="002D4579"/>
    <w:rsid w:val="002D45E1"/>
    <w:rsid w:val="002D4783"/>
    <w:rsid w:val="002D4C73"/>
    <w:rsid w:val="002D4CE1"/>
    <w:rsid w:val="002D503C"/>
    <w:rsid w:val="002D55F3"/>
    <w:rsid w:val="002D56CA"/>
    <w:rsid w:val="002D5D78"/>
    <w:rsid w:val="002D5D7E"/>
    <w:rsid w:val="002D60E5"/>
    <w:rsid w:val="002D664A"/>
    <w:rsid w:val="002D67FE"/>
    <w:rsid w:val="002D6E0E"/>
    <w:rsid w:val="002D753D"/>
    <w:rsid w:val="002D76E9"/>
    <w:rsid w:val="002D7733"/>
    <w:rsid w:val="002D7A2B"/>
    <w:rsid w:val="002D7BEB"/>
    <w:rsid w:val="002E08DF"/>
    <w:rsid w:val="002E0925"/>
    <w:rsid w:val="002E0C0C"/>
    <w:rsid w:val="002E0CF9"/>
    <w:rsid w:val="002E0D49"/>
    <w:rsid w:val="002E1160"/>
    <w:rsid w:val="002E1463"/>
    <w:rsid w:val="002E28C9"/>
    <w:rsid w:val="002E301E"/>
    <w:rsid w:val="002E3086"/>
    <w:rsid w:val="002E3575"/>
    <w:rsid w:val="002E3A8E"/>
    <w:rsid w:val="002E3F04"/>
    <w:rsid w:val="002E412A"/>
    <w:rsid w:val="002E4577"/>
    <w:rsid w:val="002E458D"/>
    <w:rsid w:val="002E4FD5"/>
    <w:rsid w:val="002E51A7"/>
    <w:rsid w:val="002E594D"/>
    <w:rsid w:val="002E5CE1"/>
    <w:rsid w:val="002E614A"/>
    <w:rsid w:val="002E630A"/>
    <w:rsid w:val="002E646E"/>
    <w:rsid w:val="002E6A8B"/>
    <w:rsid w:val="002E6DFB"/>
    <w:rsid w:val="002E7844"/>
    <w:rsid w:val="002E8852"/>
    <w:rsid w:val="002F0105"/>
    <w:rsid w:val="002F05A6"/>
    <w:rsid w:val="002F05F9"/>
    <w:rsid w:val="002F064C"/>
    <w:rsid w:val="002F189C"/>
    <w:rsid w:val="002F1990"/>
    <w:rsid w:val="002F1E66"/>
    <w:rsid w:val="002F1ED1"/>
    <w:rsid w:val="002F251E"/>
    <w:rsid w:val="002F25CD"/>
    <w:rsid w:val="002F2E95"/>
    <w:rsid w:val="002F3A00"/>
    <w:rsid w:val="002F3F53"/>
    <w:rsid w:val="002F4189"/>
    <w:rsid w:val="002F5073"/>
    <w:rsid w:val="002F59E5"/>
    <w:rsid w:val="002F5DD2"/>
    <w:rsid w:val="002F611F"/>
    <w:rsid w:val="002F69E2"/>
    <w:rsid w:val="002F6AB2"/>
    <w:rsid w:val="002F705D"/>
    <w:rsid w:val="002F74C2"/>
    <w:rsid w:val="002F7AC8"/>
    <w:rsid w:val="002F7D61"/>
    <w:rsid w:val="0030047D"/>
    <w:rsid w:val="0030179D"/>
    <w:rsid w:val="00301A78"/>
    <w:rsid w:val="00301D02"/>
    <w:rsid w:val="00301D4A"/>
    <w:rsid w:val="00301DFA"/>
    <w:rsid w:val="00301EF2"/>
    <w:rsid w:val="003023EB"/>
    <w:rsid w:val="00302E28"/>
    <w:rsid w:val="003039FA"/>
    <w:rsid w:val="00303AC4"/>
    <w:rsid w:val="00303ED1"/>
    <w:rsid w:val="00304280"/>
    <w:rsid w:val="00304398"/>
    <w:rsid w:val="00304756"/>
    <w:rsid w:val="00304791"/>
    <w:rsid w:val="0030508D"/>
    <w:rsid w:val="003053B6"/>
    <w:rsid w:val="00305452"/>
    <w:rsid w:val="00305847"/>
    <w:rsid w:val="00305906"/>
    <w:rsid w:val="00305A40"/>
    <w:rsid w:val="00306689"/>
    <w:rsid w:val="00307105"/>
    <w:rsid w:val="00307699"/>
    <w:rsid w:val="00307A90"/>
    <w:rsid w:val="00307D5B"/>
    <w:rsid w:val="00307D70"/>
    <w:rsid w:val="003106C4"/>
    <w:rsid w:val="0031076C"/>
    <w:rsid w:val="00310C2A"/>
    <w:rsid w:val="00310FD0"/>
    <w:rsid w:val="0031128B"/>
    <w:rsid w:val="003114AF"/>
    <w:rsid w:val="003119B7"/>
    <w:rsid w:val="00311BAE"/>
    <w:rsid w:val="00311F03"/>
    <w:rsid w:val="0031213E"/>
    <w:rsid w:val="00312337"/>
    <w:rsid w:val="00312717"/>
    <w:rsid w:val="003127D2"/>
    <w:rsid w:val="00312852"/>
    <w:rsid w:val="0031290A"/>
    <w:rsid w:val="00312C8E"/>
    <w:rsid w:val="003132E9"/>
    <w:rsid w:val="00313382"/>
    <w:rsid w:val="003135A6"/>
    <w:rsid w:val="003142F8"/>
    <w:rsid w:val="00314EA1"/>
    <w:rsid w:val="003158DD"/>
    <w:rsid w:val="003160AA"/>
    <w:rsid w:val="00316420"/>
    <w:rsid w:val="003165C1"/>
    <w:rsid w:val="003168DC"/>
    <w:rsid w:val="00316AD7"/>
    <w:rsid w:val="00316C68"/>
    <w:rsid w:val="00317A69"/>
    <w:rsid w:val="00320129"/>
    <w:rsid w:val="0032038A"/>
    <w:rsid w:val="003204F9"/>
    <w:rsid w:val="00320684"/>
    <w:rsid w:val="0032089B"/>
    <w:rsid w:val="00320A68"/>
    <w:rsid w:val="00320F67"/>
    <w:rsid w:val="0032126E"/>
    <w:rsid w:val="003212E4"/>
    <w:rsid w:val="00321490"/>
    <w:rsid w:val="0032156F"/>
    <w:rsid w:val="00321BD9"/>
    <w:rsid w:val="00321D13"/>
    <w:rsid w:val="00322754"/>
    <w:rsid w:val="00322886"/>
    <w:rsid w:val="00322917"/>
    <w:rsid w:val="00322C50"/>
    <w:rsid w:val="00323726"/>
    <w:rsid w:val="00323780"/>
    <w:rsid w:val="003241C8"/>
    <w:rsid w:val="0032444A"/>
    <w:rsid w:val="003256D8"/>
    <w:rsid w:val="00325823"/>
    <w:rsid w:val="00325836"/>
    <w:rsid w:val="0032584A"/>
    <w:rsid w:val="00325ACD"/>
    <w:rsid w:val="00326564"/>
    <w:rsid w:val="003265E8"/>
    <w:rsid w:val="00326E24"/>
    <w:rsid w:val="003273F9"/>
    <w:rsid w:val="00327557"/>
    <w:rsid w:val="00327AE3"/>
    <w:rsid w:val="00327D29"/>
    <w:rsid w:val="00327D92"/>
    <w:rsid w:val="0032F70A"/>
    <w:rsid w:val="00330391"/>
    <w:rsid w:val="003306AD"/>
    <w:rsid w:val="003315D3"/>
    <w:rsid w:val="003318AE"/>
    <w:rsid w:val="00331963"/>
    <w:rsid w:val="00331D52"/>
    <w:rsid w:val="003320CA"/>
    <w:rsid w:val="00332259"/>
    <w:rsid w:val="0033240A"/>
    <w:rsid w:val="0033295A"/>
    <w:rsid w:val="003329C8"/>
    <w:rsid w:val="00332C49"/>
    <w:rsid w:val="00332D42"/>
    <w:rsid w:val="00332F5B"/>
    <w:rsid w:val="00332FE8"/>
    <w:rsid w:val="00333A1C"/>
    <w:rsid w:val="00333A25"/>
    <w:rsid w:val="00333BCB"/>
    <w:rsid w:val="00333EAE"/>
    <w:rsid w:val="0033428F"/>
    <w:rsid w:val="00334A08"/>
    <w:rsid w:val="00334AC2"/>
    <w:rsid w:val="00334D92"/>
    <w:rsid w:val="0033586D"/>
    <w:rsid w:val="00335964"/>
    <w:rsid w:val="00335AB3"/>
    <w:rsid w:val="00335D1A"/>
    <w:rsid w:val="00335D93"/>
    <w:rsid w:val="00335DD9"/>
    <w:rsid w:val="00335E45"/>
    <w:rsid w:val="00335F4E"/>
    <w:rsid w:val="0033612C"/>
    <w:rsid w:val="00336F72"/>
    <w:rsid w:val="003379C5"/>
    <w:rsid w:val="00337EE6"/>
    <w:rsid w:val="0034019D"/>
    <w:rsid w:val="00340916"/>
    <w:rsid w:val="00340E5D"/>
    <w:rsid w:val="00340EDC"/>
    <w:rsid w:val="003419DA"/>
    <w:rsid w:val="00341C94"/>
    <w:rsid w:val="00341DCE"/>
    <w:rsid w:val="003422B2"/>
    <w:rsid w:val="00342753"/>
    <w:rsid w:val="00342815"/>
    <w:rsid w:val="00342EB0"/>
    <w:rsid w:val="003438D3"/>
    <w:rsid w:val="00343BA4"/>
    <w:rsid w:val="00343BD2"/>
    <w:rsid w:val="00343D16"/>
    <w:rsid w:val="0034430E"/>
    <w:rsid w:val="00344587"/>
    <w:rsid w:val="00344816"/>
    <w:rsid w:val="00344888"/>
    <w:rsid w:val="00344929"/>
    <w:rsid w:val="003449DC"/>
    <w:rsid w:val="003449F4"/>
    <w:rsid w:val="00344A13"/>
    <w:rsid w:val="00344D61"/>
    <w:rsid w:val="003450E3"/>
    <w:rsid w:val="0034560E"/>
    <w:rsid w:val="0034561B"/>
    <w:rsid w:val="003457AF"/>
    <w:rsid w:val="00345965"/>
    <w:rsid w:val="00345C62"/>
    <w:rsid w:val="00346801"/>
    <w:rsid w:val="00346DC4"/>
    <w:rsid w:val="00347003"/>
    <w:rsid w:val="00347256"/>
    <w:rsid w:val="00347509"/>
    <w:rsid w:val="0034780A"/>
    <w:rsid w:val="003478FB"/>
    <w:rsid w:val="003513A6"/>
    <w:rsid w:val="0035141C"/>
    <w:rsid w:val="003514FC"/>
    <w:rsid w:val="0035195B"/>
    <w:rsid w:val="003519F4"/>
    <w:rsid w:val="00352317"/>
    <w:rsid w:val="0035242E"/>
    <w:rsid w:val="00352727"/>
    <w:rsid w:val="003528F9"/>
    <w:rsid w:val="00352AC5"/>
    <w:rsid w:val="00352B07"/>
    <w:rsid w:val="00352BFA"/>
    <w:rsid w:val="003532D7"/>
    <w:rsid w:val="003535B8"/>
    <w:rsid w:val="0035369F"/>
    <w:rsid w:val="003542BA"/>
    <w:rsid w:val="0035470B"/>
    <w:rsid w:val="00354C20"/>
    <w:rsid w:val="00354F09"/>
    <w:rsid w:val="00355715"/>
    <w:rsid w:val="00355788"/>
    <w:rsid w:val="00355C47"/>
    <w:rsid w:val="00355EA8"/>
    <w:rsid w:val="00356367"/>
    <w:rsid w:val="003568A4"/>
    <w:rsid w:val="00356D7B"/>
    <w:rsid w:val="00357382"/>
    <w:rsid w:val="0035776C"/>
    <w:rsid w:val="00357927"/>
    <w:rsid w:val="00360138"/>
    <w:rsid w:val="00360382"/>
    <w:rsid w:val="0036088A"/>
    <w:rsid w:val="00360AB5"/>
    <w:rsid w:val="00360ABE"/>
    <w:rsid w:val="00360B88"/>
    <w:rsid w:val="00360CC6"/>
    <w:rsid w:val="00360E09"/>
    <w:rsid w:val="00360FC8"/>
    <w:rsid w:val="003611DB"/>
    <w:rsid w:val="0036143D"/>
    <w:rsid w:val="00361461"/>
    <w:rsid w:val="00361A8E"/>
    <w:rsid w:val="00362815"/>
    <w:rsid w:val="00362B07"/>
    <w:rsid w:val="0036380D"/>
    <w:rsid w:val="00364B9E"/>
    <w:rsid w:val="00364DF6"/>
    <w:rsid w:val="00364F95"/>
    <w:rsid w:val="00365033"/>
    <w:rsid w:val="0036523D"/>
    <w:rsid w:val="00365302"/>
    <w:rsid w:val="003653E1"/>
    <w:rsid w:val="00365A98"/>
    <w:rsid w:val="00366143"/>
    <w:rsid w:val="00366368"/>
    <w:rsid w:val="00366D29"/>
    <w:rsid w:val="00366D34"/>
    <w:rsid w:val="003671D3"/>
    <w:rsid w:val="0036727F"/>
    <w:rsid w:val="0036733A"/>
    <w:rsid w:val="00367E6B"/>
    <w:rsid w:val="00367F75"/>
    <w:rsid w:val="0036B3D9"/>
    <w:rsid w:val="00370D4C"/>
    <w:rsid w:val="00371313"/>
    <w:rsid w:val="003714A8"/>
    <w:rsid w:val="00371BCB"/>
    <w:rsid w:val="003721D5"/>
    <w:rsid w:val="003722D8"/>
    <w:rsid w:val="00372408"/>
    <w:rsid w:val="003729E9"/>
    <w:rsid w:val="003729F7"/>
    <w:rsid w:val="003736DF"/>
    <w:rsid w:val="00374D52"/>
    <w:rsid w:val="00374E87"/>
    <w:rsid w:val="00375144"/>
    <w:rsid w:val="00375364"/>
    <w:rsid w:val="003758E6"/>
    <w:rsid w:val="003768B8"/>
    <w:rsid w:val="00376CDD"/>
    <w:rsid w:val="003774EF"/>
    <w:rsid w:val="0037793B"/>
    <w:rsid w:val="00377DE1"/>
    <w:rsid w:val="003806D5"/>
    <w:rsid w:val="00380876"/>
    <w:rsid w:val="00380D73"/>
    <w:rsid w:val="00380DCD"/>
    <w:rsid w:val="00380F70"/>
    <w:rsid w:val="0038110F"/>
    <w:rsid w:val="00381442"/>
    <w:rsid w:val="0038145F"/>
    <w:rsid w:val="00381AFA"/>
    <w:rsid w:val="00381C87"/>
    <w:rsid w:val="00381F97"/>
    <w:rsid w:val="003820E5"/>
    <w:rsid w:val="00382B38"/>
    <w:rsid w:val="00382B6F"/>
    <w:rsid w:val="00382B95"/>
    <w:rsid w:val="00382BE5"/>
    <w:rsid w:val="00382D31"/>
    <w:rsid w:val="00383207"/>
    <w:rsid w:val="0038351E"/>
    <w:rsid w:val="0038352B"/>
    <w:rsid w:val="0038394B"/>
    <w:rsid w:val="00383D19"/>
    <w:rsid w:val="00383F05"/>
    <w:rsid w:val="003841AA"/>
    <w:rsid w:val="00384A8B"/>
    <w:rsid w:val="00384D46"/>
    <w:rsid w:val="00384FEC"/>
    <w:rsid w:val="00385427"/>
    <w:rsid w:val="00385501"/>
    <w:rsid w:val="00385614"/>
    <w:rsid w:val="00386113"/>
    <w:rsid w:val="0038620F"/>
    <w:rsid w:val="00386ADF"/>
    <w:rsid w:val="00386DCF"/>
    <w:rsid w:val="00386E70"/>
    <w:rsid w:val="00387171"/>
    <w:rsid w:val="00387280"/>
    <w:rsid w:val="00387401"/>
    <w:rsid w:val="0038744F"/>
    <w:rsid w:val="003875ED"/>
    <w:rsid w:val="0038771D"/>
    <w:rsid w:val="00387AE9"/>
    <w:rsid w:val="00387E4B"/>
    <w:rsid w:val="00387FFA"/>
    <w:rsid w:val="00389D39"/>
    <w:rsid w:val="003901EA"/>
    <w:rsid w:val="00390963"/>
    <w:rsid w:val="00390F0B"/>
    <w:rsid w:val="0039146B"/>
    <w:rsid w:val="00391778"/>
    <w:rsid w:val="00391E66"/>
    <w:rsid w:val="00392147"/>
    <w:rsid w:val="00392173"/>
    <w:rsid w:val="003935CB"/>
    <w:rsid w:val="00393D9D"/>
    <w:rsid w:val="003948E5"/>
    <w:rsid w:val="00394963"/>
    <w:rsid w:val="003949C3"/>
    <w:rsid w:val="00395235"/>
    <w:rsid w:val="003957AB"/>
    <w:rsid w:val="003958D7"/>
    <w:rsid w:val="00395A47"/>
    <w:rsid w:val="00395A63"/>
    <w:rsid w:val="00395D42"/>
    <w:rsid w:val="00395F58"/>
    <w:rsid w:val="0039624E"/>
    <w:rsid w:val="00396549"/>
    <w:rsid w:val="003969DA"/>
    <w:rsid w:val="00396DF2"/>
    <w:rsid w:val="00397353"/>
    <w:rsid w:val="003974FC"/>
    <w:rsid w:val="00397F03"/>
    <w:rsid w:val="00397F56"/>
    <w:rsid w:val="003A01B4"/>
    <w:rsid w:val="003A0244"/>
    <w:rsid w:val="003A0419"/>
    <w:rsid w:val="003A047D"/>
    <w:rsid w:val="003A0C40"/>
    <w:rsid w:val="003A0D09"/>
    <w:rsid w:val="003A0F40"/>
    <w:rsid w:val="003A133C"/>
    <w:rsid w:val="003A14FF"/>
    <w:rsid w:val="003A164E"/>
    <w:rsid w:val="003A1858"/>
    <w:rsid w:val="003A1B5D"/>
    <w:rsid w:val="003A2230"/>
    <w:rsid w:val="003A2378"/>
    <w:rsid w:val="003A247A"/>
    <w:rsid w:val="003A27A1"/>
    <w:rsid w:val="003A2D29"/>
    <w:rsid w:val="003A3B05"/>
    <w:rsid w:val="003A4439"/>
    <w:rsid w:val="003A466E"/>
    <w:rsid w:val="003A5463"/>
    <w:rsid w:val="003A55D9"/>
    <w:rsid w:val="003A5BE0"/>
    <w:rsid w:val="003A5C5C"/>
    <w:rsid w:val="003A66F5"/>
    <w:rsid w:val="003A6848"/>
    <w:rsid w:val="003A6CB8"/>
    <w:rsid w:val="003A6D1E"/>
    <w:rsid w:val="003A708F"/>
    <w:rsid w:val="003A7180"/>
    <w:rsid w:val="003A7EF1"/>
    <w:rsid w:val="003A7F4A"/>
    <w:rsid w:val="003A7F6B"/>
    <w:rsid w:val="003A7F9A"/>
    <w:rsid w:val="003B05A6"/>
    <w:rsid w:val="003B05E6"/>
    <w:rsid w:val="003B08A4"/>
    <w:rsid w:val="003B08D8"/>
    <w:rsid w:val="003B0AB2"/>
    <w:rsid w:val="003B1088"/>
    <w:rsid w:val="003B12C2"/>
    <w:rsid w:val="003B144B"/>
    <w:rsid w:val="003B18A6"/>
    <w:rsid w:val="003B1957"/>
    <w:rsid w:val="003B1C01"/>
    <w:rsid w:val="003B20F1"/>
    <w:rsid w:val="003B2141"/>
    <w:rsid w:val="003B2460"/>
    <w:rsid w:val="003B25B4"/>
    <w:rsid w:val="003B2C55"/>
    <w:rsid w:val="003B30BC"/>
    <w:rsid w:val="003B3598"/>
    <w:rsid w:val="003B3970"/>
    <w:rsid w:val="003B39F0"/>
    <w:rsid w:val="003B3D0F"/>
    <w:rsid w:val="003B3E10"/>
    <w:rsid w:val="003B3F13"/>
    <w:rsid w:val="003B4196"/>
    <w:rsid w:val="003B41C6"/>
    <w:rsid w:val="003B45A9"/>
    <w:rsid w:val="003B4ADC"/>
    <w:rsid w:val="003B5015"/>
    <w:rsid w:val="003B5275"/>
    <w:rsid w:val="003B52A5"/>
    <w:rsid w:val="003B53AB"/>
    <w:rsid w:val="003B5541"/>
    <w:rsid w:val="003B55A8"/>
    <w:rsid w:val="003B55F7"/>
    <w:rsid w:val="003B584C"/>
    <w:rsid w:val="003B5D1C"/>
    <w:rsid w:val="003B5DE1"/>
    <w:rsid w:val="003B6206"/>
    <w:rsid w:val="003B6448"/>
    <w:rsid w:val="003B683F"/>
    <w:rsid w:val="003B6A64"/>
    <w:rsid w:val="003B6E4F"/>
    <w:rsid w:val="003B6F16"/>
    <w:rsid w:val="003B7432"/>
    <w:rsid w:val="003B7559"/>
    <w:rsid w:val="003B77F5"/>
    <w:rsid w:val="003B7EC6"/>
    <w:rsid w:val="003B7F57"/>
    <w:rsid w:val="003B9D34"/>
    <w:rsid w:val="003C021A"/>
    <w:rsid w:val="003C0DFD"/>
    <w:rsid w:val="003C0E63"/>
    <w:rsid w:val="003C0FD5"/>
    <w:rsid w:val="003C17EF"/>
    <w:rsid w:val="003C1969"/>
    <w:rsid w:val="003C20BA"/>
    <w:rsid w:val="003C20FD"/>
    <w:rsid w:val="003C2A99"/>
    <w:rsid w:val="003C31FF"/>
    <w:rsid w:val="003C337F"/>
    <w:rsid w:val="003C404F"/>
    <w:rsid w:val="003C4B5B"/>
    <w:rsid w:val="003C4FCA"/>
    <w:rsid w:val="003C5186"/>
    <w:rsid w:val="003C5CBA"/>
    <w:rsid w:val="003C5DEB"/>
    <w:rsid w:val="003C5F8E"/>
    <w:rsid w:val="003C69FA"/>
    <w:rsid w:val="003C6A4B"/>
    <w:rsid w:val="003C779B"/>
    <w:rsid w:val="003C79BB"/>
    <w:rsid w:val="003C7A86"/>
    <w:rsid w:val="003C7AF8"/>
    <w:rsid w:val="003C7EED"/>
    <w:rsid w:val="003D0291"/>
    <w:rsid w:val="003D0519"/>
    <w:rsid w:val="003D0549"/>
    <w:rsid w:val="003D077E"/>
    <w:rsid w:val="003D0D9B"/>
    <w:rsid w:val="003D195A"/>
    <w:rsid w:val="003D19D9"/>
    <w:rsid w:val="003D2A10"/>
    <w:rsid w:val="003D2AE9"/>
    <w:rsid w:val="003D2AF5"/>
    <w:rsid w:val="003D2D30"/>
    <w:rsid w:val="003D3032"/>
    <w:rsid w:val="003D3415"/>
    <w:rsid w:val="003D347E"/>
    <w:rsid w:val="003D39B9"/>
    <w:rsid w:val="003D41CF"/>
    <w:rsid w:val="003D4783"/>
    <w:rsid w:val="003D47E6"/>
    <w:rsid w:val="003D4CA0"/>
    <w:rsid w:val="003D5027"/>
    <w:rsid w:val="003D50FC"/>
    <w:rsid w:val="003D5D37"/>
    <w:rsid w:val="003D644B"/>
    <w:rsid w:val="003D6732"/>
    <w:rsid w:val="003D68D1"/>
    <w:rsid w:val="003D6B3F"/>
    <w:rsid w:val="003D7429"/>
    <w:rsid w:val="003D77B4"/>
    <w:rsid w:val="003D7846"/>
    <w:rsid w:val="003D7974"/>
    <w:rsid w:val="003D7D63"/>
    <w:rsid w:val="003D7F18"/>
    <w:rsid w:val="003E0889"/>
    <w:rsid w:val="003E0BE9"/>
    <w:rsid w:val="003E1780"/>
    <w:rsid w:val="003E1783"/>
    <w:rsid w:val="003E1984"/>
    <w:rsid w:val="003E1F97"/>
    <w:rsid w:val="003E213C"/>
    <w:rsid w:val="003E2210"/>
    <w:rsid w:val="003E2651"/>
    <w:rsid w:val="003E2670"/>
    <w:rsid w:val="003E267D"/>
    <w:rsid w:val="003E275F"/>
    <w:rsid w:val="003E32C2"/>
    <w:rsid w:val="003E3373"/>
    <w:rsid w:val="003E3484"/>
    <w:rsid w:val="003E3488"/>
    <w:rsid w:val="003E3863"/>
    <w:rsid w:val="003E389C"/>
    <w:rsid w:val="003E3921"/>
    <w:rsid w:val="003E3A2C"/>
    <w:rsid w:val="003E403C"/>
    <w:rsid w:val="003E41F4"/>
    <w:rsid w:val="003E46A7"/>
    <w:rsid w:val="003E4A26"/>
    <w:rsid w:val="003E5233"/>
    <w:rsid w:val="003E5287"/>
    <w:rsid w:val="003E531C"/>
    <w:rsid w:val="003E5327"/>
    <w:rsid w:val="003E5E23"/>
    <w:rsid w:val="003E5E70"/>
    <w:rsid w:val="003E5EDE"/>
    <w:rsid w:val="003E6CEE"/>
    <w:rsid w:val="003E6F9F"/>
    <w:rsid w:val="003E715E"/>
    <w:rsid w:val="003E751F"/>
    <w:rsid w:val="003E7901"/>
    <w:rsid w:val="003E7CF4"/>
    <w:rsid w:val="003E7F03"/>
    <w:rsid w:val="003EA7E5"/>
    <w:rsid w:val="003F0000"/>
    <w:rsid w:val="003F091E"/>
    <w:rsid w:val="003F1345"/>
    <w:rsid w:val="003F1B38"/>
    <w:rsid w:val="003F1B4B"/>
    <w:rsid w:val="003F216A"/>
    <w:rsid w:val="003F219B"/>
    <w:rsid w:val="003F22D5"/>
    <w:rsid w:val="003F2495"/>
    <w:rsid w:val="003F390F"/>
    <w:rsid w:val="003F44BE"/>
    <w:rsid w:val="003F488D"/>
    <w:rsid w:val="003F4AEE"/>
    <w:rsid w:val="003F4B68"/>
    <w:rsid w:val="003F4B9A"/>
    <w:rsid w:val="003F5191"/>
    <w:rsid w:val="003F52D3"/>
    <w:rsid w:val="003F56D5"/>
    <w:rsid w:val="003F5D28"/>
    <w:rsid w:val="003F63CB"/>
    <w:rsid w:val="003F6942"/>
    <w:rsid w:val="003F69CB"/>
    <w:rsid w:val="003F6F3B"/>
    <w:rsid w:val="003F7181"/>
    <w:rsid w:val="003F75A0"/>
    <w:rsid w:val="003F7D47"/>
    <w:rsid w:val="003F7DCD"/>
    <w:rsid w:val="003F7F54"/>
    <w:rsid w:val="003FB114"/>
    <w:rsid w:val="004002DE"/>
    <w:rsid w:val="0040036A"/>
    <w:rsid w:val="004004B3"/>
    <w:rsid w:val="00400924"/>
    <w:rsid w:val="00400AEF"/>
    <w:rsid w:val="00400C9B"/>
    <w:rsid w:val="00400D84"/>
    <w:rsid w:val="00400DAB"/>
    <w:rsid w:val="00400E26"/>
    <w:rsid w:val="00401070"/>
    <w:rsid w:val="00401830"/>
    <w:rsid w:val="00401A65"/>
    <w:rsid w:val="00401F2B"/>
    <w:rsid w:val="00402278"/>
    <w:rsid w:val="0040274F"/>
    <w:rsid w:val="00402D65"/>
    <w:rsid w:val="00402F88"/>
    <w:rsid w:val="00403392"/>
    <w:rsid w:val="00403661"/>
    <w:rsid w:val="00403C45"/>
    <w:rsid w:val="00404276"/>
    <w:rsid w:val="0040490D"/>
    <w:rsid w:val="004053DB"/>
    <w:rsid w:val="0040549B"/>
    <w:rsid w:val="00405A1B"/>
    <w:rsid w:val="00405E8A"/>
    <w:rsid w:val="004067D4"/>
    <w:rsid w:val="00406A7C"/>
    <w:rsid w:val="00410001"/>
    <w:rsid w:val="0041053C"/>
    <w:rsid w:val="00410829"/>
    <w:rsid w:val="004117DB"/>
    <w:rsid w:val="00411CCB"/>
    <w:rsid w:val="00411E7A"/>
    <w:rsid w:val="00412662"/>
    <w:rsid w:val="00412668"/>
    <w:rsid w:val="00412786"/>
    <w:rsid w:val="00412819"/>
    <w:rsid w:val="00412A08"/>
    <w:rsid w:val="00412C53"/>
    <w:rsid w:val="00412DB0"/>
    <w:rsid w:val="00412DF1"/>
    <w:rsid w:val="0041354F"/>
    <w:rsid w:val="004135FF"/>
    <w:rsid w:val="004139EB"/>
    <w:rsid w:val="00413B6B"/>
    <w:rsid w:val="00414483"/>
    <w:rsid w:val="0041459E"/>
    <w:rsid w:val="00414EF3"/>
    <w:rsid w:val="0041566A"/>
    <w:rsid w:val="0041577A"/>
    <w:rsid w:val="00415884"/>
    <w:rsid w:val="004159FA"/>
    <w:rsid w:val="00415EAC"/>
    <w:rsid w:val="004162C2"/>
    <w:rsid w:val="00416316"/>
    <w:rsid w:val="004164F3"/>
    <w:rsid w:val="004168DC"/>
    <w:rsid w:val="00416CEB"/>
    <w:rsid w:val="0041747F"/>
    <w:rsid w:val="0041757C"/>
    <w:rsid w:val="00417881"/>
    <w:rsid w:val="0041795F"/>
    <w:rsid w:val="00417981"/>
    <w:rsid w:val="00417E83"/>
    <w:rsid w:val="0041EAE5"/>
    <w:rsid w:val="00420209"/>
    <w:rsid w:val="0042035F"/>
    <w:rsid w:val="004207D4"/>
    <w:rsid w:val="00420A4E"/>
    <w:rsid w:val="004212D4"/>
    <w:rsid w:val="00421428"/>
    <w:rsid w:val="00421BC7"/>
    <w:rsid w:val="00421E08"/>
    <w:rsid w:val="00422224"/>
    <w:rsid w:val="004223D0"/>
    <w:rsid w:val="004225DD"/>
    <w:rsid w:val="004226F7"/>
    <w:rsid w:val="00422D30"/>
    <w:rsid w:val="004234CD"/>
    <w:rsid w:val="0042467F"/>
    <w:rsid w:val="00424A01"/>
    <w:rsid w:val="0042537E"/>
    <w:rsid w:val="00425F3D"/>
    <w:rsid w:val="004266BA"/>
    <w:rsid w:val="00426C4C"/>
    <w:rsid w:val="00426CB3"/>
    <w:rsid w:val="00427101"/>
    <w:rsid w:val="00427610"/>
    <w:rsid w:val="0042764C"/>
    <w:rsid w:val="004276D0"/>
    <w:rsid w:val="0042C0D6"/>
    <w:rsid w:val="004303A7"/>
    <w:rsid w:val="004303C3"/>
    <w:rsid w:val="004304B7"/>
    <w:rsid w:val="0043075B"/>
    <w:rsid w:val="004309BC"/>
    <w:rsid w:val="00430A8A"/>
    <w:rsid w:val="00430B87"/>
    <w:rsid w:val="00430C58"/>
    <w:rsid w:val="00431A6E"/>
    <w:rsid w:val="00431DA2"/>
    <w:rsid w:val="004325AC"/>
    <w:rsid w:val="00432C86"/>
    <w:rsid w:val="00433371"/>
    <w:rsid w:val="004336B7"/>
    <w:rsid w:val="0043376C"/>
    <w:rsid w:val="00433C00"/>
    <w:rsid w:val="00433FA3"/>
    <w:rsid w:val="00433FBB"/>
    <w:rsid w:val="0043403E"/>
    <w:rsid w:val="00434366"/>
    <w:rsid w:val="004344B7"/>
    <w:rsid w:val="004347DB"/>
    <w:rsid w:val="0043491B"/>
    <w:rsid w:val="004349BD"/>
    <w:rsid w:val="00434FA2"/>
    <w:rsid w:val="004350E1"/>
    <w:rsid w:val="00435417"/>
    <w:rsid w:val="00435A5F"/>
    <w:rsid w:val="00436366"/>
    <w:rsid w:val="00436612"/>
    <w:rsid w:val="00436DC9"/>
    <w:rsid w:val="00436E52"/>
    <w:rsid w:val="00437384"/>
    <w:rsid w:val="004375C4"/>
    <w:rsid w:val="0043782D"/>
    <w:rsid w:val="00437A4A"/>
    <w:rsid w:val="00437B5D"/>
    <w:rsid w:val="00440604"/>
    <w:rsid w:val="00440C18"/>
    <w:rsid w:val="00440ECA"/>
    <w:rsid w:val="004413BF"/>
    <w:rsid w:val="0044143B"/>
    <w:rsid w:val="004423E5"/>
    <w:rsid w:val="0044267D"/>
    <w:rsid w:val="004426B0"/>
    <w:rsid w:val="0044281B"/>
    <w:rsid w:val="00442FC5"/>
    <w:rsid w:val="00442FF2"/>
    <w:rsid w:val="00443078"/>
    <w:rsid w:val="004433CF"/>
    <w:rsid w:val="00443AA1"/>
    <w:rsid w:val="00443AFE"/>
    <w:rsid w:val="00443CC4"/>
    <w:rsid w:val="00443F27"/>
    <w:rsid w:val="00443F9C"/>
    <w:rsid w:val="00444315"/>
    <w:rsid w:val="0044460A"/>
    <w:rsid w:val="00444AED"/>
    <w:rsid w:val="00444BCA"/>
    <w:rsid w:val="0044500B"/>
    <w:rsid w:val="0044506F"/>
    <w:rsid w:val="004452B1"/>
    <w:rsid w:val="004452D5"/>
    <w:rsid w:val="004455DC"/>
    <w:rsid w:val="00445CEB"/>
    <w:rsid w:val="00445FC5"/>
    <w:rsid w:val="00446231"/>
    <w:rsid w:val="00446599"/>
    <w:rsid w:val="00446CB2"/>
    <w:rsid w:val="00447170"/>
    <w:rsid w:val="004472F0"/>
    <w:rsid w:val="004474B8"/>
    <w:rsid w:val="00447611"/>
    <w:rsid w:val="00447C75"/>
    <w:rsid w:val="00447D7A"/>
    <w:rsid w:val="0044E818"/>
    <w:rsid w:val="004501C3"/>
    <w:rsid w:val="0045030C"/>
    <w:rsid w:val="004504A6"/>
    <w:rsid w:val="0045078A"/>
    <w:rsid w:val="00451574"/>
    <w:rsid w:val="00451C08"/>
    <w:rsid w:val="004521D0"/>
    <w:rsid w:val="00452322"/>
    <w:rsid w:val="00452AD2"/>
    <w:rsid w:val="00452C3A"/>
    <w:rsid w:val="00452E11"/>
    <w:rsid w:val="00453185"/>
    <w:rsid w:val="00453703"/>
    <w:rsid w:val="00453E4E"/>
    <w:rsid w:val="00453EC6"/>
    <w:rsid w:val="00454452"/>
    <w:rsid w:val="00454EBF"/>
    <w:rsid w:val="00455DA6"/>
    <w:rsid w:val="00455E65"/>
    <w:rsid w:val="00455F2A"/>
    <w:rsid w:val="00456030"/>
    <w:rsid w:val="004560C0"/>
    <w:rsid w:val="004563D0"/>
    <w:rsid w:val="00456807"/>
    <w:rsid w:val="00456966"/>
    <w:rsid w:val="00457314"/>
    <w:rsid w:val="004573CB"/>
    <w:rsid w:val="00457434"/>
    <w:rsid w:val="00457FE6"/>
    <w:rsid w:val="004600F2"/>
    <w:rsid w:val="0046025B"/>
    <w:rsid w:val="0046040C"/>
    <w:rsid w:val="00460738"/>
    <w:rsid w:val="004607CF"/>
    <w:rsid w:val="00460E77"/>
    <w:rsid w:val="004610FF"/>
    <w:rsid w:val="0046144A"/>
    <w:rsid w:val="00461F67"/>
    <w:rsid w:val="0046208C"/>
    <w:rsid w:val="0046215E"/>
    <w:rsid w:val="00463094"/>
    <w:rsid w:val="00463204"/>
    <w:rsid w:val="00463500"/>
    <w:rsid w:val="00463A44"/>
    <w:rsid w:val="00463C2C"/>
    <w:rsid w:val="00463F08"/>
    <w:rsid w:val="004642A6"/>
    <w:rsid w:val="00464AE2"/>
    <w:rsid w:val="00464F03"/>
    <w:rsid w:val="00465101"/>
    <w:rsid w:val="004651D1"/>
    <w:rsid w:val="004656A9"/>
    <w:rsid w:val="004656BA"/>
    <w:rsid w:val="00466565"/>
    <w:rsid w:val="00466626"/>
    <w:rsid w:val="00466864"/>
    <w:rsid w:val="00466E20"/>
    <w:rsid w:val="0046727A"/>
    <w:rsid w:val="00467C78"/>
    <w:rsid w:val="00467C8A"/>
    <w:rsid w:val="00470180"/>
    <w:rsid w:val="004707F9"/>
    <w:rsid w:val="00470D50"/>
    <w:rsid w:val="004713F9"/>
    <w:rsid w:val="004716A6"/>
    <w:rsid w:val="004716C7"/>
    <w:rsid w:val="004717CE"/>
    <w:rsid w:val="00471EC0"/>
    <w:rsid w:val="00472057"/>
    <w:rsid w:val="0047205B"/>
    <w:rsid w:val="004720B4"/>
    <w:rsid w:val="00472921"/>
    <w:rsid w:val="004729A2"/>
    <w:rsid w:val="00472AB9"/>
    <w:rsid w:val="00472B6E"/>
    <w:rsid w:val="00472E0A"/>
    <w:rsid w:val="00472E73"/>
    <w:rsid w:val="00472F16"/>
    <w:rsid w:val="00472F1A"/>
    <w:rsid w:val="00473573"/>
    <w:rsid w:val="004736EC"/>
    <w:rsid w:val="00473ACD"/>
    <w:rsid w:val="00473EB6"/>
    <w:rsid w:val="0047406B"/>
    <w:rsid w:val="00474930"/>
    <w:rsid w:val="00474B98"/>
    <w:rsid w:val="00474D6B"/>
    <w:rsid w:val="00474F6E"/>
    <w:rsid w:val="00475318"/>
    <w:rsid w:val="0047579F"/>
    <w:rsid w:val="004764A9"/>
    <w:rsid w:val="004767A8"/>
    <w:rsid w:val="00476C34"/>
    <w:rsid w:val="00477290"/>
    <w:rsid w:val="00477DEF"/>
    <w:rsid w:val="00477E4D"/>
    <w:rsid w:val="00477F5D"/>
    <w:rsid w:val="0048028C"/>
    <w:rsid w:val="00480B17"/>
    <w:rsid w:val="00481258"/>
    <w:rsid w:val="0048173A"/>
    <w:rsid w:val="0048195D"/>
    <w:rsid w:val="0048217C"/>
    <w:rsid w:val="00482534"/>
    <w:rsid w:val="004827F3"/>
    <w:rsid w:val="00482D8A"/>
    <w:rsid w:val="00482E62"/>
    <w:rsid w:val="00483324"/>
    <w:rsid w:val="004833A3"/>
    <w:rsid w:val="00483ECC"/>
    <w:rsid w:val="0048452D"/>
    <w:rsid w:val="00484D37"/>
    <w:rsid w:val="00485140"/>
    <w:rsid w:val="00485AEA"/>
    <w:rsid w:val="00485B38"/>
    <w:rsid w:val="00486219"/>
    <w:rsid w:val="0048637D"/>
    <w:rsid w:val="004865E9"/>
    <w:rsid w:val="0048696E"/>
    <w:rsid w:val="00486BC0"/>
    <w:rsid w:val="00486E07"/>
    <w:rsid w:val="004870A1"/>
    <w:rsid w:val="0048725C"/>
    <w:rsid w:val="004877EC"/>
    <w:rsid w:val="00487993"/>
    <w:rsid w:val="00487B1F"/>
    <w:rsid w:val="004900F5"/>
    <w:rsid w:val="00490177"/>
    <w:rsid w:val="00491A9B"/>
    <w:rsid w:val="00491C21"/>
    <w:rsid w:val="0049252E"/>
    <w:rsid w:val="004933E0"/>
    <w:rsid w:val="0049359C"/>
    <w:rsid w:val="00493689"/>
    <w:rsid w:val="004936D3"/>
    <w:rsid w:val="0049394B"/>
    <w:rsid w:val="00493A37"/>
    <w:rsid w:val="004940BA"/>
    <w:rsid w:val="004944C3"/>
    <w:rsid w:val="00494B05"/>
    <w:rsid w:val="00494B46"/>
    <w:rsid w:val="00494F87"/>
    <w:rsid w:val="00494FF3"/>
    <w:rsid w:val="00494FFF"/>
    <w:rsid w:val="0049661F"/>
    <w:rsid w:val="004966F6"/>
    <w:rsid w:val="00496948"/>
    <w:rsid w:val="00496A1D"/>
    <w:rsid w:val="00496A41"/>
    <w:rsid w:val="00496A9C"/>
    <w:rsid w:val="00496FCC"/>
    <w:rsid w:val="00497107"/>
    <w:rsid w:val="00497147"/>
    <w:rsid w:val="00497A78"/>
    <w:rsid w:val="00497CD9"/>
    <w:rsid w:val="00497E69"/>
    <w:rsid w:val="0049E233"/>
    <w:rsid w:val="004A0721"/>
    <w:rsid w:val="004A0E7E"/>
    <w:rsid w:val="004A0EDF"/>
    <w:rsid w:val="004A117B"/>
    <w:rsid w:val="004A1517"/>
    <w:rsid w:val="004A1703"/>
    <w:rsid w:val="004A2393"/>
    <w:rsid w:val="004A2B1B"/>
    <w:rsid w:val="004A34E3"/>
    <w:rsid w:val="004A3857"/>
    <w:rsid w:val="004A3B5D"/>
    <w:rsid w:val="004A3DD6"/>
    <w:rsid w:val="004A3E00"/>
    <w:rsid w:val="004A55FE"/>
    <w:rsid w:val="004A5A57"/>
    <w:rsid w:val="004A5EDF"/>
    <w:rsid w:val="004A5F0D"/>
    <w:rsid w:val="004A6470"/>
    <w:rsid w:val="004A6486"/>
    <w:rsid w:val="004A65F8"/>
    <w:rsid w:val="004A6661"/>
    <w:rsid w:val="004A6B0D"/>
    <w:rsid w:val="004A6EE8"/>
    <w:rsid w:val="004A718B"/>
    <w:rsid w:val="004A76E0"/>
    <w:rsid w:val="004A961F"/>
    <w:rsid w:val="004B04B6"/>
    <w:rsid w:val="004B06C2"/>
    <w:rsid w:val="004B0ED3"/>
    <w:rsid w:val="004B1246"/>
    <w:rsid w:val="004B1508"/>
    <w:rsid w:val="004B21D5"/>
    <w:rsid w:val="004B2431"/>
    <w:rsid w:val="004B28CD"/>
    <w:rsid w:val="004B378D"/>
    <w:rsid w:val="004B3D0B"/>
    <w:rsid w:val="004B3D40"/>
    <w:rsid w:val="004B3F63"/>
    <w:rsid w:val="004B405C"/>
    <w:rsid w:val="004B4231"/>
    <w:rsid w:val="004B462A"/>
    <w:rsid w:val="004B47A8"/>
    <w:rsid w:val="004B496A"/>
    <w:rsid w:val="004B4CCD"/>
    <w:rsid w:val="004B5190"/>
    <w:rsid w:val="004B52C5"/>
    <w:rsid w:val="004B56DC"/>
    <w:rsid w:val="004B5BED"/>
    <w:rsid w:val="004B5C71"/>
    <w:rsid w:val="004B6708"/>
    <w:rsid w:val="004B6729"/>
    <w:rsid w:val="004B6F8B"/>
    <w:rsid w:val="004B7276"/>
    <w:rsid w:val="004B75BF"/>
    <w:rsid w:val="004B7924"/>
    <w:rsid w:val="004B7D54"/>
    <w:rsid w:val="004BFD0C"/>
    <w:rsid w:val="004C00E1"/>
    <w:rsid w:val="004C02D1"/>
    <w:rsid w:val="004C08B8"/>
    <w:rsid w:val="004C0B1F"/>
    <w:rsid w:val="004C0FA4"/>
    <w:rsid w:val="004C14CF"/>
    <w:rsid w:val="004C16EE"/>
    <w:rsid w:val="004C1BEE"/>
    <w:rsid w:val="004C1E6F"/>
    <w:rsid w:val="004C26B6"/>
    <w:rsid w:val="004C2AB8"/>
    <w:rsid w:val="004C3D69"/>
    <w:rsid w:val="004C4291"/>
    <w:rsid w:val="004C4BA2"/>
    <w:rsid w:val="004C54EA"/>
    <w:rsid w:val="004C5F19"/>
    <w:rsid w:val="004C6146"/>
    <w:rsid w:val="004C6617"/>
    <w:rsid w:val="004C68D0"/>
    <w:rsid w:val="004C6ACC"/>
    <w:rsid w:val="004C6F6B"/>
    <w:rsid w:val="004C79A0"/>
    <w:rsid w:val="004C7BC7"/>
    <w:rsid w:val="004C7FA6"/>
    <w:rsid w:val="004D023E"/>
    <w:rsid w:val="004D0700"/>
    <w:rsid w:val="004D088E"/>
    <w:rsid w:val="004D0CD0"/>
    <w:rsid w:val="004D0DF6"/>
    <w:rsid w:val="004D1118"/>
    <w:rsid w:val="004D1308"/>
    <w:rsid w:val="004D1818"/>
    <w:rsid w:val="004D1F77"/>
    <w:rsid w:val="004D210A"/>
    <w:rsid w:val="004D2CD5"/>
    <w:rsid w:val="004D2E04"/>
    <w:rsid w:val="004D33CA"/>
    <w:rsid w:val="004D343A"/>
    <w:rsid w:val="004D3469"/>
    <w:rsid w:val="004D34A0"/>
    <w:rsid w:val="004D37DC"/>
    <w:rsid w:val="004D3A9E"/>
    <w:rsid w:val="004D3C1D"/>
    <w:rsid w:val="004D421F"/>
    <w:rsid w:val="004D4304"/>
    <w:rsid w:val="004D4BD4"/>
    <w:rsid w:val="004D52C9"/>
    <w:rsid w:val="004D54A9"/>
    <w:rsid w:val="004D5AEC"/>
    <w:rsid w:val="004D5CC3"/>
    <w:rsid w:val="004D5DDC"/>
    <w:rsid w:val="004D643A"/>
    <w:rsid w:val="004D6627"/>
    <w:rsid w:val="004D69B5"/>
    <w:rsid w:val="004D69D8"/>
    <w:rsid w:val="004D753C"/>
    <w:rsid w:val="004D79A9"/>
    <w:rsid w:val="004D7CE6"/>
    <w:rsid w:val="004D7DBC"/>
    <w:rsid w:val="004D7F80"/>
    <w:rsid w:val="004E0B3B"/>
    <w:rsid w:val="004E0D9B"/>
    <w:rsid w:val="004E0DE8"/>
    <w:rsid w:val="004E12A0"/>
    <w:rsid w:val="004E1381"/>
    <w:rsid w:val="004E189B"/>
    <w:rsid w:val="004E1EE1"/>
    <w:rsid w:val="004E279C"/>
    <w:rsid w:val="004E2952"/>
    <w:rsid w:val="004E2DF4"/>
    <w:rsid w:val="004E3800"/>
    <w:rsid w:val="004E3E8B"/>
    <w:rsid w:val="004E438C"/>
    <w:rsid w:val="004E4A83"/>
    <w:rsid w:val="004E4A97"/>
    <w:rsid w:val="004E4A9A"/>
    <w:rsid w:val="004E4E26"/>
    <w:rsid w:val="004E5314"/>
    <w:rsid w:val="004E5577"/>
    <w:rsid w:val="004E5BAC"/>
    <w:rsid w:val="004E5BC3"/>
    <w:rsid w:val="004E5DE6"/>
    <w:rsid w:val="004E5FEF"/>
    <w:rsid w:val="004E68A1"/>
    <w:rsid w:val="004E6B20"/>
    <w:rsid w:val="004E6DD9"/>
    <w:rsid w:val="004E6DE4"/>
    <w:rsid w:val="004E70B7"/>
    <w:rsid w:val="004E71DC"/>
    <w:rsid w:val="004E7220"/>
    <w:rsid w:val="004E7299"/>
    <w:rsid w:val="004E72A7"/>
    <w:rsid w:val="004E75E5"/>
    <w:rsid w:val="004E7791"/>
    <w:rsid w:val="004E7D7B"/>
    <w:rsid w:val="004F08E1"/>
    <w:rsid w:val="004F0DFC"/>
    <w:rsid w:val="004F123D"/>
    <w:rsid w:val="004F1A89"/>
    <w:rsid w:val="004F1A98"/>
    <w:rsid w:val="004F1F8F"/>
    <w:rsid w:val="004F23C9"/>
    <w:rsid w:val="004F2541"/>
    <w:rsid w:val="004F2C0D"/>
    <w:rsid w:val="004F2C24"/>
    <w:rsid w:val="004F2CD5"/>
    <w:rsid w:val="004F2E04"/>
    <w:rsid w:val="004F3333"/>
    <w:rsid w:val="004F3690"/>
    <w:rsid w:val="004F3B6A"/>
    <w:rsid w:val="004F3F51"/>
    <w:rsid w:val="004F4102"/>
    <w:rsid w:val="004F4156"/>
    <w:rsid w:val="004F419C"/>
    <w:rsid w:val="004F4A44"/>
    <w:rsid w:val="004F4D81"/>
    <w:rsid w:val="004F4F33"/>
    <w:rsid w:val="004F5BC3"/>
    <w:rsid w:val="004F5C8E"/>
    <w:rsid w:val="004F67CB"/>
    <w:rsid w:val="004F680C"/>
    <w:rsid w:val="004F7198"/>
    <w:rsid w:val="004F7231"/>
    <w:rsid w:val="004F7B23"/>
    <w:rsid w:val="0050020D"/>
    <w:rsid w:val="00500A14"/>
    <w:rsid w:val="00500CDE"/>
    <w:rsid w:val="0050107A"/>
    <w:rsid w:val="005010A6"/>
    <w:rsid w:val="00501B19"/>
    <w:rsid w:val="00501E85"/>
    <w:rsid w:val="005023C0"/>
    <w:rsid w:val="005025EB"/>
    <w:rsid w:val="00502795"/>
    <w:rsid w:val="005028A4"/>
    <w:rsid w:val="005028D6"/>
    <w:rsid w:val="00502B4B"/>
    <w:rsid w:val="0050313E"/>
    <w:rsid w:val="00503C8A"/>
    <w:rsid w:val="0050437D"/>
    <w:rsid w:val="0050439E"/>
    <w:rsid w:val="005044A4"/>
    <w:rsid w:val="005044A8"/>
    <w:rsid w:val="0050450A"/>
    <w:rsid w:val="00504842"/>
    <w:rsid w:val="00504878"/>
    <w:rsid w:val="00504943"/>
    <w:rsid w:val="00504DD3"/>
    <w:rsid w:val="00504E20"/>
    <w:rsid w:val="00504E55"/>
    <w:rsid w:val="0050565E"/>
    <w:rsid w:val="005057CB"/>
    <w:rsid w:val="00505AF0"/>
    <w:rsid w:val="00505C5D"/>
    <w:rsid w:val="00505D8E"/>
    <w:rsid w:val="00506904"/>
    <w:rsid w:val="00506BFF"/>
    <w:rsid w:val="00506E9D"/>
    <w:rsid w:val="00506EE0"/>
    <w:rsid w:val="00506EEB"/>
    <w:rsid w:val="00506F60"/>
    <w:rsid w:val="005073E8"/>
    <w:rsid w:val="00507B9E"/>
    <w:rsid w:val="00507D3B"/>
    <w:rsid w:val="00510495"/>
    <w:rsid w:val="00510591"/>
    <w:rsid w:val="00510A9C"/>
    <w:rsid w:val="0051101C"/>
    <w:rsid w:val="005115C9"/>
    <w:rsid w:val="005117F3"/>
    <w:rsid w:val="00511A66"/>
    <w:rsid w:val="00511AD6"/>
    <w:rsid w:val="00511B04"/>
    <w:rsid w:val="005123A0"/>
    <w:rsid w:val="0051240C"/>
    <w:rsid w:val="00512C80"/>
    <w:rsid w:val="00513144"/>
    <w:rsid w:val="00513666"/>
    <w:rsid w:val="00513BA8"/>
    <w:rsid w:val="005141BA"/>
    <w:rsid w:val="005143FB"/>
    <w:rsid w:val="005146FC"/>
    <w:rsid w:val="00514AC7"/>
    <w:rsid w:val="00514BB1"/>
    <w:rsid w:val="00514D57"/>
    <w:rsid w:val="00514FA7"/>
    <w:rsid w:val="00515084"/>
    <w:rsid w:val="0051561E"/>
    <w:rsid w:val="00515C7C"/>
    <w:rsid w:val="00515D2E"/>
    <w:rsid w:val="00516411"/>
    <w:rsid w:val="00516804"/>
    <w:rsid w:val="00516987"/>
    <w:rsid w:val="00516B3A"/>
    <w:rsid w:val="00516D28"/>
    <w:rsid w:val="0051797F"/>
    <w:rsid w:val="00517A23"/>
    <w:rsid w:val="005200A2"/>
    <w:rsid w:val="005201D1"/>
    <w:rsid w:val="0052022B"/>
    <w:rsid w:val="00520A15"/>
    <w:rsid w:val="00520A46"/>
    <w:rsid w:val="00520D69"/>
    <w:rsid w:val="00521224"/>
    <w:rsid w:val="005215DD"/>
    <w:rsid w:val="00521660"/>
    <w:rsid w:val="00521ACA"/>
    <w:rsid w:val="005221BB"/>
    <w:rsid w:val="005224DB"/>
    <w:rsid w:val="00522C50"/>
    <w:rsid w:val="00522E25"/>
    <w:rsid w:val="00523570"/>
    <w:rsid w:val="00523707"/>
    <w:rsid w:val="00523809"/>
    <w:rsid w:val="0052382B"/>
    <w:rsid w:val="00523D15"/>
    <w:rsid w:val="00523E6C"/>
    <w:rsid w:val="00524962"/>
    <w:rsid w:val="00524E69"/>
    <w:rsid w:val="00524F4B"/>
    <w:rsid w:val="00525423"/>
    <w:rsid w:val="00525587"/>
    <w:rsid w:val="0052572D"/>
    <w:rsid w:val="00525899"/>
    <w:rsid w:val="00525F36"/>
    <w:rsid w:val="00526707"/>
    <w:rsid w:val="0052694D"/>
    <w:rsid w:val="00526CA8"/>
    <w:rsid w:val="00526D49"/>
    <w:rsid w:val="00526D59"/>
    <w:rsid w:val="00526FE4"/>
    <w:rsid w:val="005271B7"/>
    <w:rsid w:val="0052739B"/>
    <w:rsid w:val="00527BB6"/>
    <w:rsid w:val="00527FBF"/>
    <w:rsid w:val="005300E9"/>
    <w:rsid w:val="005301E2"/>
    <w:rsid w:val="00530E03"/>
    <w:rsid w:val="00530F68"/>
    <w:rsid w:val="005312A8"/>
    <w:rsid w:val="005316E8"/>
    <w:rsid w:val="005325CF"/>
    <w:rsid w:val="005328C6"/>
    <w:rsid w:val="00532CB6"/>
    <w:rsid w:val="00532CC1"/>
    <w:rsid w:val="00533827"/>
    <w:rsid w:val="00533ED2"/>
    <w:rsid w:val="00534342"/>
    <w:rsid w:val="005346B4"/>
    <w:rsid w:val="00534AC0"/>
    <w:rsid w:val="00534D63"/>
    <w:rsid w:val="00534E35"/>
    <w:rsid w:val="0053552A"/>
    <w:rsid w:val="005359BE"/>
    <w:rsid w:val="00535A37"/>
    <w:rsid w:val="005366F0"/>
    <w:rsid w:val="00536A24"/>
    <w:rsid w:val="00536E7F"/>
    <w:rsid w:val="005374F1"/>
    <w:rsid w:val="00537611"/>
    <w:rsid w:val="005379D5"/>
    <w:rsid w:val="00540316"/>
    <w:rsid w:val="00541777"/>
    <w:rsid w:val="005418E9"/>
    <w:rsid w:val="0054207C"/>
    <w:rsid w:val="0054240C"/>
    <w:rsid w:val="005424EB"/>
    <w:rsid w:val="00542E7D"/>
    <w:rsid w:val="00543507"/>
    <w:rsid w:val="00543D29"/>
    <w:rsid w:val="00544353"/>
    <w:rsid w:val="00544F39"/>
    <w:rsid w:val="00545580"/>
    <w:rsid w:val="0054585B"/>
    <w:rsid w:val="0054591C"/>
    <w:rsid w:val="005459C7"/>
    <w:rsid w:val="005462BE"/>
    <w:rsid w:val="00546793"/>
    <w:rsid w:val="00546BEB"/>
    <w:rsid w:val="00546BFB"/>
    <w:rsid w:val="00546DE6"/>
    <w:rsid w:val="0054705A"/>
    <w:rsid w:val="00547538"/>
    <w:rsid w:val="005477E8"/>
    <w:rsid w:val="00547AF0"/>
    <w:rsid w:val="00547F0D"/>
    <w:rsid w:val="005484DD"/>
    <w:rsid w:val="00549A86"/>
    <w:rsid w:val="00550429"/>
    <w:rsid w:val="005506EF"/>
    <w:rsid w:val="0055088F"/>
    <w:rsid w:val="00550A66"/>
    <w:rsid w:val="00550C9B"/>
    <w:rsid w:val="00550D1E"/>
    <w:rsid w:val="0055131E"/>
    <w:rsid w:val="0055133D"/>
    <w:rsid w:val="00551543"/>
    <w:rsid w:val="00551800"/>
    <w:rsid w:val="005519FC"/>
    <w:rsid w:val="00551E70"/>
    <w:rsid w:val="0055224F"/>
    <w:rsid w:val="00552345"/>
    <w:rsid w:val="00552A9D"/>
    <w:rsid w:val="00552AE7"/>
    <w:rsid w:val="00552FBA"/>
    <w:rsid w:val="0055360F"/>
    <w:rsid w:val="00553676"/>
    <w:rsid w:val="005543F7"/>
    <w:rsid w:val="00554D51"/>
    <w:rsid w:val="00554EBD"/>
    <w:rsid w:val="00555177"/>
    <w:rsid w:val="005554AA"/>
    <w:rsid w:val="0055584D"/>
    <w:rsid w:val="00555A2D"/>
    <w:rsid w:val="005560DC"/>
    <w:rsid w:val="005561F0"/>
    <w:rsid w:val="005564E8"/>
    <w:rsid w:val="0055657B"/>
    <w:rsid w:val="00556CE2"/>
    <w:rsid w:val="00556FE3"/>
    <w:rsid w:val="00557A0C"/>
    <w:rsid w:val="00557C83"/>
    <w:rsid w:val="005600B0"/>
    <w:rsid w:val="00560A91"/>
    <w:rsid w:val="00560C8E"/>
    <w:rsid w:val="0056103F"/>
    <w:rsid w:val="005616B6"/>
    <w:rsid w:val="00561758"/>
    <w:rsid w:val="00561A5A"/>
    <w:rsid w:val="00561CAE"/>
    <w:rsid w:val="00561F4E"/>
    <w:rsid w:val="00562312"/>
    <w:rsid w:val="00562436"/>
    <w:rsid w:val="0056250C"/>
    <w:rsid w:val="00562A59"/>
    <w:rsid w:val="00563AD8"/>
    <w:rsid w:val="00564452"/>
    <w:rsid w:val="005645E2"/>
    <w:rsid w:val="005649A2"/>
    <w:rsid w:val="00564BF1"/>
    <w:rsid w:val="005656A0"/>
    <w:rsid w:val="00565785"/>
    <w:rsid w:val="005657F7"/>
    <w:rsid w:val="005658F9"/>
    <w:rsid w:val="00565BCD"/>
    <w:rsid w:val="00566205"/>
    <w:rsid w:val="00566209"/>
    <w:rsid w:val="00566220"/>
    <w:rsid w:val="00566955"/>
    <w:rsid w:val="00567773"/>
    <w:rsid w:val="0056790D"/>
    <w:rsid w:val="00567EB5"/>
    <w:rsid w:val="0057044D"/>
    <w:rsid w:val="005706EC"/>
    <w:rsid w:val="00570DA8"/>
    <w:rsid w:val="00571107"/>
    <w:rsid w:val="005716BF"/>
    <w:rsid w:val="00571721"/>
    <w:rsid w:val="005717BA"/>
    <w:rsid w:val="005718A1"/>
    <w:rsid w:val="00571974"/>
    <w:rsid w:val="00572234"/>
    <w:rsid w:val="00572A53"/>
    <w:rsid w:val="00572A57"/>
    <w:rsid w:val="00572A70"/>
    <w:rsid w:val="00572CD5"/>
    <w:rsid w:val="00573131"/>
    <w:rsid w:val="00573276"/>
    <w:rsid w:val="00573527"/>
    <w:rsid w:val="00573616"/>
    <w:rsid w:val="00573BDD"/>
    <w:rsid w:val="00573D34"/>
    <w:rsid w:val="00574B3B"/>
    <w:rsid w:val="00574E52"/>
    <w:rsid w:val="00575440"/>
    <w:rsid w:val="005757C3"/>
    <w:rsid w:val="00575863"/>
    <w:rsid w:val="00575B70"/>
    <w:rsid w:val="00575CA0"/>
    <w:rsid w:val="005760B9"/>
    <w:rsid w:val="00576735"/>
    <w:rsid w:val="00576781"/>
    <w:rsid w:val="00576870"/>
    <w:rsid w:val="005779F9"/>
    <w:rsid w:val="0058023F"/>
    <w:rsid w:val="00580526"/>
    <w:rsid w:val="005806C9"/>
    <w:rsid w:val="00580D33"/>
    <w:rsid w:val="00580FBF"/>
    <w:rsid w:val="005812BD"/>
    <w:rsid w:val="005813B2"/>
    <w:rsid w:val="0058144D"/>
    <w:rsid w:val="00581CD7"/>
    <w:rsid w:val="00581D53"/>
    <w:rsid w:val="005821F3"/>
    <w:rsid w:val="00582629"/>
    <w:rsid w:val="005826A8"/>
    <w:rsid w:val="0058273E"/>
    <w:rsid w:val="00582CDC"/>
    <w:rsid w:val="00583064"/>
    <w:rsid w:val="00583205"/>
    <w:rsid w:val="00583864"/>
    <w:rsid w:val="00584469"/>
    <w:rsid w:val="005844FF"/>
    <w:rsid w:val="005852FE"/>
    <w:rsid w:val="005854C3"/>
    <w:rsid w:val="00585678"/>
    <w:rsid w:val="00585843"/>
    <w:rsid w:val="00585A99"/>
    <w:rsid w:val="0058616C"/>
    <w:rsid w:val="00586400"/>
    <w:rsid w:val="00586C05"/>
    <w:rsid w:val="00586DAB"/>
    <w:rsid w:val="00586F3F"/>
    <w:rsid w:val="00587C76"/>
    <w:rsid w:val="0059001B"/>
    <w:rsid w:val="005908CA"/>
    <w:rsid w:val="005913BA"/>
    <w:rsid w:val="00591B15"/>
    <w:rsid w:val="00591BD0"/>
    <w:rsid w:val="00591CCB"/>
    <w:rsid w:val="00591DBF"/>
    <w:rsid w:val="00591F97"/>
    <w:rsid w:val="005925AA"/>
    <w:rsid w:val="005929EC"/>
    <w:rsid w:val="00592A52"/>
    <w:rsid w:val="00592AC7"/>
    <w:rsid w:val="00592D0D"/>
    <w:rsid w:val="00593128"/>
    <w:rsid w:val="005933C7"/>
    <w:rsid w:val="00593E4F"/>
    <w:rsid w:val="005942EA"/>
    <w:rsid w:val="0059439B"/>
    <w:rsid w:val="00594464"/>
    <w:rsid w:val="00594B8E"/>
    <w:rsid w:val="00594D58"/>
    <w:rsid w:val="00595B3C"/>
    <w:rsid w:val="005960DF"/>
    <w:rsid w:val="0059657D"/>
    <w:rsid w:val="005965AB"/>
    <w:rsid w:val="005966B8"/>
    <w:rsid w:val="00596B25"/>
    <w:rsid w:val="005977BA"/>
    <w:rsid w:val="00597AFA"/>
    <w:rsid w:val="00597F97"/>
    <w:rsid w:val="005A0A79"/>
    <w:rsid w:val="005A107D"/>
    <w:rsid w:val="005A11F9"/>
    <w:rsid w:val="005A1296"/>
    <w:rsid w:val="005A12A3"/>
    <w:rsid w:val="005A1751"/>
    <w:rsid w:val="005A1A0B"/>
    <w:rsid w:val="005A1B0C"/>
    <w:rsid w:val="005A211F"/>
    <w:rsid w:val="005A2520"/>
    <w:rsid w:val="005A2627"/>
    <w:rsid w:val="005A272A"/>
    <w:rsid w:val="005A2BE5"/>
    <w:rsid w:val="005A314D"/>
    <w:rsid w:val="005A330B"/>
    <w:rsid w:val="005A3325"/>
    <w:rsid w:val="005A33F8"/>
    <w:rsid w:val="005A340D"/>
    <w:rsid w:val="005A3654"/>
    <w:rsid w:val="005A3680"/>
    <w:rsid w:val="005A38B3"/>
    <w:rsid w:val="005A39E5"/>
    <w:rsid w:val="005A3B13"/>
    <w:rsid w:val="005A3C49"/>
    <w:rsid w:val="005A3CB4"/>
    <w:rsid w:val="005A42A2"/>
    <w:rsid w:val="005A4326"/>
    <w:rsid w:val="005A4670"/>
    <w:rsid w:val="005A46CB"/>
    <w:rsid w:val="005A4F0B"/>
    <w:rsid w:val="005A51D9"/>
    <w:rsid w:val="005A55F5"/>
    <w:rsid w:val="005A5C58"/>
    <w:rsid w:val="005A62AA"/>
    <w:rsid w:val="005A632C"/>
    <w:rsid w:val="005A6F4D"/>
    <w:rsid w:val="005A7126"/>
    <w:rsid w:val="005A7183"/>
    <w:rsid w:val="005A71B4"/>
    <w:rsid w:val="005A739A"/>
    <w:rsid w:val="005A7456"/>
    <w:rsid w:val="005A78C6"/>
    <w:rsid w:val="005A7FEB"/>
    <w:rsid w:val="005B01EF"/>
    <w:rsid w:val="005B087F"/>
    <w:rsid w:val="005B093B"/>
    <w:rsid w:val="005B0EA5"/>
    <w:rsid w:val="005B1057"/>
    <w:rsid w:val="005B1089"/>
    <w:rsid w:val="005B1284"/>
    <w:rsid w:val="005B1375"/>
    <w:rsid w:val="005B17BE"/>
    <w:rsid w:val="005B1F6C"/>
    <w:rsid w:val="005B21DC"/>
    <w:rsid w:val="005B25AB"/>
    <w:rsid w:val="005B27D1"/>
    <w:rsid w:val="005B27F5"/>
    <w:rsid w:val="005B27F8"/>
    <w:rsid w:val="005B2916"/>
    <w:rsid w:val="005B2BE5"/>
    <w:rsid w:val="005B32DE"/>
    <w:rsid w:val="005B33AD"/>
    <w:rsid w:val="005B3541"/>
    <w:rsid w:val="005B35B0"/>
    <w:rsid w:val="005B35E4"/>
    <w:rsid w:val="005B3BBD"/>
    <w:rsid w:val="005B3E68"/>
    <w:rsid w:val="005B4259"/>
    <w:rsid w:val="005B4269"/>
    <w:rsid w:val="005B44F0"/>
    <w:rsid w:val="005B461E"/>
    <w:rsid w:val="005B4BBA"/>
    <w:rsid w:val="005B533E"/>
    <w:rsid w:val="005B5DFD"/>
    <w:rsid w:val="005B62C4"/>
    <w:rsid w:val="005B6559"/>
    <w:rsid w:val="005B676D"/>
    <w:rsid w:val="005B73FB"/>
    <w:rsid w:val="005B7C42"/>
    <w:rsid w:val="005B7D9F"/>
    <w:rsid w:val="005B7E28"/>
    <w:rsid w:val="005C041D"/>
    <w:rsid w:val="005C086F"/>
    <w:rsid w:val="005C088E"/>
    <w:rsid w:val="005C0B9C"/>
    <w:rsid w:val="005C123B"/>
    <w:rsid w:val="005C1DD6"/>
    <w:rsid w:val="005C1E32"/>
    <w:rsid w:val="005C2DB4"/>
    <w:rsid w:val="005C3414"/>
    <w:rsid w:val="005C343F"/>
    <w:rsid w:val="005C38F5"/>
    <w:rsid w:val="005C3A9D"/>
    <w:rsid w:val="005C3CF5"/>
    <w:rsid w:val="005C3E6A"/>
    <w:rsid w:val="005C3EA5"/>
    <w:rsid w:val="005C3EA7"/>
    <w:rsid w:val="005C5003"/>
    <w:rsid w:val="005C5546"/>
    <w:rsid w:val="005C5E56"/>
    <w:rsid w:val="005C608D"/>
    <w:rsid w:val="005C613D"/>
    <w:rsid w:val="005C61E7"/>
    <w:rsid w:val="005C67F8"/>
    <w:rsid w:val="005C69E2"/>
    <w:rsid w:val="005C6B82"/>
    <w:rsid w:val="005C6C3B"/>
    <w:rsid w:val="005C6C42"/>
    <w:rsid w:val="005C7359"/>
    <w:rsid w:val="005C74EE"/>
    <w:rsid w:val="005C7892"/>
    <w:rsid w:val="005C7FB5"/>
    <w:rsid w:val="005C9002"/>
    <w:rsid w:val="005CAE28"/>
    <w:rsid w:val="005D01D7"/>
    <w:rsid w:val="005D0ABB"/>
    <w:rsid w:val="005D0AD0"/>
    <w:rsid w:val="005D0FFE"/>
    <w:rsid w:val="005D101F"/>
    <w:rsid w:val="005D13A7"/>
    <w:rsid w:val="005D1E2E"/>
    <w:rsid w:val="005D1FC7"/>
    <w:rsid w:val="005D298B"/>
    <w:rsid w:val="005D2A33"/>
    <w:rsid w:val="005D2AB7"/>
    <w:rsid w:val="005D2B6B"/>
    <w:rsid w:val="005D2CF0"/>
    <w:rsid w:val="005D38A3"/>
    <w:rsid w:val="005D3E3E"/>
    <w:rsid w:val="005D455D"/>
    <w:rsid w:val="005D46A3"/>
    <w:rsid w:val="005D4B2E"/>
    <w:rsid w:val="005D4C69"/>
    <w:rsid w:val="005D4CC8"/>
    <w:rsid w:val="005D513A"/>
    <w:rsid w:val="005D517B"/>
    <w:rsid w:val="005D576B"/>
    <w:rsid w:val="005D59D9"/>
    <w:rsid w:val="005D5AA0"/>
    <w:rsid w:val="005D624D"/>
    <w:rsid w:val="005D6A7B"/>
    <w:rsid w:val="005D6B3E"/>
    <w:rsid w:val="005D6BCA"/>
    <w:rsid w:val="005D7425"/>
    <w:rsid w:val="005D74D9"/>
    <w:rsid w:val="005D7614"/>
    <w:rsid w:val="005D7A0E"/>
    <w:rsid w:val="005E072B"/>
    <w:rsid w:val="005E0E6A"/>
    <w:rsid w:val="005E0F98"/>
    <w:rsid w:val="005E128C"/>
    <w:rsid w:val="005E1933"/>
    <w:rsid w:val="005E1A30"/>
    <w:rsid w:val="005E1ABB"/>
    <w:rsid w:val="005E2832"/>
    <w:rsid w:val="005E2BC2"/>
    <w:rsid w:val="005E2CD9"/>
    <w:rsid w:val="005E2FF2"/>
    <w:rsid w:val="005E32C0"/>
    <w:rsid w:val="005E37BA"/>
    <w:rsid w:val="005E3B12"/>
    <w:rsid w:val="005E3D5B"/>
    <w:rsid w:val="005E4028"/>
    <w:rsid w:val="005E45ED"/>
    <w:rsid w:val="005E5156"/>
    <w:rsid w:val="005E52CD"/>
    <w:rsid w:val="005E560A"/>
    <w:rsid w:val="005E56CD"/>
    <w:rsid w:val="005E5718"/>
    <w:rsid w:val="005E5934"/>
    <w:rsid w:val="005E5B30"/>
    <w:rsid w:val="005E5D0C"/>
    <w:rsid w:val="005E6035"/>
    <w:rsid w:val="005E62F1"/>
    <w:rsid w:val="005E6C73"/>
    <w:rsid w:val="005E6FCD"/>
    <w:rsid w:val="005E72F4"/>
    <w:rsid w:val="005E769E"/>
    <w:rsid w:val="005E7BFD"/>
    <w:rsid w:val="005F0115"/>
    <w:rsid w:val="005F0317"/>
    <w:rsid w:val="005F034C"/>
    <w:rsid w:val="005F0386"/>
    <w:rsid w:val="005F08E9"/>
    <w:rsid w:val="005F08EF"/>
    <w:rsid w:val="005F0DAE"/>
    <w:rsid w:val="005F1023"/>
    <w:rsid w:val="005F102B"/>
    <w:rsid w:val="005F16B8"/>
    <w:rsid w:val="005F25A7"/>
    <w:rsid w:val="005F25DC"/>
    <w:rsid w:val="005F28FB"/>
    <w:rsid w:val="005F2F15"/>
    <w:rsid w:val="005F2F75"/>
    <w:rsid w:val="005F3BFB"/>
    <w:rsid w:val="005F3E1B"/>
    <w:rsid w:val="005F403B"/>
    <w:rsid w:val="005F41B5"/>
    <w:rsid w:val="005F41C4"/>
    <w:rsid w:val="005F4345"/>
    <w:rsid w:val="005F4D89"/>
    <w:rsid w:val="005F4E24"/>
    <w:rsid w:val="005F500E"/>
    <w:rsid w:val="005F54B2"/>
    <w:rsid w:val="005F5B40"/>
    <w:rsid w:val="005F5E70"/>
    <w:rsid w:val="005F752A"/>
    <w:rsid w:val="005F7AF3"/>
    <w:rsid w:val="005F7E63"/>
    <w:rsid w:val="00600504"/>
    <w:rsid w:val="00600BE1"/>
    <w:rsid w:val="00600F01"/>
    <w:rsid w:val="00600F0F"/>
    <w:rsid w:val="00600FFC"/>
    <w:rsid w:val="00601088"/>
    <w:rsid w:val="0060118A"/>
    <w:rsid w:val="00601B20"/>
    <w:rsid w:val="00601C7E"/>
    <w:rsid w:val="0060222E"/>
    <w:rsid w:val="006022AB"/>
    <w:rsid w:val="0060288D"/>
    <w:rsid w:val="0060297E"/>
    <w:rsid w:val="00602A21"/>
    <w:rsid w:val="00602A5E"/>
    <w:rsid w:val="00602DE0"/>
    <w:rsid w:val="00603250"/>
    <w:rsid w:val="0060359D"/>
    <w:rsid w:val="00603CBF"/>
    <w:rsid w:val="00603DD9"/>
    <w:rsid w:val="0060442C"/>
    <w:rsid w:val="00604AB0"/>
    <w:rsid w:val="00604F8B"/>
    <w:rsid w:val="00605160"/>
    <w:rsid w:val="0060540D"/>
    <w:rsid w:val="006059ED"/>
    <w:rsid w:val="00605B81"/>
    <w:rsid w:val="00605EAA"/>
    <w:rsid w:val="00606249"/>
    <w:rsid w:val="006063FC"/>
    <w:rsid w:val="00606A01"/>
    <w:rsid w:val="00607388"/>
    <w:rsid w:val="00607D20"/>
    <w:rsid w:val="00607E90"/>
    <w:rsid w:val="00610B8D"/>
    <w:rsid w:val="00610C44"/>
    <w:rsid w:val="00610F61"/>
    <w:rsid w:val="00610FD0"/>
    <w:rsid w:val="00611398"/>
    <w:rsid w:val="006117FD"/>
    <w:rsid w:val="00611BE0"/>
    <w:rsid w:val="00611E02"/>
    <w:rsid w:val="0061224F"/>
    <w:rsid w:val="00612427"/>
    <w:rsid w:val="006124A4"/>
    <w:rsid w:val="006124EE"/>
    <w:rsid w:val="006129C5"/>
    <w:rsid w:val="00612A75"/>
    <w:rsid w:val="00612B8F"/>
    <w:rsid w:val="00612C4C"/>
    <w:rsid w:val="00612DF3"/>
    <w:rsid w:val="00613168"/>
    <w:rsid w:val="0061338E"/>
    <w:rsid w:val="00613402"/>
    <w:rsid w:val="00613AE2"/>
    <w:rsid w:val="006148A9"/>
    <w:rsid w:val="00614A2F"/>
    <w:rsid w:val="00614B2C"/>
    <w:rsid w:val="00614C8C"/>
    <w:rsid w:val="00614FBD"/>
    <w:rsid w:val="006150D6"/>
    <w:rsid w:val="0061510D"/>
    <w:rsid w:val="006151D8"/>
    <w:rsid w:val="0061538B"/>
    <w:rsid w:val="006153F0"/>
    <w:rsid w:val="0061571E"/>
    <w:rsid w:val="00615C54"/>
    <w:rsid w:val="00615D9E"/>
    <w:rsid w:val="00615E8F"/>
    <w:rsid w:val="00615F92"/>
    <w:rsid w:val="006166E4"/>
    <w:rsid w:val="00616A2E"/>
    <w:rsid w:val="00616EE7"/>
    <w:rsid w:val="00617D39"/>
    <w:rsid w:val="006205C6"/>
    <w:rsid w:val="006206D8"/>
    <w:rsid w:val="0062074B"/>
    <w:rsid w:val="00620E5B"/>
    <w:rsid w:val="006213A4"/>
    <w:rsid w:val="006214AA"/>
    <w:rsid w:val="00621617"/>
    <w:rsid w:val="00621A0C"/>
    <w:rsid w:val="00621C19"/>
    <w:rsid w:val="00621F5F"/>
    <w:rsid w:val="00622217"/>
    <w:rsid w:val="006225D4"/>
    <w:rsid w:val="0062275D"/>
    <w:rsid w:val="006227F1"/>
    <w:rsid w:val="00622FE2"/>
    <w:rsid w:val="00623E43"/>
    <w:rsid w:val="006240BF"/>
    <w:rsid w:val="006242FF"/>
    <w:rsid w:val="00624612"/>
    <w:rsid w:val="0062467C"/>
    <w:rsid w:val="00624BA8"/>
    <w:rsid w:val="00624C7B"/>
    <w:rsid w:val="00624DA0"/>
    <w:rsid w:val="00624F8D"/>
    <w:rsid w:val="006250C4"/>
    <w:rsid w:val="0062524D"/>
    <w:rsid w:val="006253AD"/>
    <w:rsid w:val="0062562E"/>
    <w:rsid w:val="00625806"/>
    <w:rsid w:val="0062615E"/>
    <w:rsid w:val="006263BE"/>
    <w:rsid w:val="00626401"/>
    <w:rsid w:val="00626767"/>
    <w:rsid w:val="006269BE"/>
    <w:rsid w:val="00626C16"/>
    <w:rsid w:val="00626D01"/>
    <w:rsid w:val="00626E95"/>
    <w:rsid w:val="00626E9C"/>
    <w:rsid w:val="0062742E"/>
    <w:rsid w:val="00627699"/>
    <w:rsid w:val="00630042"/>
    <w:rsid w:val="006300A8"/>
    <w:rsid w:val="00630862"/>
    <w:rsid w:val="00630B04"/>
    <w:rsid w:val="00630E57"/>
    <w:rsid w:val="00631337"/>
    <w:rsid w:val="00631612"/>
    <w:rsid w:val="00631D53"/>
    <w:rsid w:val="00632216"/>
    <w:rsid w:val="00632444"/>
    <w:rsid w:val="00632787"/>
    <w:rsid w:val="006328CE"/>
    <w:rsid w:val="00632A39"/>
    <w:rsid w:val="00632F5C"/>
    <w:rsid w:val="0063306E"/>
    <w:rsid w:val="0063374E"/>
    <w:rsid w:val="006339B4"/>
    <w:rsid w:val="00633E37"/>
    <w:rsid w:val="00633F2C"/>
    <w:rsid w:val="00634392"/>
    <w:rsid w:val="0063444F"/>
    <w:rsid w:val="0063445A"/>
    <w:rsid w:val="0063456F"/>
    <w:rsid w:val="00634949"/>
    <w:rsid w:val="0063511F"/>
    <w:rsid w:val="0063519B"/>
    <w:rsid w:val="006352D0"/>
    <w:rsid w:val="006359DD"/>
    <w:rsid w:val="00635B95"/>
    <w:rsid w:val="006362E9"/>
    <w:rsid w:val="006363C5"/>
    <w:rsid w:val="00636923"/>
    <w:rsid w:val="00636B38"/>
    <w:rsid w:val="0063724D"/>
    <w:rsid w:val="0063733C"/>
    <w:rsid w:val="0063776C"/>
    <w:rsid w:val="006378BA"/>
    <w:rsid w:val="00637A8E"/>
    <w:rsid w:val="00637B65"/>
    <w:rsid w:val="00637C9D"/>
    <w:rsid w:val="00637CBD"/>
    <w:rsid w:val="0064000F"/>
    <w:rsid w:val="006404D4"/>
    <w:rsid w:val="00640590"/>
    <w:rsid w:val="00640796"/>
    <w:rsid w:val="00640B80"/>
    <w:rsid w:val="00641691"/>
    <w:rsid w:val="006417BA"/>
    <w:rsid w:val="0064240D"/>
    <w:rsid w:val="0064260A"/>
    <w:rsid w:val="006429E6"/>
    <w:rsid w:val="00642AC2"/>
    <w:rsid w:val="00642B1F"/>
    <w:rsid w:val="00642C33"/>
    <w:rsid w:val="00642C94"/>
    <w:rsid w:val="00642F20"/>
    <w:rsid w:val="00642F4F"/>
    <w:rsid w:val="00643299"/>
    <w:rsid w:val="0064330B"/>
    <w:rsid w:val="00643409"/>
    <w:rsid w:val="0064390D"/>
    <w:rsid w:val="00643A23"/>
    <w:rsid w:val="00644162"/>
    <w:rsid w:val="00644A09"/>
    <w:rsid w:val="00644A71"/>
    <w:rsid w:val="00644C71"/>
    <w:rsid w:val="0064543E"/>
    <w:rsid w:val="00645674"/>
    <w:rsid w:val="00645905"/>
    <w:rsid w:val="006460AD"/>
    <w:rsid w:val="0064662B"/>
    <w:rsid w:val="006468AF"/>
    <w:rsid w:val="006469C7"/>
    <w:rsid w:val="00646E20"/>
    <w:rsid w:val="006470E9"/>
    <w:rsid w:val="0064763C"/>
    <w:rsid w:val="0064778C"/>
    <w:rsid w:val="006478A0"/>
    <w:rsid w:val="00647D0B"/>
    <w:rsid w:val="00647FC3"/>
    <w:rsid w:val="006501B3"/>
    <w:rsid w:val="0065038B"/>
    <w:rsid w:val="00650614"/>
    <w:rsid w:val="00650682"/>
    <w:rsid w:val="00650B17"/>
    <w:rsid w:val="00650D00"/>
    <w:rsid w:val="00650F37"/>
    <w:rsid w:val="0065168E"/>
    <w:rsid w:val="006518B9"/>
    <w:rsid w:val="00651BAD"/>
    <w:rsid w:val="00652B39"/>
    <w:rsid w:val="0065342C"/>
    <w:rsid w:val="00653A87"/>
    <w:rsid w:val="00654415"/>
    <w:rsid w:val="00654661"/>
    <w:rsid w:val="00654BAD"/>
    <w:rsid w:val="00654C0E"/>
    <w:rsid w:val="00655365"/>
    <w:rsid w:val="006557AB"/>
    <w:rsid w:val="00655827"/>
    <w:rsid w:val="00656820"/>
    <w:rsid w:val="00656AB4"/>
    <w:rsid w:val="00656D95"/>
    <w:rsid w:val="00656F31"/>
    <w:rsid w:val="00657287"/>
    <w:rsid w:val="00657A92"/>
    <w:rsid w:val="00657D4C"/>
    <w:rsid w:val="00657D68"/>
    <w:rsid w:val="00657D7C"/>
    <w:rsid w:val="00659670"/>
    <w:rsid w:val="0066020E"/>
    <w:rsid w:val="00660BE6"/>
    <w:rsid w:val="00661686"/>
    <w:rsid w:val="00661B20"/>
    <w:rsid w:val="00661E3C"/>
    <w:rsid w:val="00662106"/>
    <w:rsid w:val="006626DC"/>
    <w:rsid w:val="00662817"/>
    <w:rsid w:val="00662906"/>
    <w:rsid w:val="00662F03"/>
    <w:rsid w:val="006635EA"/>
    <w:rsid w:val="00663665"/>
    <w:rsid w:val="0066388F"/>
    <w:rsid w:val="0066441E"/>
    <w:rsid w:val="00665781"/>
    <w:rsid w:val="00665F85"/>
    <w:rsid w:val="00666601"/>
    <w:rsid w:val="006666F3"/>
    <w:rsid w:val="00666CD5"/>
    <w:rsid w:val="00666DE7"/>
    <w:rsid w:val="00667158"/>
    <w:rsid w:val="00667397"/>
    <w:rsid w:val="00667663"/>
    <w:rsid w:val="00667B57"/>
    <w:rsid w:val="00667DB0"/>
    <w:rsid w:val="00669534"/>
    <w:rsid w:val="0067029A"/>
    <w:rsid w:val="00670556"/>
    <w:rsid w:val="006707BA"/>
    <w:rsid w:val="00670FA7"/>
    <w:rsid w:val="0067179B"/>
    <w:rsid w:val="00671937"/>
    <w:rsid w:val="00671BD4"/>
    <w:rsid w:val="00671FCA"/>
    <w:rsid w:val="006721D9"/>
    <w:rsid w:val="006721E0"/>
    <w:rsid w:val="006725CA"/>
    <w:rsid w:val="00672602"/>
    <w:rsid w:val="00672638"/>
    <w:rsid w:val="00672D44"/>
    <w:rsid w:val="00672DB3"/>
    <w:rsid w:val="006734E0"/>
    <w:rsid w:val="0067387F"/>
    <w:rsid w:val="00673D36"/>
    <w:rsid w:val="00673E25"/>
    <w:rsid w:val="00674329"/>
    <w:rsid w:val="006743BE"/>
    <w:rsid w:val="006746BB"/>
    <w:rsid w:val="006748F2"/>
    <w:rsid w:val="00674DB8"/>
    <w:rsid w:val="0067570E"/>
    <w:rsid w:val="00675B9B"/>
    <w:rsid w:val="00675F08"/>
    <w:rsid w:val="0067606C"/>
    <w:rsid w:val="006764B6"/>
    <w:rsid w:val="006767E1"/>
    <w:rsid w:val="00676C84"/>
    <w:rsid w:val="00676E1A"/>
    <w:rsid w:val="0067726A"/>
    <w:rsid w:val="00677E5C"/>
    <w:rsid w:val="00677FD9"/>
    <w:rsid w:val="00679B97"/>
    <w:rsid w:val="006803A1"/>
    <w:rsid w:val="00680612"/>
    <w:rsid w:val="00680974"/>
    <w:rsid w:val="00680C4E"/>
    <w:rsid w:val="00680D9E"/>
    <w:rsid w:val="0068133F"/>
    <w:rsid w:val="00681968"/>
    <w:rsid w:val="00681B5D"/>
    <w:rsid w:val="00681C61"/>
    <w:rsid w:val="00682211"/>
    <w:rsid w:val="00682640"/>
    <w:rsid w:val="00682655"/>
    <w:rsid w:val="0068288B"/>
    <w:rsid w:val="006829F6"/>
    <w:rsid w:val="00682E62"/>
    <w:rsid w:val="00682FA5"/>
    <w:rsid w:val="0068336D"/>
    <w:rsid w:val="00683707"/>
    <w:rsid w:val="00683776"/>
    <w:rsid w:val="006838F7"/>
    <w:rsid w:val="00684038"/>
    <w:rsid w:val="00684147"/>
    <w:rsid w:val="006841BC"/>
    <w:rsid w:val="00684600"/>
    <w:rsid w:val="0068475B"/>
    <w:rsid w:val="00684D7E"/>
    <w:rsid w:val="00684DB2"/>
    <w:rsid w:val="006853A7"/>
    <w:rsid w:val="0068584E"/>
    <w:rsid w:val="0068586E"/>
    <w:rsid w:val="00685A93"/>
    <w:rsid w:val="00685CFE"/>
    <w:rsid w:val="00685EAA"/>
    <w:rsid w:val="00686109"/>
    <w:rsid w:val="00686203"/>
    <w:rsid w:val="006862B4"/>
    <w:rsid w:val="006863B6"/>
    <w:rsid w:val="006864A2"/>
    <w:rsid w:val="00687D36"/>
    <w:rsid w:val="00687D9B"/>
    <w:rsid w:val="0068DF28"/>
    <w:rsid w:val="0069126A"/>
    <w:rsid w:val="0069138A"/>
    <w:rsid w:val="00691D4E"/>
    <w:rsid w:val="0069201D"/>
    <w:rsid w:val="00692887"/>
    <w:rsid w:val="00692B0F"/>
    <w:rsid w:val="00692B3E"/>
    <w:rsid w:val="00692FB2"/>
    <w:rsid w:val="00693598"/>
    <w:rsid w:val="00693631"/>
    <w:rsid w:val="00693C0F"/>
    <w:rsid w:val="00694402"/>
    <w:rsid w:val="006948F9"/>
    <w:rsid w:val="00694B5A"/>
    <w:rsid w:val="0069514C"/>
    <w:rsid w:val="006952F3"/>
    <w:rsid w:val="00695DF0"/>
    <w:rsid w:val="0069601A"/>
    <w:rsid w:val="006962E5"/>
    <w:rsid w:val="0069633E"/>
    <w:rsid w:val="0069644A"/>
    <w:rsid w:val="00696C59"/>
    <w:rsid w:val="00697B95"/>
    <w:rsid w:val="00697C72"/>
    <w:rsid w:val="00697DC7"/>
    <w:rsid w:val="00697FE3"/>
    <w:rsid w:val="006A047F"/>
    <w:rsid w:val="006A04B2"/>
    <w:rsid w:val="006A04B8"/>
    <w:rsid w:val="006A0B60"/>
    <w:rsid w:val="006A0FDF"/>
    <w:rsid w:val="006A1785"/>
    <w:rsid w:val="006A2573"/>
    <w:rsid w:val="006A313C"/>
    <w:rsid w:val="006A3B99"/>
    <w:rsid w:val="006A3D74"/>
    <w:rsid w:val="006A4288"/>
    <w:rsid w:val="006A42B7"/>
    <w:rsid w:val="006A4529"/>
    <w:rsid w:val="006A486D"/>
    <w:rsid w:val="006A4A09"/>
    <w:rsid w:val="006A4ACC"/>
    <w:rsid w:val="006A4BD1"/>
    <w:rsid w:val="006A4E7B"/>
    <w:rsid w:val="006A5169"/>
    <w:rsid w:val="006A51E3"/>
    <w:rsid w:val="006A5664"/>
    <w:rsid w:val="006A5BF3"/>
    <w:rsid w:val="006A5BF6"/>
    <w:rsid w:val="006A5EC4"/>
    <w:rsid w:val="006A5F87"/>
    <w:rsid w:val="006A60E8"/>
    <w:rsid w:val="006A63FC"/>
    <w:rsid w:val="006A6FD4"/>
    <w:rsid w:val="006A75E4"/>
    <w:rsid w:val="006A77F1"/>
    <w:rsid w:val="006A78EE"/>
    <w:rsid w:val="006A7A76"/>
    <w:rsid w:val="006A7C13"/>
    <w:rsid w:val="006B0291"/>
    <w:rsid w:val="006B0433"/>
    <w:rsid w:val="006B079B"/>
    <w:rsid w:val="006B141B"/>
    <w:rsid w:val="006B1AE5"/>
    <w:rsid w:val="006B1E14"/>
    <w:rsid w:val="006B2420"/>
    <w:rsid w:val="006B27C2"/>
    <w:rsid w:val="006B2969"/>
    <w:rsid w:val="006B2B95"/>
    <w:rsid w:val="006B2D27"/>
    <w:rsid w:val="006B2D4D"/>
    <w:rsid w:val="006B2E89"/>
    <w:rsid w:val="006B2FAE"/>
    <w:rsid w:val="006B321B"/>
    <w:rsid w:val="006B3408"/>
    <w:rsid w:val="006B3726"/>
    <w:rsid w:val="006B3886"/>
    <w:rsid w:val="006B4344"/>
    <w:rsid w:val="006B4648"/>
    <w:rsid w:val="006B4694"/>
    <w:rsid w:val="006B4AF9"/>
    <w:rsid w:val="006B4C32"/>
    <w:rsid w:val="006B4D2F"/>
    <w:rsid w:val="006B4DDA"/>
    <w:rsid w:val="006B51B9"/>
    <w:rsid w:val="006B5875"/>
    <w:rsid w:val="006B5ECD"/>
    <w:rsid w:val="006B7016"/>
    <w:rsid w:val="006B70F8"/>
    <w:rsid w:val="006B710E"/>
    <w:rsid w:val="006B748A"/>
    <w:rsid w:val="006BB48A"/>
    <w:rsid w:val="006C0156"/>
    <w:rsid w:val="006C095F"/>
    <w:rsid w:val="006C0DDA"/>
    <w:rsid w:val="006C111A"/>
    <w:rsid w:val="006C1187"/>
    <w:rsid w:val="006C1487"/>
    <w:rsid w:val="006C1B8E"/>
    <w:rsid w:val="006C1CB2"/>
    <w:rsid w:val="006C1EB9"/>
    <w:rsid w:val="006C23EA"/>
    <w:rsid w:val="006C2591"/>
    <w:rsid w:val="006C29B7"/>
    <w:rsid w:val="006C2AA9"/>
    <w:rsid w:val="006C2BBD"/>
    <w:rsid w:val="006C34FD"/>
    <w:rsid w:val="006C388D"/>
    <w:rsid w:val="006C3AF0"/>
    <w:rsid w:val="006C3BAE"/>
    <w:rsid w:val="006C3FBC"/>
    <w:rsid w:val="006C4834"/>
    <w:rsid w:val="006C4D2D"/>
    <w:rsid w:val="006C4D5C"/>
    <w:rsid w:val="006C4D94"/>
    <w:rsid w:val="006C4FF8"/>
    <w:rsid w:val="006C5490"/>
    <w:rsid w:val="006C5666"/>
    <w:rsid w:val="006C5900"/>
    <w:rsid w:val="006C5F03"/>
    <w:rsid w:val="006C61FE"/>
    <w:rsid w:val="006C63EF"/>
    <w:rsid w:val="006C65C7"/>
    <w:rsid w:val="006C6A28"/>
    <w:rsid w:val="006C6BF3"/>
    <w:rsid w:val="006C6E0E"/>
    <w:rsid w:val="006C6E54"/>
    <w:rsid w:val="006C6E6A"/>
    <w:rsid w:val="006C6F89"/>
    <w:rsid w:val="006C7876"/>
    <w:rsid w:val="006C7F43"/>
    <w:rsid w:val="006CF356"/>
    <w:rsid w:val="006D04C5"/>
    <w:rsid w:val="006D083F"/>
    <w:rsid w:val="006D0BC6"/>
    <w:rsid w:val="006D0EA6"/>
    <w:rsid w:val="006D1948"/>
    <w:rsid w:val="006D1B8D"/>
    <w:rsid w:val="006D1E6B"/>
    <w:rsid w:val="006D2216"/>
    <w:rsid w:val="006D2233"/>
    <w:rsid w:val="006D2431"/>
    <w:rsid w:val="006D2AD3"/>
    <w:rsid w:val="006D2AF2"/>
    <w:rsid w:val="006D2B9A"/>
    <w:rsid w:val="006D2FAC"/>
    <w:rsid w:val="006D35C3"/>
    <w:rsid w:val="006D39C1"/>
    <w:rsid w:val="006D3B5D"/>
    <w:rsid w:val="006D3C23"/>
    <w:rsid w:val="006D4294"/>
    <w:rsid w:val="006D45C2"/>
    <w:rsid w:val="006D4B43"/>
    <w:rsid w:val="006D4F59"/>
    <w:rsid w:val="006D4FB7"/>
    <w:rsid w:val="006D5007"/>
    <w:rsid w:val="006D5363"/>
    <w:rsid w:val="006D58B2"/>
    <w:rsid w:val="006D59F4"/>
    <w:rsid w:val="006D5ED3"/>
    <w:rsid w:val="006D61FC"/>
    <w:rsid w:val="006D645F"/>
    <w:rsid w:val="006D651E"/>
    <w:rsid w:val="006D66D5"/>
    <w:rsid w:val="006D6AD0"/>
    <w:rsid w:val="006D6AE3"/>
    <w:rsid w:val="006D7003"/>
    <w:rsid w:val="006D7AB0"/>
    <w:rsid w:val="006D7C50"/>
    <w:rsid w:val="006E108D"/>
    <w:rsid w:val="006E11DF"/>
    <w:rsid w:val="006E1429"/>
    <w:rsid w:val="006E16FD"/>
    <w:rsid w:val="006E185E"/>
    <w:rsid w:val="006E18DD"/>
    <w:rsid w:val="006E1D2C"/>
    <w:rsid w:val="006E1ED0"/>
    <w:rsid w:val="006E22F8"/>
    <w:rsid w:val="006E235F"/>
    <w:rsid w:val="006E2F04"/>
    <w:rsid w:val="006E3A29"/>
    <w:rsid w:val="006E3A72"/>
    <w:rsid w:val="006E3CB1"/>
    <w:rsid w:val="006E3EF7"/>
    <w:rsid w:val="006E4216"/>
    <w:rsid w:val="006E4A91"/>
    <w:rsid w:val="006E4E40"/>
    <w:rsid w:val="006E5497"/>
    <w:rsid w:val="006E5611"/>
    <w:rsid w:val="006E5CC3"/>
    <w:rsid w:val="006E728D"/>
    <w:rsid w:val="006E72C6"/>
    <w:rsid w:val="006E73C9"/>
    <w:rsid w:val="006E786A"/>
    <w:rsid w:val="006E7B6E"/>
    <w:rsid w:val="006E7E2D"/>
    <w:rsid w:val="006EBA51"/>
    <w:rsid w:val="006EC064"/>
    <w:rsid w:val="006F0B79"/>
    <w:rsid w:val="006F1121"/>
    <w:rsid w:val="006F1595"/>
    <w:rsid w:val="006F32B4"/>
    <w:rsid w:val="006F3632"/>
    <w:rsid w:val="006F37AC"/>
    <w:rsid w:val="006F3EC0"/>
    <w:rsid w:val="006F4BFE"/>
    <w:rsid w:val="006F4DE9"/>
    <w:rsid w:val="006F572C"/>
    <w:rsid w:val="006F577E"/>
    <w:rsid w:val="006F57DA"/>
    <w:rsid w:val="006F5E24"/>
    <w:rsid w:val="006F6015"/>
    <w:rsid w:val="006F612D"/>
    <w:rsid w:val="006F626A"/>
    <w:rsid w:val="006F6290"/>
    <w:rsid w:val="006F6724"/>
    <w:rsid w:val="006F6814"/>
    <w:rsid w:val="006F751C"/>
    <w:rsid w:val="006FD979"/>
    <w:rsid w:val="0070004C"/>
    <w:rsid w:val="00700301"/>
    <w:rsid w:val="00700341"/>
    <w:rsid w:val="00700407"/>
    <w:rsid w:val="007005CE"/>
    <w:rsid w:val="0070078E"/>
    <w:rsid w:val="007007C0"/>
    <w:rsid w:val="007009F8"/>
    <w:rsid w:val="00701198"/>
    <w:rsid w:val="0070141E"/>
    <w:rsid w:val="0070273B"/>
    <w:rsid w:val="007028FC"/>
    <w:rsid w:val="00702E9D"/>
    <w:rsid w:val="00702EE3"/>
    <w:rsid w:val="00703195"/>
    <w:rsid w:val="0070321B"/>
    <w:rsid w:val="007039F0"/>
    <w:rsid w:val="00703ABD"/>
    <w:rsid w:val="00703EBC"/>
    <w:rsid w:val="00704612"/>
    <w:rsid w:val="00704B68"/>
    <w:rsid w:val="00704BD4"/>
    <w:rsid w:val="007050E8"/>
    <w:rsid w:val="007052D1"/>
    <w:rsid w:val="00705585"/>
    <w:rsid w:val="007058E4"/>
    <w:rsid w:val="00705E2B"/>
    <w:rsid w:val="00705E44"/>
    <w:rsid w:val="00705EAC"/>
    <w:rsid w:val="00706350"/>
    <w:rsid w:val="00706576"/>
    <w:rsid w:val="007066F2"/>
    <w:rsid w:val="00706BA4"/>
    <w:rsid w:val="0070763F"/>
    <w:rsid w:val="00707DBF"/>
    <w:rsid w:val="007102CB"/>
    <w:rsid w:val="00710341"/>
    <w:rsid w:val="007105D7"/>
    <w:rsid w:val="00710C25"/>
    <w:rsid w:val="00710EAF"/>
    <w:rsid w:val="00711093"/>
    <w:rsid w:val="00711A5A"/>
    <w:rsid w:val="00711AC6"/>
    <w:rsid w:val="00711D43"/>
    <w:rsid w:val="007127FD"/>
    <w:rsid w:val="00712E05"/>
    <w:rsid w:val="00712F9B"/>
    <w:rsid w:val="0071308B"/>
    <w:rsid w:val="0071349B"/>
    <w:rsid w:val="00713711"/>
    <w:rsid w:val="00715469"/>
    <w:rsid w:val="00715765"/>
    <w:rsid w:val="007157E8"/>
    <w:rsid w:val="00715CD5"/>
    <w:rsid w:val="0071663A"/>
    <w:rsid w:val="00716738"/>
    <w:rsid w:val="00716A34"/>
    <w:rsid w:val="00716ACE"/>
    <w:rsid w:val="007172E1"/>
    <w:rsid w:val="0071768B"/>
    <w:rsid w:val="00717D16"/>
    <w:rsid w:val="00717DD2"/>
    <w:rsid w:val="00717FFD"/>
    <w:rsid w:val="0071B4CD"/>
    <w:rsid w:val="0071F102"/>
    <w:rsid w:val="007203BD"/>
    <w:rsid w:val="00720B1E"/>
    <w:rsid w:val="00720B6F"/>
    <w:rsid w:val="00720E6D"/>
    <w:rsid w:val="0072124C"/>
    <w:rsid w:val="0072163D"/>
    <w:rsid w:val="007217DF"/>
    <w:rsid w:val="007218EB"/>
    <w:rsid w:val="00721D72"/>
    <w:rsid w:val="007221C2"/>
    <w:rsid w:val="007226EF"/>
    <w:rsid w:val="00722997"/>
    <w:rsid w:val="00722F05"/>
    <w:rsid w:val="00722F56"/>
    <w:rsid w:val="0072345B"/>
    <w:rsid w:val="0072389C"/>
    <w:rsid w:val="00723AF9"/>
    <w:rsid w:val="00723CF5"/>
    <w:rsid w:val="00723EC9"/>
    <w:rsid w:val="00724015"/>
    <w:rsid w:val="00724715"/>
    <w:rsid w:val="007252E3"/>
    <w:rsid w:val="00725545"/>
    <w:rsid w:val="0072590C"/>
    <w:rsid w:val="0072619E"/>
    <w:rsid w:val="00726208"/>
    <w:rsid w:val="0072653B"/>
    <w:rsid w:val="007269CA"/>
    <w:rsid w:val="00726A39"/>
    <w:rsid w:val="00726BBB"/>
    <w:rsid w:val="0072704A"/>
    <w:rsid w:val="007275D5"/>
    <w:rsid w:val="00727622"/>
    <w:rsid w:val="0072795F"/>
    <w:rsid w:val="00727B28"/>
    <w:rsid w:val="00730500"/>
    <w:rsid w:val="00730CB5"/>
    <w:rsid w:val="007310BA"/>
    <w:rsid w:val="007312B7"/>
    <w:rsid w:val="00731BFF"/>
    <w:rsid w:val="007320E6"/>
    <w:rsid w:val="007322F9"/>
    <w:rsid w:val="00732898"/>
    <w:rsid w:val="00732AB4"/>
    <w:rsid w:val="00732D22"/>
    <w:rsid w:val="00732FC1"/>
    <w:rsid w:val="007333DA"/>
    <w:rsid w:val="007345D7"/>
    <w:rsid w:val="007359D3"/>
    <w:rsid w:val="00735DD3"/>
    <w:rsid w:val="00735F5C"/>
    <w:rsid w:val="00736132"/>
    <w:rsid w:val="00736326"/>
    <w:rsid w:val="00736831"/>
    <w:rsid w:val="00736B8A"/>
    <w:rsid w:val="00736C69"/>
    <w:rsid w:val="00736DA7"/>
    <w:rsid w:val="00736E15"/>
    <w:rsid w:val="007377C2"/>
    <w:rsid w:val="0073793E"/>
    <w:rsid w:val="00737C14"/>
    <w:rsid w:val="007409F2"/>
    <w:rsid w:val="00740B59"/>
    <w:rsid w:val="00740FBD"/>
    <w:rsid w:val="007416B4"/>
    <w:rsid w:val="007420C3"/>
    <w:rsid w:val="00742B41"/>
    <w:rsid w:val="00742FB4"/>
    <w:rsid w:val="007433AE"/>
    <w:rsid w:val="00743653"/>
    <w:rsid w:val="007436A3"/>
    <w:rsid w:val="00743874"/>
    <w:rsid w:val="00743C2C"/>
    <w:rsid w:val="00743CD3"/>
    <w:rsid w:val="007440C1"/>
    <w:rsid w:val="0074465D"/>
    <w:rsid w:val="00744914"/>
    <w:rsid w:val="00744D99"/>
    <w:rsid w:val="007452B6"/>
    <w:rsid w:val="007453DE"/>
    <w:rsid w:val="007454B3"/>
    <w:rsid w:val="00745A74"/>
    <w:rsid w:val="00746474"/>
    <w:rsid w:val="00746557"/>
    <w:rsid w:val="007469C3"/>
    <w:rsid w:val="00746C11"/>
    <w:rsid w:val="00746E6E"/>
    <w:rsid w:val="007472B4"/>
    <w:rsid w:val="00747553"/>
    <w:rsid w:val="007500F5"/>
    <w:rsid w:val="007502C9"/>
    <w:rsid w:val="007505D7"/>
    <w:rsid w:val="00750823"/>
    <w:rsid w:val="0075098D"/>
    <w:rsid w:val="00750B60"/>
    <w:rsid w:val="0075113E"/>
    <w:rsid w:val="00751A20"/>
    <w:rsid w:val="00751A69"/>
    <w:rsid w:val="0075249E"/>
    <w:rsid w:val="00752543"/>
    <w:rsid w:val="0075263C"/>
    <w:rsid w:val="00752788"/>
    <w:rsid w:val="007527B9"/>
    <w:rsid w:val="00752828"/>
    <w:rsid w:val="00753022"/>
    <w:rsid w:val="0075362F"/>
    <w:rsid w:val="007537B5"/>
    <w:rsid w:val="0075432D"/>
    <w:rsid w:val="007546D6"/>
    <w:rsid w:val="00754AD7"/>
    <w:rsid w:val="00754B8A"/>
    <w:rsid w:val="00754FAB"/>
    <w:rsid w:val="0075522B"/>
    <w:rsid w:val="00755F33"/>
    <w:rsid w:val="00756DA3"/>
    <w:rsid w:val="00757220"/>
    <w:rsid w:val="00757258"/>
    <w:rsid w:val="007572CE"/>
    <w:rsid w:val="00757398"/>
    <w:rsid w:val="00757967"/>
    <w:rsid w:val="00757CF2"/>
    <w:rsid w:val="00757DDE"/>
    <w:rsid w:val="00757F78"/>
    <w:rsid w:val="00760161"/>
    <w:rsid w:val="00760242"/>
    <w:rsid w:val="007610E8"/>
    <w:rsid w:val="007611A9"/>
    <w:rsid w:val="00761331"/>
    <w:rsid w:val="007613C5"/>
    <w:rsid w:val="007614B6"/>
    <w:rsid w:val="00761C01"/>
    <w:rsid w:val="0076225F"/>
    <w:rsid w:val="00762554"/>
    <w:rsid w:val="00762BC5"/>
    <w:rsid w:val="007636AD"/>
    <w:rsid w:val="0076388C"/>
    <w:rsid w:val="00763A2E"/>
    <w:rsid w:val="00763E5C"/>
    <w:rsid w:val="00763F53"/>
    <w:rsid w:val="007640A7"/>
    <w:rsid w:val="00764B8A"/>
    <w:rsid w:val="0076520C"/>
    <w:rsid w:val="007653C0"/>
    <w:rsid w:val="007656D7"/>
    <w:rsid w:val="00765988"/>
    <w:rsid w:val="00765A06"/>
    <w:rsid w:val="0076665F"/>
    <w:rsid w:val="0076675C"/>
    <w:rsid w:val="00766B66"/>
    <w:rsid w:val="00766C6A"/>
    <w:rsid w:val="00766F51"/>
    <w:rsid w:val="00767498"/>
    <w:rsid w:val="00767BA0"/>
    <w:rsid w:val="00767EBA"/>
    <w:rsid w:val="0077004D"/>
    <w:rsid w:val="007705ED"/>
    <w:rsid w:val="00770653"/>
    <w:rsid w:val="0077093C"/>
    <w:rsid w:val="00770F84"/>
    <w:rsid w:val="00771004"/>
    <w:rsid w:val="00771027"/>
    <w:rsid w:val="00771309"/>
    <w:rsid w:val="00771365"/>
    <w:rsid w:val="007713DE"/>
    <w:rsid w:val="00771973"/>
    <w:rsid w:val="007723EB"/>
    <w:rsid w:val="00772982"/>
    <w:rsid w:val="007730E1"/>
    <w:rsid w:val="00773216"/>
    <w:rsid w:val="007734A4"/>
    <w:rsid w:val="00773946"/>
    <w:rsid w:val="00773EA2"/>
    <w:rsid w:val="00774127"/>
    <w:rsid w:val="007744EB"/>
    <w:rsid w:val="007748FE"/>
    <w:rsid w:val="00774CFF"/>
    <w:rsid w:val="00774E40"/>
    <w:rsid w:val="00775309"/>
    <w:rsid w:val="007754B6"/>
    <w:rsid w:val="00775A60"/>
    <w:rsid w:val="00775AD5"/>
    <w:rsid w:val="00775DBB"/>
    <w:rsid w:val="00776070"/>
    <w:rsid w:val="007761AE"/>
    <w:rsid w:val="0077632D"/>
    <w:rsid w:val="007766EC"/>
    <w:rsid w:val="00776A4A"/>
    <w:rsid w:val="00776C54"/>
    <w:rsid w:val="007770F6"/>
    <w:rsid w:val="007771DA"/>
    <w:rsid w:val="00777425"/>
    <w:rsid w:val="00778825"/>
    <w:rsid w:val="00780000"/>
    <w:rsid w:val="00780323"/>
    <w:rsid w:val="0078078C"/>
    <w:rsid w:val="007808EF"/>
    <w:rsid w:val="00780B75"/>
    <w:rsid w:val="0078183F"/>
    <w:rsid w:val="00782023"/>
    <w:rsid w:val="00782443"/>
    <w:rsid w:val="00782822"/>
    <w:rsid w:val="00783C6B"/>
    <w:rsid w:val="0078482E"/>
    <w:rsid w:val="00784D9C"/>
    <w:rsid w:val="007853C5"/>
    <w:rsid w:val="00785403"/>
    <w:rsid w:val="00785A60"/>
    <w:rsid w:val="00785D36"/>
    <w:rsid w:val="00786110"/>
    <w:rsid w:val="00786120"/>
    <w:rsid w:val="00786384"/>
    <w:rsid w:val="007864CC"/>
    <w:rsid w:val="007866D3"/>
    <w:rsid w:val="00786826"/>
    <w:rsid w:val="00786833"/>
    <w:rsid w:val="00786CED"/>
    <w:rsid w:val="00786D55"/>
    <w:rsid w:val="0078733C"/>
    <w:rsid w:val="00787505"/>
    <w:rsid w:val="00787702"/>
    <w:rsid w:val="00787759"/>
    <w:rsid w:val="00787813"/>
    <w:rsid w:val="00787D8F"/>
    <w:rsid w:val="0078A9A2"/>
    <w:rsid w:val="007901CF"/>
    <w:rsid w:val="007901E6"/>
    <w:rsid w:val="00790595"/>
    <w:rsid w:val="0079080D"/>
    <w:rsid w:val="00791302"/>
    <w:rsid w:val="007915D8"/>
    <w:rsid w:val="00791676"/>
    <w:rsid w:val="00791A70"/>
    <w:rsid w:val="00792532"/>
    <w:rsid w:val="00792C96"/>
    <w:rsid w:val="00793105"/>
    <w:rsid w:val="00793369"/>
    <w:rsid w:val="00793613"/>
    <w:rsid w:val="007936E8"/>
    <w:rsid w:val="00793B64"/>
    <w:rsid w:val="00793D2D"/>
    <w:rsid w:val="00793FC1"/>
    <w:rsid w:val="007943D6"/>
    <w:rsid w:val="00794AF3"/>
    <w:rsid w:val="00794EC3"/>
    <w:rsid w:val="00795542"/>
    <w:rsid w:val="00795D2E"/>
    <w:rsid w:val="007960EC"/>
    <w:rsid w:val="00797181"/>
    <w:rsid w:val="00797359"/>
    <w:rsid w:val="0079741D"/>
    <w:rsid w:val="007974F1"/>
    <w:rsid w:val="00797557"/>
    <w:rsid w:val="0079786D"/>
    <w:rsid w:val="007A010E"/>
    <w:rsid w:val="007A0269"/>
    <w:rsid w:val="007A0292"/>
    <w:rsid w:val="007A07E4"/>
    <w:rsid w:val="007A0A64"/>
    <w:rsid w:val="007A11C8"/>
    <w:rsid w:val="007A15BA"/>
    <w:rsid w:val="007A1843"/>
    <w:rsid w:val="007A1A5F"/>
    <w:rsid w:val="007A1A77"/>
    <w:rsid w:val="007A1F00"/>
    <w:rsid w:val="007A2278"/>
    <w:rsid w:val="007A2609"/>
    <w:rsid w:val="007A26AA"/>
    <w:rsid w:val="007A2ACF"/>
    <w:rsid w:val="007A2E82"/>
    <w:rsid w:val="007A2FC0"/>
    <w:rsid w:val="007A3565"/>
    <w:rsid w:val="007A367C"/>
    <w:rsid w:val="007A36BF"/>
    <w:rsid w:val="007A489B"/>
    <w:rsid w:val="007A4C6C"/>
    <w:rsid w:val="007A4C73"/>
    <w:rsid w:val="007A4DA7"/>
    <w:rsid w:val="007A54E7"/>
    <w:rsid w:val="007A5CAE"/>
    <w:rsid w:val="007A6525"/>
    <w:rsid w:val="007A658B"/>
    <w:rsid w:val="007A6597"/>
    <w:rsid w:val="007A65DA"/>
    <w:rsid w:val="007A6BBC"/>
    <w:rsid w:val="007A70B1"/>
    <w:rsid w:val="007A71DC"/>
    <w:rsid w:val="007A746E"/>
    <w:rsid w:val="007A763F"/>
    <w:rsid w:val="007A78B2"/>
    <w:rsid w:val="007A7944"/>
    <w:rsid w:val="007A7FD1"/>
    <w:rsid w:val="007B0015"/>
    <w:rsid w:val="007B0302"/>
    <w:rsid w:val="007B091F"/>
    <w:rsid w:val="007B0A0B"/>
    <w:rsid w:val="007B0AF8"/>
    <w:rsid w:val="007B25D1"/>
    <w:rsid w:val="007B2668"/>
    <w:rsid w:val="007B2B47"/>
    <w:rsid w:val="007B2C00"/>
    <w:rsid w:val="007B33AF"/>
    <w:rsid w:val="007B3BF4"/>
    <w:rsid w:val="007B3F2C"/>
    <w:rsid w:val="007B4355"/>
    <w:rsid w:val="007B43A3"/>
    <w:rsid w:val="007B449C"/>
    <w:rsid w:val="007B45FD"/>
    <w:rsid w:val="007B4B5C"/>
    <w:rsid w:val="007B51AE"/>
    <w:rsid w:val="007B5C17"/>
    <w:rsid w:val="007B5D04"/>
    <w:rsid w:val="007B5EFD"/>
    <w:rsid w:val="007B61C5"/>
    <w:rsid w:val="007B64C1"/>
    <w:rsid w:val="007B6909"/>
    <w:rsid w:val="007B6A1A"/>
    <w:rsid w:val="007B713D"/>
    <w:rsid w:val="007B72AD"/>
    <w:rsid w:val="007C046A"/>
    <w:rsid w:val="007C0504"/>
    <w:rsid w:val="007C054A"/>
    <w:rsid w:val="007C0561"/>
    <w:rsid w:val="007C061A"/>
    <w:rsid w:val="007C07DB"/>
    <w:rsid w:val="007C08D4"/>
    <w:rsid w:val="007C0A37"/>
    <w:rsid w:val="007C0D84"/>
    <w:rsid w:val="007C0FFB"/>
    <w:rsid w:val="007C1685"/>
    <w:rsid w:val="007C1DE3"/>
    <w:rsid w:val="007C21DF"/>
    <w:rsid w:val="007C23AD"/>
    <w:rsid w:val="007C2570"/>
    <w:rsid w:val="007C2693"/>
    <w:rsid w:val="007C325D"/>
    <w:rsid w:val="007C4BED"/>
    <w:rsid w:val="007C4F0F"/>
    <w:rsid w:val="007C54DA"/>
    <w:rsid w:val="007C5694"/>
    <w:rsid w:val="007C5788"/>
    <w:rsid w:val="007C69F5"/>
    <w:rsid w:val="007C6B01"/>
    <w:rsid w:val="007C745F"/>
    <w:rsid w:val="007C7883"/>
    <w:rsid w:val="007C7DD6"/>
    <w:rsid w:val="007C7FF1"/>
    <w:rsid w:val="007D04A5"/>
    <w:rsid w:val="007D0721"/>
    <w:rsid w:val="007D082D"/>
    <w:rsid w:val="007D12FD"/>
    <w:rsid w:val="007D203F"/>
    <w:rsid w:val="007D27F1"/>
    <w:rsid w:val="007D2937"/>
    <w:rsid w:val="007D29C0"/>
    <w:rsid w:val="007D2A96"/>
    <w:rsid w:val="007D37B0"/>
    <w:rsid w:val="007D3F29"/>
    <w:rsid w:val="007D46C5"/>
    <w:rsid w:val="007D4763"/>
    <w:rsid w:val="007D48C0"/>
    <w:rsid w:val="007D4C1D"/>
    <w:rsid w:val="007D4CA3"/>
    <w:rsid w:val="007D5191"/>
    <w:rsid w:val="007D5409"/>
    <w:rsid w:val="007D54DA"/>
    <w:rsid w:val="007D572D"/>
    <w:rsid w:val="007D5EDB"/>
    <w:rsid w:val="007D62B9"/>
    <w:rsid w:val="007D62C3"/>
    <w:rsid w:val="007D651B"/>
    <w:rsid w:val="007D67DD"/>
    <w:rsid w:val="007D7127"/>
    <w:rsid w:val="007D738F"/>
    <w:rsid w:val="007D74A0"/>
    <w:rsid w:val="007D74EC"/>
    <w:rsid w:val="007D7852"/>
    <w:rsid w:val="007D7BF5"/>
    <w:rsid w:val="007E07C9"/>
    <w:rsid w:val="007E0AE0"/>
    <w:rsid w:val="007E15DA"/>
    <w:rsid w:val="007E15E5"/>
    <w:rsid w:val="007E1909"/>
    <w:rsid w:val="007E199E"/>
    <w:rsid w:val="007E1F50"/>
    <w:rsid w:val="007E21C2"/>
    <w:rsid w:val="007E2412"/>
    <w:rsid w:val="007E28D0"/>
    <w:rsid w:val="007E3001"/>
    <w:rsid w:val="007E3712"/>
    <w:rsid w:val="007E3787"/>
    <w:rsid w:val="007E38BA"/>
    <w:rsid w:val="007E3A54"/>
    <w:rsid w:val="007E3ABF"/>
    <w:rsid w:val="007E4639"/>
    <w:rsid w:val="007E4B5C"/>
    <w:rsid w:val="007E4EBA"/>
    <w:rsid w:val="007E4EE7"/>
    <w:rsid w:val="007E4EF3"/>
    <w:rsid w:val="007E5068"/>
    <w:rsid w:val="007E5296"/>
    <w:rsid w:val="007E574D"/>
    <w:rsid w:val="007E5967"/>
    <w:rsid w:val="007E5E78"/>
    <w:rsid w:val="007E5EA8"/>
    <w:rsid w:val="007E5F1A"/>
    <w:rsid w:val="007E5FE1"/>
    <w:rsid w:val="007E6C32"/>
    <w:rsid w:val="007E6C89"/>
    <w:rsid w:val="007E6CA9"/>
    <w:rsid w:val="007E70B9"/>
    <w:rsid w:val="007F0185"/>
    <w:rsid w:val="007F019A"/>
    <w:rsid w:val="007F03FB"/>
    <w:rsid w:val="007F0C99"/>
    <w:rsid w:val="007F0F7C"/>
    <w:rsid w:val="007F126D"/>
    <w:rsid w:val="007F159F"/>
    <w:rsid w:val="007F15F1"/>
    <w:rsid w:val="007F1A75"/>
    <w:rsid w:val="007F21A6"/>
    <w:rsid w:val="007F2D08"/>
    <w:rsid w:val="007F2DA1"/>
    <w:rsid w:val="007F309F"/>
    <w:rsid w:val="007F3AC9"/>
    <w:rsid w:val="007F402B"/>
    <w:rsid w:val="007F4AB6"/>
    <w:rsid w:val="007F5133"/>
    <w:rsid w:val="007F53BF"/>
    <w:rsid w:val="007F5609"/>
    <w:rsid w:val="007F6319"/>
    <w:rsid w:val="007F6B47"/>
    <w:rsid w:val="007F7008"/>
    <w:rsid w:val="007F7023"/>
    <w:rsid w:val="007F777A"/>
    <w:rsid w:val="007F799C"/>
    <w:rsid w:val="00800018"/>
    <w:rsid w:val="008001FF"/>
    <w:rsid w:val="00801F80"/>
    <w:rsid w:val="00802246"/>
    <w:rsid w:val="008025F7"/>
    <w:rsid w:val="008028D7"/>
    <w:rsid w:val="00802ACA"/>
    <w:rsid w:val="008034D0"/>
    <w:rsid w:val="00803568"/>
    <w:rsid w:val="00803571"/>
    <w:rsid w:val="00803BD9"/>
    <w:rsid w:val="00804703"/>
    <w:rsid w:val="00804761"/>
    <w:rsid w:val="00804AD4"/>
    <w:rsid w:val="00804D35"/>
    <w:rsid w:val="00804F93"/>
    <w:rsid w:val="00805128"/>
    <w:rsid w:val="0080514E"/>
    <w:rsid w:val="00805242"/>
    <w:rsid w:val="008054D7"/>
    <w:rsid w:val="00805558"/>
    <w:rsid w:val="008056B2"/>
    <w:rsid w:val="00805CD7"/>
    <w:rsid w:val="00805D61"/>
    <w:rsid w:val="008061CD"/>
    <w:rsid w:val="0080624D"/>
    <w:rsid w:val="00806534"/>
    <w:rsid w:val="00806BD5"/>
    <w:rsid w:val="00806E66"/>
    <w:rsid w:val="0080C508"/>
    <w:rsid w:val="008102E1"/>
    <w:rsid w:val="00810BCB"/>
    <w:rsid w:val="00810D28"/>
    <w:rsid w:val="00810FC0"/>
    <w:rsid w:val="008110DA"/>
    <w:rsid w:val="008114B3"/>
    <w:rsid w:val="00811691"/>
    <w:rsid w:val="00812181"/>
    <w:rsid w:val="008121B7"/>
    <w:rsid w:val="008122CC"/>
    <w:rsid w:val="008129FF"/>
    <w:rsid w:val="00812A6A"/>
    <w:rsid w:val="0081310B"/>
    <w:rsid w:val="00813858"/>
    <w:rsid w:val="00813F48"/>
    <w:rsid w:val="00814212"/>
    <w:rsid w:val="0081485A"/>
    <w:rsid w:val="00814E93"/>
    <w:rsid w:val="00815469"/>
    <w:rsid w:val="0081570F"/>
    <w:rsid w:val="00815A83"/>
    <w:rsid w:val="00815D4D"/>
    <w:rsid w:val="00816955"/>
    <w:rsid w:val="00816B01"/>
    <w:rsid w:val="00816F1F"/>
    <w:rsid w:val="00816F9D"/>
    <w:rsid w:val="008174AF"/>
    <w:rsid w:val="00817557"/>
    <w:rsid w:val="008176F1"/>
    <w:rsid w:val="0081779F"/>
    <w:rsid w:val="00817A1E"/>
    <w:rsid w:val="00817B49"/>
    <w:rsid w:val="00817B90"/>
    <w:rsid w:val="00817D50"/>
    <w:rsid w:val="00820231"/>
    <w:rsid w:val="00820906"/>
    <w:rsid w:val="00820D79"/>
    <w:rsid w:val="00820E21"/>
    <w:rsid w:val="0082139D"/>
    <w:rsid w:val="00821F76"/>
    <w:rsid w:val="00822292"/>
    <w:rsid w:val="008227D6"/>
    <w:rsid w:val="00822846"/>
    <w:rsid w:val="00822DDF"/>
    <w:rsid w:val="00822E13"/>
    <w:rsid w:val="00822F2E"/>
    <w:rsid w:val="0082330F"/>
    <w:rsid w:val="008234F8"/>
    <w:rsid w:val="00823710"/>
    <w:rsid w:val="00823A7A"/>
    <w:rsid w:val="00823C9B"/>
    <w:rsid w:val="0082477E"/>
    <w:rsid w:val="00824986"/>
    <w:rsid w:val="00825262"/>
    <w:rsid w:val="008253A4"/>
    <w:rsid w:val="008255C1"/>
    <w:rsid w:val="00825A13"/>
    <w:rsid w:val="00825A5E"/>
    <w:rsid w:val="00825BB5"/>
    <w:rsid w:val="00825CEC"/>
    <w:rsid w:val="00825DA5"/>
    <w:rsid w:val="00825E6C"/>
    <w:rsid w:val="00826251"/>
    <w:rsid w:val="00826B6B"/>
    <w:rsid w:val="00827344"/>
    <w:rsid w:val="008276A2"/>
    <w:rsid w:val="00827A70"/>
    <w:rsid w:val="00830FCD"/>
    <w:rsid w:val="00831291"/>
    <w:rsid w:val="0083195A"/>
    <w:rsid w:val="008319DE"/>
    <w:rsid w:val="00831E95"/>
    <w:rsid w:val="0083216A"/>
    <w:rsid w:val="008321C7"/>
    <w:rsid w:val="008322E4"/>
    <w:rsid w:val="0083247B"/>
    <w:rsid w:val="008326BE"/>
    <w:rsid w:val="00832ECA"/>
    <w:rsid w:val="00832FB2"/>
    <w:rsid w:val="008332CF"/>
    <w:rsid w:val="00833320"/>
    <w:rsid w:val="00833573"/>
    <w:rsid w:val="008337C1"/>
    <w:rsid w:val="008338CA"/>
    <w:rsid w:val="0083443B"/>
    <w:rsid w:val="0083460E"/>
    <w:rsid w:val="00834C5D"/>
    <w:rsid w:val="00835512"/>
    <w:rsid w:val="00835677"/>
    <w:rsid w:val="0083590E"/>
    <w:rsid w:val="008359E1"/>
    <w:rsid w:val="00835A78"/>
    <w:rsid w:val="00835C13"/>
    <w:rsid w:val="00835D42"/>
    <w:rsid w:val="00835E97"/>
    <w:rsid w:val="00836219"/>
    <w:rsid w:val="008365D3"/>
    <w:rsid w:val="00836A22"/>
    <w:rsid w:val="00836E4E"/>
    <w:rsid w:val="0083722B"/>
    <w:rsid w:val="008372EE"/>
    <w:rsid w:val="00837520"/>
    <w:rsid w:val="00837CBC"/>
    <w:rsid w:val="00837DCA"/>
    <w:rsid w:val="00840583"/>
    <w:rsid w:val="008405D1"/>
    <w:rsid w:val="0084067F"/>
    <w:rsid w:val="00840A22"/>
    <w:rsid w:val="00840AB8"/>
    <w:rsid w:val="00840F69"/>
    <w:rsid w:val="00841200"/>
    <w:rsid w:val="00841899"/>
    <w:rsid w:val="00841DDF"/>
    <w:rsid w:val="00842427"/>
    <w:rsid w:val="008424CF"/>
    <w:rsid w:val="008425CB"/>
    <w:rsid w:val="00842622"/>
    <w:rsid w:val="00842718"/>
    <w:rsid w:val="00842775"/>
    <w:rsid w:val="0084278E"/>
    <w:rsid w:val="00842F87"/>
    <w:rsid w:val="0084303E"/>
    <w:rsid w:val="00843490"/>
    <w:rsid w:val="00843598"/>
    <w:rsid w:val="00843943"/>
    <w:rsid w:val="00843A06"/>
    <w:rsid w:val="00844645"/>
    <w:rsid w:val="008446B3"/>
    <w:rsid w:val="00844D3A"/>
    <w:rsid w:val="00845460"/>
    <w:rsid w:val="008456FF"/>
    <w:rsid w:val="00845999"/>
    <w:rsid w:val="00846D2F"/>
    <w:rsid w:val="00846F03"/>
    <w:rsid w:val="00847058"/>
    <w:rsid w:val="008474C0"/>
    <w:rsid w:val="008475AA"/>
    <w:rsid w:val="0084AFB5"/>
    <w:rsid w:val="008502D7"/>
    <w:rsid w:val="00850974"/>
    <w:rsid w:val="00850BA5"/>
    <w:rsid w:val="00850CA4"/>
    <w:rsid w:val="00850F51"/>
    <w:rsid w:val="0085107A"/>
    <w:rsid w:val="008515C3"/>
    <w:rsid w:val="008519E4"/>
    <w:rsid w:val="00851FB9"/>
    <w:rsid w:val="0085219D"/>
    <w:rsid w:val="008521BD"/>
    <w:rsid w:val="00852241"/>
    <w:rsid w:val="008523CF"/>
    <w:rsid w:val="0085250A"/>
    <w:rsid w:val="00852D8E"/>
    <w:rsid w:val="00852D8F"/>
    <w:rsid w:val="00853368"/>
    <w:rsid w:val="00853AE8"/>
    <w:rsid w:val="008548B7"/>
    <w:rsid w:val="00854FA7"/>
    <w:rsid w:val="008550F3"/>
    <w:rsid w:val="00855189"/>
    <w:rsid w:val="008558CC"/>
    <w:rsid w:val="00855A27"/>
    <w:rsid w:val="0085620B"/>
    <w:rsid w:val="008568A5"/>
    <w:rsid w:val="00856C98"/>
    <w:rsid w:val="0085726B"/>
    <w:rsid w:val="0085740B"/>
    <w:rsid w:val="008575E0"/>
    <w:rsid w:val="0085764C"/>
    <w:rsid w:val="0085FF9C"/>
    <w:rsid w:val="00860C98"/>
    <w:rsid w:val="0086165B"/>
    <w:rsid w:val="008617B7"/>
    <w:rsid w:val="008617C8"/>
    <w:rsid w:val="00861FD7"/>
    <w:rsid w:val="0086202F"/>
    <w:rsid w:val="008625EF"/>
    <w:rsid w:val="00862AD2"/>
    <w:rsid w:val="00863469"/>
    <w:rsid w:val="008635DB"/>
    <w:rsid w:val="00863A05"/>
    <w:rsid w:val="00863C48"/>
    <w:rsid w:val="00863F4F"/>
    <w:rsid w:val="00864194"/>
    <w:rsid w:val="00864282"/>
    <w:rsid w:val="00864800"/>
    <w:rsid w:val="0086483E"/>
    <w:rsid w:val="00864907"/>
    <w:rsid w:val="00864A60"/>
    <w:rsid w:val="00864CD1"/>
    <w:rsid w:val="0086525C"/>
    <w:rsid w:val="008653B9"/>
    <w:rsid w:val="00865D46"/>
    <w:rsid w:val="00865D7E"/>
    <w:rsid w:val="00865E6E"/>
    <w:rsid w:val="00865F98"/>
    <w:rsid w:val="008660DB"/>
    <w:rsid w:val="008663E4"/>
    <w:rsid w:val="008665EB"/>
    <w:rsid w:val="00867364"/>
    <w:rsid w:val="00867C20"/>
    <w:rsid w:val="00867E63"/>
    <w:rsid w:val="00867ED1"/>
    <w:rsid w:val="008703BD"/>
    <w:rsid w:val="008704B5"/>
    <w:rsid w:val="00871512"/>
    <w:rsid w:val="00871B69"/>
    <w:rsid w:val="00871BD6"/>
    <w:rsid w:val="00872062"/>
    <w:rsid w:val="008726A1"/>
    <w:rsid w:val="008726F2"/>
    <w:rsid w:val="00872F20"/>
    <w:rsid w:val="0087302A"/>
    <w:rsid w:val="00873429"/>
    <w:rsid w:val="0087374C"/>
    <w:rsid w:val="008737A4"/>
    <w:rsid w:val="00873819"/>
    <w:rsid w:val="00873AE9"/>
    <w:rsid w:val="00873BF4"/>
    <w:rsid w:val="00873C1B"/>
    <w:rsid w:val="0087403A"/>
    <w:rsid w:val="008747CA"/>
    <w:rsid w:val="0087492C"/>
    <w:rsid w:val="00874D0E"/>
    <w:rsid w:val="0087526F"/>
    <w:rsid w:val="00875494"/>
    <w:rsid w:val="008755CF"/>
    <w:rsid w:val="008759D2"/>
    <w:rsid w:val="00875B4B"/>
    <w:rsid w:val="0087620B"/>
    <w:rsid w:val="008762D1"/>
    <w:rsid w:val="008764AD"/>
    <w:rsid w:val="008766F6"/>
    <w:rsid w:val="00876A3A"/>
    <w:rsid w:val="00876FC4"/>
    <w:rsid w:val="0087736D"/>
    <w:rsid w:val="008775C7"/>
    <w:rsid w:val="00877B3F"/>
    <w:rsid w:val="00877CA7"/>
    <w:rsid w:val="00877E04"/>
    <w:rsid w:val="00877E58"/>
    <w:rsid w:val="0088019E"/>
    <w:rsid w:val="00880456"/>
    <w:rsid w:val="00880989"/>
    <w:rsid w:val="00880D81"/>
    <w:rsid w:val="00880F34"/>
    <w:rsid w:val="00881066"/>
    <w:rsid w:val="00881141"/>
    <w:rsid w:val="008813C9"/>
    <w:rsid w:val="008815C0"/>
    <w:rsid w:val="00881634"/>
    <w:rsid w:val="008816CB"/>
    <w:rsid w:val="00882A23"/>
    <w:rsid w:val="00882E24"/>
    <w:rsid w:val="00882EC9"/>
    <w:rsid w:val="00882F9C"/>
    <w:rsid w:val="00883457"/>
    <w:rsid w:val="008834F3"/>
    <w:rsid w:val="008839AE"/>
    <w:rsid w:val="00883EBE"/>
    <w:rsid w:val="00884084"/>
    <w:rsid w:val="0088417B"/>
    <w:rsid w:val="0088436F"/>
    <w:rsid w:val="00884484"/>
    <w:rsid w:val="008850D9"/>
    <w:rsid w:val="00885154"/>
    <w:rsid w:val="00885541"/>
    <w:rsid w:val="008855BA"/>
    <w:rsid w:val="008855C4"/>
    <w:rsid w:val="0088588B"/>
    <w:rsid w:val="00885A17"/>
    <w:rsid w:val="00885AF7"/>
    <w:rsid w:val="00885E48"/>
    <w:rsid w:val="00886132"/>
    <w:rsid w:val="008862DC"/>
    <w:rsid w:val="00886508"/>
    <w:rsid w:val="00886817"/>
    <w:rsid w:val="00887310"/>
    <w:rsid w:val="008873D3"/>
    <w:rsid w:val="00887438"/>
    <w:rsid w:val="0088AE65"/>
    <w:rsid w:val="00890D84"/>
    <w:rsid w:val="00890F0C"/>
    <w:rsid w:val="0089112A"/>
    <w:rsid w:val="008916B9"/>
    <w:rsid w:val="008916FE"/>
    <w:rsid w:val="0089176C"/>
    <w:rsid w:val="00891C6C"/>
    <w:rsid w:val="008920FF"/>
    <w:rsid w:val="0089235B"/>
    <w:rsid w:val="00892823"/>
    <w:rsid w:val="008928EE"/>
    <w:rsid w:val="00892EF8"/>
    <w:rsid w:val="00893616"/>
    <w:rsid w:val="008940D3"/>
    <w:rsid w:val="00894310"/>
    <w:rsid w:val="008946E4"/>
    <w:rsid w:val="00894C1D"/>
    <w:rsid w:val="00894C3C"/>
    <w:rsid w:val="00894E6C"/>
    <w:rsid w:val="00894E97"/>
    <w:rsid w:val="00895265"/>
    <w:rsid w:val="0089584B"/>
    <w:rsid w:val="00895DCE"/>
    <w:rsid w:val="0089693D"/>
    <w:rsid w:val="00896B91"/>
    <w:rsid w:val="00896BB0"/>
    <w:rsid w:val="00896BEA"/>
    <w:rsid w:val="00896E6A"/>
    <w:rsid w:val="00896FDF"/>
    <w:rsid w:val="0089700E"/>
    <w:rsid w:val="0089706F"/>
    <w:rsid w:val="00897C55"/>
    <w:rsid w:val="0089E3E2"/>
    <w:rsid w:val="0089EA95"/>
    <w:rsid w:val="008A0BED"/>
    <w:rsid w:val="008A100F"/>
    <w:rsid w:val="008A16F8"/>
    <w:rsid w:val="008A1790"/>
    <w:rsid w:val="008A1801"/>
    <w:rsid w:val="008A18AD"/>
    <w:rsid w:val="008A2479"/>
    <w:rsid w:val="008A27C0"/>
    <w:rsid w:val="008A2BB5"/>
    <w:rsid w:val="008A2ECB"/>
    <w:rsid w:val="008A33B4"/>
    <w:rsid w:val="008A3760"/>
    <w:rsid w:val="008A38B5"/>
    <w:rsid w:val="008A39E3"/>
    <w:rsid w:val="008A3C5C"/>
    <w:rsid w:val="008A3CA5"/>
    <w:rsid w:val="008A4236"/>
    <w:rsid w:val="008A4451"/>
    <w:rsid w:val="008A4CE7"/>
    <w:rsid w:val="008A5915"/>
    <w:rsid w:val="008A5AAF"/>
    <w:rsid w:val="008A5B77"/>
    <w:rsid w:val="008A5D59"/>
    <w:rsid w:val="008A5D98"/>
    <w:rsid w:val="008A6F48"/>
    <w:rsid w:val="008A7406"/>
    <w:rsid w:val="008A7966"/>
    <w:rsid w:val="008A7D1A"/>
    <w:rsid w:val="008A7F37"/>
    <w:rsid w:val="008A7FFA"/>
    <w:rsid w:val="008AEFC7"/>
    <w:rsid w:val="008B050B"/>
    <w:rsid w:val="008B0B94"/>
    <w:rsid w:val="008B0BE8"/>
    <w:rsid w:val="008B1265"/>
    <w:rsid w:val="008B1296"/>
    <w:rsid w:val="008B1525"/>
    <w:rsid w:val="008B16FB"/>
    <w:rsid w:val="008B184D"/>
    <w:rsid w:val="008B2325"/>
    <w:rsid w:val="008B2A0E"/>
    <w:rsid w:val="008B2A96"/>
    <w:rsid w:val="008B2E35"/>
    <w:rsid w:val="008B2E6C"/>
    <w:rsid w:val="008B32FA"/>
    <w:rsid w:val="008B383C"/>
    <w:rsid w:val="008B38E7"/>
    <w:rsid w:val="008B3A51"/>
    <w:rsid w:val="008B3CD5"/>
    <w:rsid w:val="008B3DA3"/>
    <w:rsid w:val="008B3E72"/>
    <w:rsid w:val="008B4276"/>
    <w:rsid w:val="008B44BD"/>
    <w:rsid w:val="008B4591"/>
    <w:rsid w:val="008B4AD9"/>
    <w:rsid w:val="008B54DD"/>
    <w:rsid w:val="008B555E"/>
    <w:rsid w:val="008B557D"/>
    <w:rsid w:val="008B705F"/>
    <w:rsid w:val="008B707B"/>
    <w:rsid w:val="008C0097"/>
    <w:rsid w:val="008C0254"/>
    <w:rsid w:val="008C0273"/>
    <w:rsid w:val="008C0849"/>
    <w:rsid w:val="008C08DA"/>
    <w:rsid w:val="008C092D"/>
    <w:rsid w:val="008C0A6A"/>
    <w:rsid w:val="008C1601"/>
    <w:rsid w:val="008C19CD"/>
    <w:rsid w:val="008C25FE"/>
    <w:rsid w:val="008C2FBE"/>
    <w:rsid w:val="008C32AC"/>
    <w:rsid w:val="008C3CEB"/>
    <w:rsid w:val="008C3EFF"/>
    <w:rsid w:val="008C3F68"/>
    <w:rsid w:val="008C3FD7"/>
    <w:rsid w:val="008C41AD"/>
    <w:rsid w:val="008C425B"/>
    <w:rsid w:val="008C4678"/>
    <w:rsid w:val="008C4780"/>
    <w:rsid w:val="008C4DAA"/>
    <w:rsid w:val="008C560D"/>
    <w:rsid w:val="008C5A47"/>
    <w:rsid w:val="008C5FC6"/>
    <w:rsid w:val="008C627E"/>
    <w:rsid w:val="008C67B1"/>
    <w:rsid w:val="008C7059"/>
    <w:rsid w:val="008C7738"/>
    <w:rsid w:val="008D01A5"/>
    <w:rsid w:val="008D0B8F"/>
    <w:rsid w:val="008D0DFA"/>
    <w:rsid w:val="008D0E0A"/>
    <w:rsid w:val="008D1104"/>
    <w:rsid w:val="008D1301"/>
    <w:rsid w:val="008D20A8"/>
    <w:rsid w:val="008D297C"/>
    <w:rsid w:val="008D2A6E"/>
    <w:rsid w:val="008D2D49"/>
    <w:rsid w:val="008D2E1A"/>
    <w:rsid w:val="008D2E79"/>
    <w:rsid w:val="008D33EF"/>
    <w:rsid w:val="008D354A"/>
    <w:rsid w:val="008D399D"/>
    <w:rsid w:val="008D3B6D"/>
    <w:rsid w:val="008D3F77"/>
    <w:rsid w:val="008D451A"/>
    <w:rsid w:val="008D50E4"/>
    <w:rsid w:val="008D52FF"/>
    <w:rsid w:val="008D5673"/>
    <w:rsid w:val="008D6471"/>
    <w:rsid w:val="008D64B3"/>
    <w:rsid w:val="008D6868"/>
    <w:rsid w:val="008D701A"/>
    <w:rsid w:val="008D7119"/>
    <w:rsid w:val="008D7152"/>
    <w:rsid w:val="008D73BA"/>
    <w:rsid w:val="008D7440"/>
    <w:rsid w:val="008D77C3"/>
    <w:rsid w:val="008D7BA8"/>
    <w:rsid w:val="008E057C"/>
    <w:rsid w:val="008E124C"/>
    <w:rsid w:val="008E16EB"/>
    <w:rsid w:val="008E1A65"/>
    <w:rsid w:val="008E1D8F"/>
    <w:rsid w:val="008E1FC6"/>
    <w:rsid w:val="008E224A"/>
    <w:rsid w:val="008E277C"/>
    <w:rsid w:val="008E28BB"/>
    <w:rsid w:val="008E32F7"/>
    <w:rsid w:val="008E3599"/>
    <w:rsid w:val="008E3B34"/>
    <w:rsid w:val="008E3EB3"/>
    <w:rsid w:val="008E3F49"/>
    <w:rsid w:val="008E4579"/>
    <w:rsid w:val="008E4D87"/>
    <w:rsid w:val="008E4E7E"/>
    <w:rsid w:val="008E4ECF"/>
    <w:rsid w:val="008E4F7A"/>
    <w:rsid w:val="008E5168"/>
    <w:rsid w:val="008E5183"/>
    <w:rsid w:val="008E578D"/>
    <w:rsid w:val="008E583F"/>
    <w:rsid w:val="008E5A42"/>
    <w:rsid w:val="008E60E9"/>
    <w:rsid w:val="008E6243"/>
    <w:rsid w:val="008E673C"/>
    <w:rsid w:val="008E7681"/>
    <w:rsid w:val="008F020E"/>
    <w:rsid w:val="008F050A"/>
    <w:rsid w:val="008F0962"/>
    <w:rsid w:val="008F0BD3"/>
    <w:rsid w:val="008F1334"/>
    <w:rsid w:val="008F15CF"/>
    <w:rsid w:val="008F1D18"/>
    <w:rsid w:val="008F20D9"/>
    <w:rsid w:val="008F21F4"/>
    <w:rsid w:val="008F2F17"/>
    <w:rsid w:val="008F2F55"/>
    <w:rsid w:val="008F2FCE"/>
    <w:rsid w:val="008F3334"/>
    <w:rsid w:val="008F37C2"/>
    <w:rsid w:val="008F4A84"/>
    <w:rsid w:val="008F57F7"/>
    <w:rsid w:val="008F5883"/>
    <w:rsid w:val="008F59E7"/>
    <w:rsid w:val="008F5B2F"/>
    <w:rsid w:val="008F5C43"/>
    <w:rsid w:val="008F6B74"/>
    <w:rsid w:val="008F7288"/>
    <w:rsid w:val="008F7611"/>
    <w:rsid w:val="008F7925"/>
    <w:rsid w:val="008F7B80"/>
    <w:rsid w:val="008F7E58"/>
    <w:rsid w:val="009000CD"/>
    <w:rsid w:val="009002A6"/>
    <w:rsid w:val="009003F2"/>
    <w:rsid w:val="00900602"/>
    <w:rsid w:val="00900A65"/>
    <w:rsid w:val="00900B7D"/>
    <w:rsid w:val="00900E16"/>
    <w:rsid w:val="00900F00"/>
    <w:rsid w:val="00901327"/>
    <w:rsid w:val="009013DD"/>
    <w:rsid w:val="0090170E"/>
    <w:rsid w:val="0090184B"/>
    <w:rsid w:val="00901AB1"/>
    <w:rsid w:val="00901D24"/>
    <w:rsid w:val="00902492"/>
    <w:rsid w:val="009027F8"/>
    <w:rsid w:val="00902A40"/>
    <w:rsid w:val="00903314"/>
    <w:rsid w:val="00903553"/>
    <w:rsid w:val="0090380E"/>
    <w:rsid w:val="009039C9"/>
    <w:rsid w:val="00903AA2"/>
    <w:rsid w:val="00903C3E"/>
    <w:rsid w:val="00903C96"/>
    <w:rsid w:val="00904CD3"/>
    <w:rsid w:val="00904D75"/>
    <w:rsid w:val="00904E5C"/>
    <w:rsid w:val="0090550E"/>
    <w:rsid w:val="00905665"/>
    <w:rsid w:val="00905876"/>
    <w:rsid w:val="00905E3D"/>
    <w:rsid w:val="00905E5D"/>
    <w:rsid w:val="00906063"/>
    <w:rsid w:val="00906FB0"/>
    <w:rsid w:val="0090710F"/>
    <w:rsid w:val="009072E6"/>
    <w:rsid w:val="009076AB"/>
    <w:rsid w:val="00910BAA"/>
    <w:rsid w:val="00910C50"/>
    <w:rsid w:val="009112B0"/>
    <w:rsid w:val="009118AD"/>
    <w:rsid w:val="00911C9B"/>
    <w:rsid w:val="00911F61"/>
    <w:rsid w:val="00912E98"/>
    <w:rsid w:val="00913001"/>
    <w:rsid w:val="00913252"/>
    <w:rsid w:val="009135F7"/>
    <w:rsid w:val="00913A91"/>
    <w:rsid w:val="00913EE5"/>
    <w:rsid w:val="0091428F"/>
    <w:rsid w:val="0091468D"/>
    <w:rsid w:val="009147BE"/>
    <w:rsid w:val="00915480"/>
    <w:rsid w:val="00915989"/>
    <w:rsid w:val="00915D44"/>
    <w:rsid w:val="009165DC"/>
    <w:rsid w:val="009167E9"/>
    <w:rsid w:val="00916ACD"/>
    <w:rsid w:val="009172B3"/>
    <w:rsid w:val="009173E4"/>
    <w:rsid w:val="00917495"/>
    <w:rsid w:val="009175C8"/>
    <w:rsid w:val="00917638"/>
    <w:rsid w:val="009176BB"/>
    <w:rsid w:val="00917E5E"/>
    <w:rsid w:val="009201CD"/>
    <w:rsid w:val="00920370"/>
    <w:rsid w:val="009210FD"/>
    <w:rsid w:val="0092182E"/>
    <w:rsid w:val="00921913"/>
    <w:rsid w:val="00921988"/>
    <w:rsid w:val="00921B54"/>
    <w:rsid w:val="009222AE"/>
    <w:rsid w:val="00922AA8"/>
    <w:rsid w:val="00923144"/>
    <w:rsid w:val="0092331F"/>
    <w:rsid w:val="009233E0"/>
    <w:rsid w:val="00923479"/>
    <w:rsid w:val="00923826"/>
    <w:rsid w:val="00923EA6"/>
    <w:rsid w:val="00924131"/>
    <w:rsid w:val="0092427D"/>
    <w:rsid w:val="00924F6C"/>
    <w:rsid w:val="00925268"/>
    <w:rsid w:val="009262D0"/>
    <w:rsid w:val="0092635C"/>
    <w:rsid w:val="00926421"/>
    <w:rsid w:val="00926A63"/>
    <w:rsid w:val="00927353"/>
    <w:rsid w:val="00927C5B"/>
    <w:rsid w:val="00927E92"/>
    <w:rsid w:val="00930238"/>
    <w:rsid w:val="009304DC"/>
    <w:rsid w:val="0093058B"/>
    <w:rsid w:val="00930B17"/>
    <w:rsid w:val="00930E1C"/>
    <w:rsid w:val="0093153A"/>
    <w:rsid w:val="00931AA1"/>
    <w:rsid w:val="009321CB"/>
    <w:rsid w:val="00932269"/>
    <w:rsid w:val="009324A2"/>
    <w:rsid w:val="009327F0"/>
    <w:rsid w:val="00933A0F"/>
    <w:rsid w:val="00933FA7"/>
    <w:rsid w:val="009340FE"/>
    <w:rsid w:val="0093419A"/>
    <w:rsid w:val="009350B2"/>
    <w:rsid w:val="00935171"/>
    <w:rsid w:val="0093602C"/>
    <w:rsid w:val="00936B13"/>
    <w:rsid w:val="00936D1A"/>
    <w:rsid w:val="00937090"/>
    <w:rsid w:val="00937349"/>
    <w:rsid w:val="00937444"/>
    <w:rsid w:val="00937597"/>
    <w:rsid w:val="00937651"/>
    <w:rsid w:val="0094010A"/>
    <w:rsid w:val="00940691"/>
    <w:rsid w:val="00941168"/>
    <w:rsid w:val="0094158A"/>
    <w:rsid w:val="00941C14"/>
    <w:rsid w:val="009429A6"/>
    <w:rsid w:val="00942C1F"/>
    <w:rsid w:val="00942D0E"/>
    <w:rsid w:val="00942EB2"/>
    <w:rsid w:val="0094302A"/>
    <w:rsid w:val="00943312"/>
    <w:rsid w:val="0094341E"/>
    <w:rsid w:val="00943466"/>
    <w:rsid w:val="00943D9B"/>
    <w:rsid w:val="00943F8E"/>
    <w:rsid w:val="009442C1"/>
    <w:rsid w:val="0094459E"/>
    <w:rsid w:val="0094467C"/>
    <w:rsid w:val="00944FDF"/>
    <w:rsid w:val="009467D9"/>
    <w:rsid w:val="00946B6D"/>
    <w:rsid w:val="009473CE"/>
    <w:rsid w:val="00947503"/>
    <w:rsid w:val="00947AEA"/>
    <w:rsid w:val="00947FE0"/>
    <w:rsid w:val="00950394"/>
    <w:rsid w:val="009503D8"/>
    <w:rsid w:val="009507E1"/>
    <w:rsid w:val="00950856"/>
    <w:rsid w:val="00950B91"/>
    <w:rsid w:val="00950BDC"/>
    <w:rsid w:val="00950FE6"/>
    <w:rsid w:val="00951F5E"/>
    <w:rsid w:val="00951F88"/>
    <w:rsid w:val="00951FB6"/>
    <w:rsid w:val="009523B1"/>
    <w:rsid w:val="0095255E"/>
    <w:rsid w:val="0095265D"/>
    <w:rsid w:val="00952C5A"/>
    <w:rsid w:val="00953693"/>
    <w:rsid w:val="0095384F"/>
    <w:rsid w:val="00954312"/>
    <w:rsid w:val="0095434D"/>
    <w:rsid w:val="00954415"/>
    <w:rsid w:val="009547A1"/>
    <w:rsid w:val="009552F6"/>
    <w:rsid w:val="009556E8"/>
    <w:rsid w:val="00955873"/>
    <w:rsid w:val="0095624A"/>
    <w:rsid w:val="00956419"/>
    <w:rsid w:val="0095642A"/>
    <w:rsid w:val="009567E4"/>
    <w:rsid w:val="00956995"/>
    <w:rsid w:val="00956AB6"/>
    <w:rsid w:val="009571C2"/>
    <w:rsid w:val="00957392"/>
    <w:rsid w:val="009577FB"/>
    <w:rsid w:val="00957808"/>
    <w:rsid w:val="00957B9E"/>
    <w:rsid w:val="0096044D"/>
    <w:rsid w:val="00960982"/>
    <w:rsid w:val="00960B29"/>
    <w:rsid w:val="00960D83"/>
    <w:rsid w:val="0096104E"/>
    <w:rsid w:val="009612F7"/>
    <w:rsid w:val="009614BE"/>
    <w:rsid w:val="009617A6"/>
    <w:rsid w:val="00961908"/>
    <w:rsid w:val="00961AAF"/>
    <w:rsid w:val="00961BE2"/>
    <w:rsid w:val="00961E8A"/>
    <w:rsid w:val="00961EB5"/>
    <w:rsid w:val="0096229D"/>
    <w:rsid w:val="0096357F"/>
    <w:rsid w:val="009643F8"/>
    <w:rsid w:val="009648E4"/>
    <w:rsid w:val="00964BD1"/>
    <w:rsid w:val="00964E5A"/>
    <w:rsid w:val="00964F9C"/>
    <w:rsid w:val="00965FD0"/>
    <w:rsid w:val="00966AEF"/>
    <w:rsid w:val="00966B6F"/>
    <w:rsid w:val="00967115"/>
    <w:rsid w:val="0096737B"/>
    <w:rsid w:val="009677DD"/>
    <w:rsid w:val="009701CC"/>
    <w:rsid w:val="0097085A"/>
    <w:rsid w:val="0097215F"/>
    <w:rsid w:val="009722CE"/>
    <w:rsid w:val="009722DC"/>
    <w:rsid w:val="009723B3"/>
    <w:rsid w:val="00972A64"/>
    <w:rsid w:val="00972D7E"/>
    <w:rsid w:val="00973B0C"/>
    <w:rsid w:val="00974317"/>
    <w:rsid w:val="0097449D"/>
    <w:rsid w:val="00974D47"/>
    <w:rsid w:val="0097504F"/>
    <w:rsid w:val="00975485"/>
    <w:rsid w:val="00975664"/>
    <w:rsid w:val="00975C92"/>
    <w:rsid w:val="00975D52"/>
    <w:rsid w:val="00975FE0"/>
    <w:rsid w:val="009763CC"/>
    <w:rsid w:val="00976468"/>
    <w:rsid w:val="00976AF1"/>
    <w:rsid w:val="00977B59"/>
    <w:rsid w:val="009802DC"/>
    <w:rsid w:val="0098057C"/>
    <w:rsid w:val="0098062E"/>
    <w:rsid w:val="0098073D"/>
    <w:rsid w:val="009808C1"/>
    <w:rsid w:val="00980BE4"/>
    <w:rsid w:val="00980D98"/>
    <w:rsid w:val="00980DBC"/>
    <w:rsid w:val="00980FFF"/>
    <w:rsid w:val="009815D3"/>
    <w:rsid w:val="00981E79"/>
    <w:rsid w:val="00981EA9"/>
    <w:rsid w:val="0098227C"/>
    <w:rsid w:val="00982293"/>
    <w:rsid w:val="00982638"/>
    <w:rsid w:val="00982757"/>
    <w:rsid w:val="00982839"/>
    <w:rsid w:val="00983C9F"/>
    <w:rsid w:val="00984533"/>
    <w:rsid w:val="00984828"/>
    <w:rsid w:val="00984C9F"/>
    <w:rsid w:val="00984E23"/>
    <w:rsid w:val="00984F1B"/>
    <w:rsid w:val="00984FDC"/>
    <w:rsid w:val="00985182"/>
    <w:rsid w:val="009851C6"/>
    <w:rsid w:val="00985507"/>
    <w:rsid w:val="0098560F"/>
    <w:rsid w:val="0098622D"/>
    <w:rsid w:val="00986713"/>
    <w:rsid w:val="0098698D"/>
    <w:rsid w:val="00986D60"/>
    <w:rsid w:val="00987279"/>
    <w:rsid w:val="009876BF"/>
    <w:rsid w:val="009879D7"/>
    <w:rsid w:val="00987A8A"/>
    <w:rsid w:val="00987C87"/>
    <w:rsid w:val="00990A91"/>
    <w:rsid w:val="00990B07"/>
    <w:rsid w:val="00990B95"/>
    <w:rsid w:val="00990F55"/>
    <w:rsid w:val="00991000"/>
    <w:rsid w:val="00991608"/>
    <w:rsid w:val="00991DAA"/>
    <w:rsid w:val="00992177"/>
    <w:rsid w:val="00992403"/>
    <w:rsid w:val="00992948"/>
    <w:rsid w:val="00992C35"/>
    <w:rsid w:val="00992EA4"/>
    <w:rsid w:val="00993168"/>
    <w:rsid w:val="00993436"/>
    <w:rsid w:val="00993854"/>
    <w:rsid w:val="00993F86"/>
    <w:rsid w:val="009944DB"/>
    <w:rsid w:val="009949B3"/>
    <w:rsid w:val="0099510B"/>
    <w:rsid w:val="009953D8"/>
    <w:rsid w:val="009955D6"/>
    <w:rsid w:val="00995FCB"/>
    <w:rsid w:val="00996018"/>
    <w:rsid w:val="009962CE"/>
    <w:rsid w:val="0099637C"/>
    <w:rsid w:val="009965F7"/>
    <w:rsid w:val="00996658"/>
    <w:rsid w:val="009966F5"/>
    <w:rsid w:val="0099686C"/>
    <w:rsid w:val="0099688C"/>
    <w:rsid w:val="00996B93"/>
    <w:rsid w:val="0099709F"/>
    <w:rsid w:val="00997723"/>
    <w:rsid w:val="009977E7"/>
    <w:rsid w:val="00997AE2"/>
    <w:rsid w:val="00997E33"/>
    <w:rsid w:val="009A0BCE"/>
    <w:rsid w:val="009A0D6A"/>
    <w:rsid w:val="009A0DEA"/>
    <w:rsid w:val="009A1E36"/>
    <w:rsid w:val="009A1F07"/>
    <w:rsid w:val="009A33F3"/>
    <w:rsid w:val="009A34A8"/>
    <w:rsid w:val="009A3519"/>
    <w:rsid w:val="009A3CFC"/>
    <w:rsid w:val="009A3D9B"/>
    <w:rsid w:val="009A408B"/>
    <w:rsid w:val="009A42D6"/>
    <w:rsid w:val="009A4449"/>
    <w:rsid w:val="009A4A64"/>
    <w:rsid w:val="009A4B43"/>
    <w:rsid w:val="009A4E42"/>
    <w:rsid w:val="009A51FF"/>
    <w:rsid w:val="009A5641"/>
    <w:rsid w:val="009A5958"/>
    <w:rsid w:val="009A5DFB"/>
    <w:rsid w:val="009A6032"/>
    <w:rsid w:val="009A66B7"/>
    <w:rsid w:val="009A6E74"/>
    <w:rsid w:val="009A789E"/>
    <w:rsid w:val="009A7D1C"/>
    <w:rsid w:val="009B0029"/>
    <w:rsid w:val="009B08FC"/>
    <w:rsid w:val="009B0B74"/>
    <w:rsid w:val="009B0F08"/>
    <w:rsid w:val="009B15DD"/>
    <w:rsid w:val="009B18C4"/>
    <w:rsid w:val="009B1CC5"/>
    <w:rsid w:val="009B1E70"/>
    <w:rsid w:val="009B2188"/>
    <w:rsid w:val="009B2209"/>
    <w:rsid w:val="009B28D0"/>
    <w:rsid w:val="009B337E"/>
    <w:rsid w:val="009B380E"/>
    <w:rsid w:val="009B3917"/>
    <w:rsid w:val="009B405A"/>
    <w:rsid w:val="009B40EE"/>
    <w:rsid w:val="009B553D"/>
    <w:rsid w:val="009B57BA"/>
    <w:rsid w:val="009B59AC"/>
    <w:rsid w:val="009B6369"/>
    <w:rsid w:val="009B678C"/>
    <w:rsid w:val="009B6C43"/>
    <w:rsid w:val="009B6EB5"/>
    <w:rsid w:val="009B72F3"/>
    <w:rsid w:val="009B750D"/>
    <w:rsid w:val="009C03C3"/>
    <w:rsid w:val="009C0613"/>
    <w:rsid w:val="009C0BEB"/>
    <w:rsid w:val="009C0D24"/>
    <w:rsid w:val="009C0EE7"/>
    <w:rsid w:val="009C1848"/>
    <w:rsid w:val="009C1C04"/>
    <w:rsid w:val="009C234F"/>
    <w:rsid w:val="009C240F"/>
    <w:rsid w:val="009C2D22"/>
    <w:rsid w:val="009C316B"/>
    <w:rsid w:val="009C31A8"/>
    <w:rsid w:val="009C3CBA"/>
    <w:rsid w:val="009C409D"/>
    <w:rsid w:val="009C4A12"/>
    <w:rsid w:val="009C4B81"/>
    <w:rsid w:val="009C50D1"/>
    <w:rsid w:val="009C50DC"/>
    <w:rsid w:val="009C5481"/>
    <w:rsid w:val="009C5DED"/>
    <w:rsid w:val="009C6169"/>
    <w:rsid w:val="009C6467"/>
    <w:rsid w:val="009C6641"/>
    <w:rsid w:val="009C6E46"/>
    <w:rsid w:val="009C72A6"/>
    <w:rsid w:val="009C7642"/>
    <w:rsid w:val="009C768A"/>
    <w:rsid w:val="009C796A"/>
    <w:rsid w:val="009D1016"/>
    <w:rsid w:val="009D1332"/>
    <w:rsid w:val="009D1447"/>
    <w:rsid w:val="009D1939"/>
    <w:rsid w:val="009D1CCF"/>
    <w:rsid w:val="009D208A"/>
    <w:rsid w:val="009D267A"/>
    <w:rsid w:val="009D2745"/>
    <w:rsid w:val="009D3419"/>
    <w:rsid w:val="009D3676"/>
    <w:rsid w:val="009D37BC"/>
    <w:rsid w:val="009D3C69"/>
    <w:rsid w:val="009D3CC2"/>
    <w:rsid w:val="009D3F24"/>
    <w:rsid w:val="009D412C"/>
    <w:rsid w:val="009D4212"/>
    <w:rsid w:val="009D42D8"/>
    <w:rsid w:val="009D43FB"/>
    <w:rsid w:val="009D47B3"/>
    <w:rsid w:val="009D4A76"/>
    <w:rsid w:val="009D4E00"/>
    <w:rsid w:val="009D507A"/>
    <w:rsid w:val="009D5324"/>
    <w:rsid w:val="009D54B9"/>
    <w:rsid w:val="009D574D"/>
    <w:rsid w:val="009D5880"/>
    <w:rsid w:val="009D5DDD"/>
    <w:rsid w:val="009D5FAE"/>
    <w:rsid w:val="009D6331"/>
    <w:rsid w:val="009D649F"/>
    <w:rsid w:val="009D6915"/>
    <w:rsid w:val="009D6B1A"/>
    <w:rsid w:val="009D6BC5"/>
    <w:rsid w:val="009D7356"/>
    <w:rsid w:val="009D7B81"/>
    <w:rsid w:val="009D7C73"/>
    <w:rsid w:val="009D7C8E"/>
    <w:rsid w:val="009D7EFB"/>
    <w:rsid w:val="009D7F59"/>
    <w:rsid w:val="009E00F1"/>
    <w:rsid w:val="009E0C33"/>
    <w:rsid w:val="009E0CA8"/>
    <w:rsid w:val="009E0D71"/>
    <w:rsid w:val="009E0FA5"/>
    <w:rsid w:val="009E1894"/>
    <w:rsid w:val="009E1A23"/>
    <w:rsid w:val="009E255E"/>
    <w:rsid w:val="009E25F9"/>
    <w:rsid w:val="009E26D9"/>
    <w:rsid w:val="009E2AA1"/>
    <w:rsid w:val="009E2D7E"/>
    <w:rsid w:val="009E2F63"/>
    <w:rsid w:val="009E3448"/>
    <w:rsid w:val="009E359D"/>
    <w:rsid w:val="009E366A"/>
    <w:rsid w:val="009E395B"/>
    <w:rsid w:val="009E4659"/>
    <w:rsid w:val="009E465B"/>
    <w:rsid w:val="009E4A9C"/>
    <w:rsid w:val="009E4E9B"/>
    <w:rsid w:val="009E4FE4"/>
    <w:rsid w:val="009E57D4"/>
    <w:rsid w:val="009E5BF4"/>
    <w:rsid w:val="009E5D7E"/>
    <w:rsid w:val="009E6A39"/>
    <w:rsid w:val="009E6B62"/>
    <w:rsid w:val="009E6FA2"/>
    <w:rsid w:val="009E72E6"/>
    <w:rsid w:val="009E7735"/>
    <w:rsid w:val="009E7C33"/>
    <w:rsid w:val="009E7DCD"/>
    <w:rsid w:val="009F136D"/>
    <w:rsid w:val="009F1402"/>
    <w:rsid w:val="009F193C"/>
    <w:rsid w:val="009F1B21"/>
    <w:rsid w:val="009F1B71"/>
    <w:rsid w:val="009F2058"/>
    <w:rsid w:val="009F2925"/>
    <w:rsid w:val="009F2A3C"/>
    <w:rsid w:val="009F36E2"/>
    <w:rsid w:val="009F3705"/>
    <w:rsid w:val="009F398A"/>
    <w:rsid w:val="009F39B6"/>
    <w:rsid w:val="009F3ED6"/>
    <w:rsid w:val="009F4469"/>
    <w:rsid w:val="009F47F5"/>
    <w:rsid w:val="009F4A32"/>
    <w:rsid w:val="009F50AE"/>
    <w:rsid w:val="009F528D"/>
    <w:rsid w:val="009F56DE"/>
    <w:rsid w:val="009F5CFF"/>
    <w:rsid w:val="009F5D53"/>
    <w:rsid w:val="009F617C"/>
    <w:rsid w:val="009F627D"/>
    <w:rsid w:val="009F6394"/>
    <w:rsid w:val="009F6BF3"/>
    <w:rsid w:val="009F7050"/>
    <w:rsid w:val="009F7142"/>
    <w:rsid w:val="009F7B70"/>
    <w:rsid w:val="009F7EA9"/>
    <w:rsid w:val="009FB4DB"/>
    <w:rsid w:val="009FBAFC"/>
    <w:rsid w:val="009FBC20"/>
    <w:rsid w:val="009FECFF"/>
    <w:rsid w:val="00A0034F"/>
    <w:rsid w:val="00A0064B"/>
    <w:rsid w:val="00A0093F"/>
    <w:rsid w:val="00A00CED"/>
    <w:rsid w:val="00A014CD"/>
    <w:rsid w:val="00A01886"/>
    <w:rsid w:val="00A01C8A"/>
    <w:rsid w:val="00A01CAE"/>
    <w:rsid w:val="00A01D9C"/>
    <w:rsid w:val="00A01E6F"/>
    <w:rsid w:val="00A02148"/>
    <w:rsid w:val="00A0242D"/>
    <w:rsid w:val="00A02D8B"/>
    <w:rsid w:val="00A0307B"/>
    <w:rsid w:val="00A0313C"/>
    <w:rsid w:val="00A033A0"/>
    <w:rsid w:val="00A037A4"/>
    <w:rsid w:val="00A04217"/>
    <w:rsid w:val="00A042A5"/>
    <w:rsid w:val="00A04556"/>
    <w:rsid w:val="00A04AC6"/>
    <w:rsid w:val="00A0541A"/>
    <w:rsid w:val="00A05592"/>
    <w:rsid w:val="00A0636A"/>
    <w:rsid w:val="00A06B63"/>
    <w:rsid w:val="00A07D0E"/>
    <w:rsid w:val="00A106DD"/>
    <w:rsid w:val="00A106F6"/>
    <w:rsid w:val="00A107EF"/>
    <w:rsid w:val="00A10D37"/>
    <w:rsid w:val="00A10E30"/>
    <w:rsid w:val="00A11DA5"/>
    <w:rsid w:val="00A1227D"/>
    <w:rsid w:val="00A1255D"/>
    <w:rsid w:val="00A128AB"/>
    <w:rsid w:val="00A12994"/>
    <w:rsid w:val="00A13685"/>
    <w:rsid w:val="00A13AD7"/>
    <w:rsid w:val="00A13C20"/>
    <w:rsid w:val="00A13D6A"/>
    <w:rsid w:val="00A13FD4"/>
    <w:rsid w:val="00A146E5"/>
    <w:rsid w:val="00A15534"/>
    <w:rsid w:val="00A15772"/>
    <w:rsid w:val="00A15AA0"/>
    <w:rsid w:val="00A162FC"/>
    <w:rsid w:val="00A16395"/>
    <w:rsid w:val="00A16653"/>
    <w:rsid w:val="00A167B7"/>
    <w:rsid w:val="00A16BDD"/>
    <w:rsid w:val="00A16C0C"/>
    <w:rsid w:val="00A177EE"/>
    <w:rsid w:val="00A17B3D"/>
    <w:rsid w:val="00A17F36"/>
    <w:rsid w:val="00A202D5"/>
    <w:rsid w:val="00A209A3"/>
    <w:rsid w:val="00A2159F"/>
    <w:rsid w:val="00A21996"/>
    <w:rsid w:val="00A220FD"/>
    <w:rsid w:val="00A229AD"/>
    <w:rsid w:val="00A22B20"/>
    <w:rsid w:val="00A22BD5"/>
    <w:rsid w:val="00A22DE1"/>
    <w:rsid w:val="00A22F55"/>
    <w:rsid w:val="00A22FAC"/>
    <w:rsid w:val="00A231BD"/>
    <w:rsid w:val="00A2332B"/>
    <w:rsid w:val="00A23965"/>
    <w:rsid w:val="00A23B90"/>
    <w:rsid w:val="00A23C5B"/>
    <w:rsid w:val="00A23D56"/>
    <w:rsid w:val="00A23F89"/>
    <w:rsid w:val="00A245F6"/>
    <w:rsid w:val="00A24BF0"/>
    <w:rsid w:val="00A24C3B"/>
    <w:rsid w:val="00A24C9D"/>
    <w:rsid w:val="00A2520B"/>
    <w:rsid w:val="00A25529"/>
    <w:rsid w:val="00A257FD"/>
    <w:rsid w:val="00A25A39"/>
    <w:rsid w:val="00A25BA6"/>
    <w:rsid w:val="00A25CE6"/>
    <w:rsid w:val="00A26201"/>
    <w:rsid w:val="00A26232"/>
    <w:rsid w:val="00A26399"/>
    <w:rsid w:val="00A26477"/>
    <w:rsid w:val="00A26530"/>
    <w:rsid w:val="00A26CFA"/>
    <w:rsid w:val="00A26D90"/>
    <w:rsid w:val="00A2756F"/>
    <w:rsid w:val="00A2787E"/>
    <w:rsid w:val="00A27A0A"/>
    <w:rsid w:val="00A2B2CE"/>
    <w:rsid w:val="00A32056"/>
    <w:rsid w:val="00A32E62"/>
    <w:rsid w:val="00A330A3"/>
    <w:rsid w:val="00A332EB"/>
    <w:rsid w:val="00A336D9"/>
    <w:rsid w:val="00A33950"/>
    <w:rsid w:val="00A33B58"/>
    <w:rsid w:val="00A33BC3"/>
    <w:rsid w:val="00A33D11"/>
    <w:rsid w:val="00A33F41"/>
    <w:rsid w:val="00A340B3"/>
    <w:rsid w:val="00A349DD"/>
    <w:rsid w:val="00A34D20"/>
    <w:rsid w:val="00A3564D"/>
    <w:rsid w:val="00A35881"/>
    <w:rsid w:val="00A35BDA"/>
    <w:rsid w:val="00A3641D"/>
    <w:rsid w:val="00A36716"/>
    <w:rsid w:val="00A36E63"/>
    <w:rsid w:val="00A37868"/>
    <w:rsid w:val="00A37F01"/>
    <w:rsid w:val="00A40411"/>
    <w:rsid w:val="00A40685"/>
    <w:rsid w:val="00A40779"/>
    <w:rsid w:val="00A40B0A"/>
    <w:rsid w:val="00A40DF7"/>
    <w:rsid w:val="00A41316"/>
    <w:rsid w:val="00A41941"/>
    <w:rsid w:val="00A41AE2"/>
    <w:rsid w:val="00A41D01"/>
    <w:rsid w:val="00A41F36"/>
    <w:rsid w:val="00A42441"/>
    <w:rsid w:val="00A42834"/>
    <w:rsid w:val="00A4297D"/>
    <w:rsid w:val="00A42AF8"/>
    <w:rsid w:val="00A43597"/>
    <w:rsid w:val="00A4382F"/>
    <w:rsid w:val="00A43C1D"/>
    <w:rsid w:val="00A44096"/>
    <w:rsid w:val="00A4436E"/>
    <w:rsid w:val="00A443CE"/>
    <w:rsid w:val="00A446DD"/>
    <w:rsid w:val="00A44DDB"/>
    <w:rsid w:val="00A450C9"/>
    <w:rsid w:val="00A451DD"/>
    <w:rsid w:val="00A45701"/>
    <w:rsid w:val="00A45827"/>
    <w:rsid w:val="00A46181"/>
    <w:rsid w:val="00A46A7F"/>
    <w:rsid w:val="00A46BB1"/>
    <w:rsid w:val="00A46EC2"/>
    <w:rsid w:val="00A46F5C"/>
    <w:rsid w:val="00A47499"/>
    <w:rsid w:val="00A47503"/>
    <w:rsid w:val="00A47A0A"/>
    <w:rsid w:val="00A47D7D"/>
    <w:rsid w:val="00A48795"/>
    <w:rsid w:val="00A51380"/>
    <w:rsid w:val="00A515D4"/>
    <w:rsid w:val="00A51EC2"/>
    <w:rsid w:val="00A52088"/>
    <w:rsid w:val="00A5232F"/>
    <w:rsid w:val="00A523CC"/>
    <w:rsid w:val="00A52422"/>
    <w:rsid w:val="00A52A24"/>
    <w:rsid w:val="00A52B75"/>
    <w:rsid w:val="00A5313D"/>
    <w:rsid w:val="00A535E7"/>
    <w:rsid w:val="00A53AD1"/>
    <w:rsid w:val="00A53CFB"/>
    <w:rsid w:val="00A5432B"/>
    <w:rsid w:val="00A5459A"/>
    <w:rsid w:val="00A5461B"/>
    <w:rsid w:val="00A54753"/>
    <w:rsid w:val="00A5483B"/>
    <w:rsid w:val="00A549C9"/>
    <w:rsid w:val="00A54BCA"/>
    <w:rsid w:val="00A54C51"/>
    <w:rsid w:val="00A54F71"/>
    <w:rsid w:val="00A55250"/>
    <w:rsid w:val="00A557B4"/>
    <w:rsid w:val="00A557DB"/>
    <w:rsid w:val="00A55C18"/>
    <w:rsid w:val="00A55DF9"/>
    <w:rsid w:val="00A55E6A"/>
    <w:rsid w:val="00A56141"/>
    <w:rsid w:val="00A57328"/>
    <w:rsid w:val="00A5783B"/>
    <w:rsid w:val="00A578F8"/>
    <w:rsid w:val="00A57E54"/>
    <w:rsid w:val="00A600CD"/>
    <w:rsid w:val="00A607AC"/>
    <w:rsid w:val="00A60821"/>
    <w:rsid w:val="00A6093C"/>
    <w:rsid w:val="00A60A75"/>
    <w:rsid w:val="00A6122C"/>
    <w:rsid w:val="00A61354"/>
    <w:rsid w:val="00A61751"/>
    <w:rsid w:val="00A617F8"/>
    <w:rsid w:val="00A6206E"/>
    <w:rsid w:val="00A62194"/>
    <w:rsid w:val="00A6282B"/>
    <w:rsid w:val="00A62AB7"/>
    <w:rsid w:val="00A63FF7"/>
    <w:rsid w:val="00A64850"/>
    <w:rsid w:val="00A64941"/>
    <w:rsid w:val="00A64C7D"/>
    <w:rsid w:val="00A6527B"/>
    <w:rsid w:val="00A6571D"/>
    <w:rsid w:val="00A65853"/>
    <w:rsid w:val="00A65979"/>
    <w:rsid w:val="00A660C9"/>
    <w:rsid w:val="00A66B6F"/>
    <w:rsid w:val="00A677A3"/>
    <w:rsid w:val="00A67915"/>
    <w:rsid w:val="00A703A9"/>
    <w:rsid w:val="00A70516"/>
    <w:rsid w:val="00A70806"/>
    <w:rsid w:val="00A70FC6"/>
    <w:rsid w:val="00A710B7"/>
    <w:rsid w:val="00A71734"/>
    <w:rsid w:val="00A720F4"/>
    <w:rsid w:val="00A729C3"/>
    <w:rsid w:val="00A72D58"/>
    <w:rsid w:val="00A733B6"/>
    <w:rsid w:val="00A733F1"/>
    <w:rsid w:val="00A73A49"/>
    <w:rsid w:val="00A741BF"/>
    <w:rsid w:val="00A743F4"/>
    <w:rsid w:val="00A74586"/>
    <w:rsid w:val="00A748BE"/>
    <w:rsid w:val="00A74B66"/>
    <w:rsid w:val="00A74DEA"/>
    <w:rsid w:val="00A74EA0"/>
    <w:rsid w:val="00A757D7"/>
    <w:rsid w:val="00A75BAA"/>
    <w:rsid w:val="00A75F06"/>
    <w:rsid w:val="00A76336"/>
    <w:rsid w:val="00A76539"/>
    <w:rsid w:val="00A767A7"/>
    <w:rsid w:val="00A771CB"/>
    <w:rsid w:val="00A77482"/>
    <w:rsid w:val="00A77E86"/>
    <w:rsid w:val="00A77E98"/>
    <w:rsid w:val="00A808E6"/>
    <w:rsid w:val="00A80AA8"/>
    <w:rsid w:val="00A819E2"/>
    <w:rsid w:val="00A81F4F"/>
    <w:rsid w:val="00A821DC"/>
    <w:rsid w:val="00A82883"/>
    <w:rsid w:val="00A82D07"/>
    <w:rsid w:val="00A83198"/>
    <w:rsid w:val="00A8358D"/>
    <w:rsid w:val="00A8369D"/>
    <w:rsid w:val="00A83E66"/>
    <w:rsid w:val="00A83EFD"/>
    <w:rsid w:val="00A84044"/>
    <w:rsid w:val="00A8477E"/>
    <w:rsid w:val="00A84829"/>
    <w:rsid w:val="00A84907"/>
    <w:rsid w:val="00A84DF2"/>
    <w:rsid w:val="00A8504E"/>
    <w:rsid w:val="00A85157"/>
    <w:rsid w:val="00A8550A"/>
    <w:rsid w:val="00A8589E"/>
    <w:rsid w:val="00A85C98"/>
    <w:rsid w:val="00A863F7"/>
    <w:rsid w:val="00A8645D"/>
    <w:rsid w:val="00A865B3"/>
    <w:rsid w:val="00A86F56"/>
    <w:rsid w:val="00A87429"/>
    <w:rsid w:val="00A8751E"/>
    <w:rsid w:val="00A878FA"/>
    <w:rsid w:val="00A90183"/>
    <w:rsid w:val="00A9097E"/>
    <w:rsid w:val="00A91676"/>
    <w:rsid w:val="00A91A7C"/>
    <w:rsid w:val="00A91CB1"/>
    <w:rsid w:val="00A91EB2"/>
    <w:rsid w:val="00A92305"/>
    <w:rsid w:val="00A92371"/>
    <w:rsid w:val="00A92639"/>
    <w:rsid w:val="00A926DD"/>
    <w:rsid w:val="00A92FBB"/>
    <w:rsid w:val="00A93238"/>
    <w:rsid w:val="00A93309"/>
    <w:rsid w:val="00A93521"/>
    <w:rsid w:val="00A9436D"/>
    <w:rsid w:val="00A944EF"/>
    <w:rsid w:val="00A956D6"/>
    <w:rsid w:val="00A959DA"/>
    <w:rsid w:val="00A95CFE"/>
    <w:rsid w:val="00A95E13"/>
    <w:rsid w:val="00A95FFC"/>
    <w:rsid w:val="00A9769A"/>
    <w:rsid w:val="00A9771E"/>
    <w:rsid w:val="00A97FAE"/>
    <w:rsid w:val="00AA02AB"/>
    <w:rsid w:val="00AA0447"/>
    <w:rsid w:val="00AA05DF"/>
    <w:rsid w:val="00AA0680"/>
    <w:rsid w:val="00AA087B"/>
    <w:rsid w:val="00AA0FB9"/>
    <w:rsid w:val="00AA106B"/>
    <w:rsid w:val="00AA1B4E"/>
    <w:rsid w:val="00AA1B9C"/>
    <w:rsid w:val="00AA1CAF"/>
    <w:rsid w:val="00AA29FF"/>
    <w:rsid w:val="00AA2EF4"/>
    <w:rsid w:val="00AA3649"/>
    <w:rsid w:val="00AA377D"/>
    <w:rsid w:val="00AA3941"/>
    <w:rsid w:val="00AA3953"/>
    <w:rsid w:val="00AA3CC7"/>
    <w:rsid w:val="00AA3DD7"/>
    <w:rsid w:val="00AA423D"/>
    <w:rsid w:val="00AA4883"/>
    <w:rsid w:val="00AA48EF"/>
    <w:rsid w:val="00AA50BE"/>
    <w:rsid w:val="00AA5150"/>
    <w:rsid w:val="00AA5399"/>
    <w:rsid w:val="00AA5462"/>
    <w:rsid w:val="00AA57B7"/>
    <w:rsid w:val="00AA58F2"/>
    <w:rsid w:val="00AA614D"/>
    <w:rsid w:val="00AA636F"/>
    <w:rsid w:val="00AA66F7"/>
    <w:rsid w:val="00AA687E"/>
    <w:rsid w:val="00AA69A0"/>
    <w:rsid w:val="00AA6A23"/>
    <w:rsid w:val="00AA6C11"/>
    <w:rsid w:val="00AA6C62"/>
    <w:rsid w:val="00AA74FF"/>
    <w:rsid w:val="00AA7EAF"/>
    <w:rsid w:val="00AB0445"/>
    <w:rsid w:val="00AB06AE"/>
    <w:rsid w:val="00AB0AAD"/>
    <w:rsid w:val="00AB11F1"/>
    <w:rsid w:val="00AB1465"/>
    <w:rsid w:val="00AB151D"/>
    <w:rsid w:val="00AB16A4"/>
    <w:rsid w:val="00AB16BE"/>
    <w:rsid w:val="00AB16C0"/>
    <w:rsid w:val="00AB1984"/>
    <w:rsid w:val="00AB1A2F"/>
    <w:rsid w:val="00AB1AAA"/>
    <w:rsid w:val="00AB1CF3"/>
    <w:rsid w:val="00AB1CFC"/>
    <w:rsid w:val="00AB26A1"/>
    <w:rsid w:val="00AB2B11"/>
    <w:rsid w:val="00AB38E2"/>
    <w:rsid w:val="00AB4201"/>
    <w:rsid w:val="00AB42A7"/>
    <w:rsid w:val="00AB440D"/>
    <w:rsid w:val="00AB47F9"/>
    <w:rsid w:val="00AB4CE2"/>
    <w:rsid w:val="00AB4F94"/>
    <w:rsid w:val="00AB5047"/>
    <w:rsid w:val="00AB54F5"/>
    <w:rsid w:val="00AB576E"/>
    <w:rsid w:val="00AB5D43"/>
    <w:rsid w:val="00AB5F46"/>
    <w:rsid w:val="00AB6412"/>
    <w:rsid w:val="00AB6820"/>
    <w:rsid w:val="00AB6A38"/>
    <w:rsid w:val="00AB79DA"/>
    <w:rsid w:val="00AB7EBB"/>
    <w:rsid w:val="00AC00AF"/>
    <w:rsid w:val="00AC01D8"/>
    <w:rsid w:val="00AC1A3B"/>
    <w:rsid w:val="00AC259E"/>
    <w:rsid w:val="00AC28BA"/>
    <w:rsid w:val="00AC2E85"/>
    <w:rsid w:val="00AC30C2"/>
    <w:rsid w:val="00AC3271"/>
    <w:rsid w:val="00AC3781"/>
    <w:rsid w:val="00AC3CC6"/>
    <w:rsid w:val="00AC4605"/>
    <w:rsid w:val="00AC465D"/>
    <w:rsid w:val="00AC4969"/>
    <w:rsid w:val="00AC5581"/>
    <w:rsid w:val="00AC572F"/>
    <w:rsid w:val="00AC5B70"/>
    <w:rsid w:val="00AC6102"/>
    <w:rsid w:val="00AC62E3"/>
    <w:rsid w:val="00AC68EB"/>
    <w:rsid w:val="00AC6ADA"/>
    <w:rsid w:val="00AC74A7"/>
    <w:rsid w:val="00AC7B30"/>
    <w:rsid w:val="00AC7BC1"/>
    <w:rsid w:val="00AD02E9"/>
    <w:rsid w:val="00AD087E"/>
    <w:rsid w:val="00AD09C1"/>
    <w:rsid w:val="00AD0A21"/>
    <w:rsid w:val="00AD1286"/>
    <w:rsid w:val="00AD17B8"/>
    <w:rsid w:val="00AD1C94"/>
    <w:rsid w:val="00AD1EC2"/>
    <w:rsid w:val="00AD261E"/>
    <w:rsid w:val="00AD2863"/>
    <w:rsid w:val="00AD296A"/>
    <w:rsid w:val="00AD2C68"/>
    <w:rsid w:val="00AD2DD2"/>
    <w:rsid w:val="00AD2EEC"/>
    <w:rsid w:val="00AD33C7"/>
    <w:rsid w:val="00AD37D3"/>
    <w:rsid w:val="00AD3A67"/>
    <w:rsid w:val="00AD3AB6"/>
    <w:rsid w:val="00AD3E7E"/>
    <w:rsid w:val="00AD4278"/>
    <w:rsid w:val="00AD4806"/>
    <w:rsid w:val="00AD4953"/>
    <w:rsid w:val="00AD4FC0"/>
    <w:rsid w:val="00AD4FFB"/>
    <w:rsid w:val="00AD502B"/>
    <w:rsid w:val="00AD5769"/>
    <w:rsid w:val="00AD5E19"/>
    <w:rsid w:val="00AD6050"/>
    <w:rsid w:val="00AD6087"/>
    <w:rsid w:val="00AD6859"/>
    <w:rsid w:val="00AD6882"/>
    <w:rsid w:val="00AD68FA"/>
    <w:rsid w:val="00AD6BB9"/>
    <w:rsid w:val="00AD6E8F"/>
    <w:rsid w:val="00AD73A3"/>
    <w:rsid w:val="00AD7D6E"/>
    <w:rsid w:val="00AD7D96"/>
    <w:rsid w:val="00AE0175"/>
    <w:rsid w:val="00AE0276"/>
    <w:rsid w:val="00AE031B"/>
    <w:rsid w:val="00AE051C"/>
    <w:rsid w:val="00AE0C44"/>
    <w:rsid w:val="00AE18B4"/>
    <w:rsid w:val="00AE18DC"/>
    <w:rsid w:val="00AE1EF8"/>
    <w:rsid w:val="00AE1F47"/>
    <w:rsid w:val="00AE2103"/>
    <w:rsid w:val="00AE22B1"/>
    <w:rsid w:val="00AE260C"/>
    <w:rsid w:val="00AE2B7E"/>
    <w:rsid w:val="00AE2C21"/>
    <w:rsid w:val="00AE32EA"/>
    <w:rsid w:val="00AE33FF"/>
    <w:rsid w:val="00AE35B1"/>
    <w:rsid w:val="00AE3749"/>
    <w:rsid w:val="00AE3CED"/>
    <w:rsid w:val="00AE40D8"/>
    <w:rsid w:val="00AE4170"/>
    <w:rsid w:val="00AE43A1"/>
    <w:rsid w:val="00AE43F1"/>
    <w:rsid w:val="00AE4940"/>
    <w:rsid w:val="00AE4B5E"/>
    <w:rsid w:val="00AE5082"/>
    <w:rsid w:val="00AE5170"/>
    <w:rsid w:val="00AE52BC"/>
    <w:rsid w:val="00AE57C6"/>
    <w:rsid w:val="00AE5B6B"/>
    <w:rsid w:val="00AE5CDA"/>
    <w:rsid w:val="00AE5CF7"/>
    <w:rsid w:val="00AE60C6"/>
    <w:rsid w:val="00AE621C"/>
    <w:rsid w:val="00AE6D26"/>
    <w:rsid w:val="00AE6E50"/>
    <w:rsid w:val="00AE72BB"/>
    <w:rsid w:val="00AE72FA"/>
    <w:rsid w:val="00AE7597"/>
    <w:rsid w:val="00AE7D1F"/>
    <w:rsid w:val="00AF02B6"/>
    <w:rsid w:val="00AF074D"/>
    <w:rsid w:val="00AF1512"/>
    <w:rsid w:val="00AF1E38"/>
    <w:rsid w:val="00AF265D"/>
    <w:rsid w:val="00AF2A5C"/>
    <w:rsid w:val="00AF2D92"/>
    <w:rsid w:val="00AF37DB"/>
    <w:rsid w:val="00AF3B2C"/>
    <w:rsid w:val="00AF4354"/>
    <w:rsid w:val="00AF4952"/>
    <w:rsid w:val="00AF4C3C"/>
    <w:rsid w:val="00AF6460"/>
    <w:rsid w:val="00AF64F1"/>
    <w:rsid w:val="00AF664D"/>
    <w:rsid w:val="00AF67FE"/>
    <w:rsid w:val="00AF685B"/>
    <w:rsid w:val="00AF6B52"/>
    <w:rsid w:val="00AF6BFA"/>
    <w:rsid w:val="00AF6D44"/>
    <w:rsid w:val="00AF7E04"/>
    <w:rsid w:val="00B00A46"/>
    <w:rsid w:val="00B017AA"/>
    <w:rsid w:val="00B01D8A"/>
    <w:rsid w:val="00B01F17"/>
    <w:rsid w:val="00B01FDF"/>
    <w:rsid w:val="00B024CF"/>
    <w:rsid w:val="00B02C03"/>
    <w:rsid w:val="00B0323E"/>
    <w:rsid w:val="00B0329E"/>
    <w:rsid w:val="00B0358D"/>
    <w:rsid w:val="00B03ABB"/>
    <w:rsid w:val="00B03DED"/>
    <w:rsid w:val="00B03EA4"/>
    <w:rsid w:val="00B04379"/>
    <w:rsid w:val="00B04C09"/>
    <w:rsid w:val="00B05077"/>
    <w:rsid w:val="00B0610F"/>
    <w:rsid w:val="00B0639D"/>
    <w:rsid w:val="00B068AF"/>
    <w:rsid w:val="00B06A79"/>
    <w:rsid w:val="00B06E3A"/>
    <w:rsid w:val="00B07016"/>
    <w:rsid w:val="00B071B8"/>
    <w:rsid w:val="00B0797A"/>
    <w:rsid w:val="00B07BBE"/>
    <w:rsid w:val="00B102F4"/>
    <w:rsid w:val="00B105D7"/>
    <w:rsid w:val="00B10827"/>
    <w:rsid w:val="00B109AC"/>
    <w:rsid w:val="00B10DA2"/>
    <w:rsid w:val="00B110C0"/>
    <w:rsid w:val="00B11A32"/>
    <w:rsid w:val="00B11D78"/>
    <w:rsid w:val="00B11EBD"/>
    <w:rsid w:val="00B11EE9"/>
    <w:rsid w:val="00B12505"/>
    <w:rsid w:val="00B125DA"/>
    <w:rsid w:val="00B1267A"/>
    <w:rsid w:val="00B1273C"/>
    <w:rsid w:val="00B12C35"/>
    <w:rsid w:val="00B12DA2"/>
    <w:rsid w:val="00B1312A"/>
    <w:rsid w:val="00B131A7"/>
    <w:rsid w:val="00B13E03"/>
    <w:rsid w:val="00B13F4A"/>
    <w:rsid w:val="00B14266"/>
    <w:rsid w:val="00B14595"/>
    <w:rsid w:val="00B14AF5"/>
    <w:rsid w:val="00B14CD3"/>
    <w:rsid w:val="00B14F3C"/>
    <w:rsid w:val="00B15137"/>
    <w:rsid w:val="00B158AE"/>
    <w:rsid w:val="00B15E05"/>
    <w:rsid w:val="00B15E81"/>
    <w:rsid w:val="00B1606A"/>
    <w:rsid w:val="00B160CC"/>
    <w:rsid w:val="00B1668D"/>
    <w:rsid w:val="00B166BD"/>
    <w:rsid w:val="00B17726"/>
    <w:rsid w:val="00B177BE"/>
    <w:rsid w:val="00B17B15"/>
    <w:rsid w:val="00B17E8D"/>
    <w:rsid w:val="00B17F0E"/>
    <w:rsid w:val="00B1BC3F"/>
    <w:rsid w:val="00B20027"/>
    <w:rsid w:val="00B202EE"/>
    <w:rsid w:val="00B2042F"/>
    <w:rsid w:val="00B208EA"/>
    <w:rsid w:val="00B20E43"/>
    <w:rsid w:val="00B21705"/>
    <w:rsid w:val="00B21E60"/>
    <w:rsid w:val="00B22018"/>
    <w:rsid w:val="00B22632"/>
    <w:rsid w:val="00B2270F"/>
    <w:rsid w:val="00B22721"/>
    <w:rsid w:val="00B22750"/>
    <w:rsid w:val="00B2284F"/>
    <w:rsid w:val="00B22EB2"/>
    <w:rsid w:val="00B2369D"/>
    <w:rsid w:val="00B23B0B"/>
    <w:rsid w:val="00B23E46"/>
    <w:rsid w:val="00B24007"/>
    <w:rsid w:val="00B2402B"/>
    <w:rsid w:val="00B24445"/>
    <w:rsid w:val="00B24972"/>
    <w:rsid w:val="00B24CB4"/>
    <w:rsid w:val="00B24F59"/>
    <w:rsid w:val="00B24F63"/>
    <w:rsid w:val="00B25284"/>
    <w:rsid w:val="00B25495"/>
    <w:rsid w:val="00B257E1"/>
    <w:rsid w:val="00B2591B"/>
    <w:rsid w:val="00B25FE0"/>
    <w:rsid w:val="00B2612B"/>
    <w:rsid w:val="00B2641F"/>
    <w:rsid w:val="00B26528"/>
    <w:rsid w:val="00B268B2"/>
    <w:rsid w:val="00B26A30"/>
    <w:rsid w:val="00B26B79"/>
    <w:rsid w:val="00B26FA5"/>
    <w:rsid w:val="00B2732E"/>
    <w:rsid w:val="00B2742C"/>
    <w:rsid w:val="00B277E2"/>
    <w:rsid w:val="00B27CF0"/>
    <w:rsid w:val="00B30091"/>
    <w:rsid w:val="00B307CC"/>
    <w:rsid w:val="00B309CF"/>
    <w:rsid w:val="00B30A63"/>
    <w:rsid w:val="00B30A87"/>
    <w:rsid w:val="00B30E4E"/>
    <w:rsid w:val="00B30EC3"/>
    <w:rsid w:val="00B31754"/>
    <w:rsid w:val="00B3298A"/>
    <w:rsid w:val="00B329A1"/>
    <w:rsid w:val="00B33722"/>
    <w:rsid w:val="00B33A71"/>
    <w:rsid w:val="00B33D74"/>
    <w:rsid w:val="00B33D7B"/>
    <w:rsid w:val="00B33ED0"/>
    <w:rsid w:val="00B34496"/>
    <w:rsid w:val="00B3452C"/>
    <w:rsid w:val="00B347E0"/>
    <w:rsid w:val="00B34823"/>
    <w:rsid w:val="00B34F06"/>
    <w:rsid w:val="00B34F6F"/>
    <w:rsid w:val="00B35608"/>
    <w:rsid w:val="00B3574A"/>
    <w:rsid w:val="00B35CB3"/>
    <w:rsid w:val="00B35E7A"/>
    <w:rsid w:val="00B363FC"/>
    <w:rsid w:val="00B36A78"/>
    <w:rsid w:val="00B36AE0"/>
    <w:rsid w:val="00B36C13"/>
    <w:rsid w:val="00B37920"/>
    <w:rsid w:val="00B37E28"/>
    <w:rsid w:val="00B40102"/>
    <w:rsid w:val="00B406A7"/>
    <w:rsid w:val="00B40A8F"/>
    <w:rsid w:val="00B40B80"/>
    <w:rsid w:val="00B410FF"/>
    <w:rsid w:val="00B414FA"/>
    <w:rsid w:val="00B416B3"/>
    <w:rsid w:val="00B41ECB"/>
    <w:rsid w:val="00B41F4F"/>
    <w:rsid w:val="00B41FE7"/>
    <w:rsid w:val="00B42561"/>
    <w:rsid w:val="00B4260B"/>
    <w:rsid w:val="00B42699"/>
    <w:rsid w:val="00B42927"/>
    <w:rsid w:val="00B42CA8"/>
    <w:rsid w:val="00B430FD"/>
    <w:rsid w:val="00B431E5"/>
    <w:rsid w:val="00B431FA"/>
    <w:rsid w:val="00B43B5E"/>
    <w:rsid w:val="00B44B37"/>
    <w:rsid w:val="00B44D14"/>
    <w:rsid w:val="00B4515F"/>
    <w:rsid w:val="00B45ACF"/>
    <w:rsid w:val="00B45C25"/>
    <w:rsid w:val="00B467A7"/>
    <w:rsid w:val="00B468A7"/>
    <w:rsid w:val="00B4696B"/>
    <w:rsid w:val="00B46E69"/>
    <w:rsid w:val="00B4701B"/>
    <w:rsid w:val="00B4752E"/>
    <w:rsid w:val="00B477F1"/>
    <w:rsid w:val="00B50668"/>
    <w:rsid w:val="00B50F03"/>
    <w:rsid w:val="00B5115A"/>
    <w:rsid w:val="00B517E8"/>
    <w:rsid w:val="00B51D5C"/>
    <w:rsid w:val="00B51E0B"/>
    <w:rsid w:val="00B521E8"/>
    <w:rsid w:val="00B5240D"/>
    <w:rsid w:val="00B52881"/>
    <w:rsid w:val="00B52BC7"/>
    <w:rsid w:val="00B52CAC"/>
    <w:rsid w:val="00B534C6"/>
    <w:rsid w:val="00B53F16"/>
    <w:rsid w:val="00B542B4"/>
    <w:rsid w:val="00B5479A"/>
    <w:rsid w:val="00B547B2"/>
    <w:rsid w:val="00B54A38"/>
    <w:rsid w:val="00B54B85"/>
    <w:rsid w:val="00B54BDE"/>
    <w:rsid w:val="00B54BED"/>
    <w:rsid w:val="00B55659"/>
    <w:rsid w:val="00B55D3A"/>
    <w:rsid w:val="00B55E23"/>
    <w:rsid w:val="00B56682"/>
    <w:rsid w:val="00B56D71"/>
    <w:rsid w:val="00B57138"/>
    <w:rsid w:val="00B572C5"/>
    <w:rsid w:val="00B572CF"/>
    <w:rsid w:val="00B574E5"/>
    <w:rsid w:val="00B57969"/>
    <w:rsid w:val="00B57A93"/>
    <w:rsid w:val="00B60026"/>
    <w:rsid w:val="00B6015F"/>
    <w:rsid w:val="00B60458"/>
    <w:rsid w:val="00B61066"/>
    <w:rsid w:val="00B61956"/>
    <w:rsid w:val="00B61978"/>
    <w:rsid w:val="00B61FC0"/>
    <w:rsid w:val="00B62378"/>
    <w:rsid w:val="00B633ED"/>
    <w:rsid w:val="00B63881"/>
    <w:rsid w:val="00B63A18"/>
    <w:rsid w:val="00B6413F"/>
    <w:rsid w:val="00B644C0"/>
    <w:rsid w:val="00B645E3"/>
    <w:rsid w:val="00B6489B"/>
    <w:rsid w:val="00B64D31"/>
    <w:rsid w:val="00B64F15"/>
    <w:rsid w:val="00B64F16"/>
    <w:rsid w:val="00B65D9A"/>
    <w:rsid w:val="00B65DFC"/>
    <w:rsid w:val="00B661CD"/>
    <w:rsid w:val="00B66308"/>
    <w:rsid w:val="00B6652B"/>
    <w:rsid w:val="00B66796"/>
    <w:rsid w:val="00B66F94"/>
    <w:rsid w:val="00B6737B"/>
    <w:rsid w:val="00B678BB"/>
    <w:rsid w:val="00B70BCE"/>
    <w:rsid w:val="00B71659"/>
    <w:rsid w:val="00B722FD"/>
    <w:rsid w:val="00B7266B"/>
    <w:rsid w:val="00B72D1D"/>
    <w:rsid w:val="00B73313"/>
    <w:rsid w:val="00B743E5"/>
    <w:rsid w:val="00B7465C"/>
    <w:rsid w:val="00B749A4"/>
    <w:rsid w:val="00B74D6B"/>
    <w:rsid w:val="00B74E82"/>
    <w:rsid w:val="00B75276"/>
    <w:rsid w:val="00B75568"/>
    <w:rsid w:val="00B75634"/>
    <w:rsid w:val="00B75C2B"/>
    <w:rsid w:val="00B7682D"/>
    <w:rsid w:val="00B77A0C"/>
    <w:rsid w:val="00B77A13"/>
    <w:rsid w:val="00B77DBA"/>
    <w:rsid w:val="00B77E29"/>
    <w:rsid w:val="00B80059"/>
    <w:rsid w:val="00B80741"/>
    <w:rsid w:val="00B80A47"/>
    <w:rsid w:val="00B80AD4"/>
    <w:rsid w:val="00B80B81"/>
    <w:rsid w:val="00B81AEC"/>
    <w:rsid w:val="00B81B9D"/>
    <w:rsid w:val="00B820E9"/>
    <w:rsid w:val="00B82412"/>
    <w:rsid w:val="00B825EA"/>
    <w:rsid w:val="00B82B83"/>
    <w:rsid w:val="00B833AF"/>
    <w:rsid w:val="00B8351A"/>
    <w:rsid w:val="00B83B89"/>
    <w:rsid w:val="00B83E2D"/>
    <w:rsid w:val="00B83FC6"/>
    <w:rsid w:val="00B84A91"/>
    <w:rsid w:val="00B85094"/>
    <w:rsid w:val="00B8590B"/>
    <w:rsid w:val="00B85EEA"/>
    <w:rsid w:val="00B86066"/>
    <w:rsid w:val="00B860E9"/>
    <w:rsid w:val="00B86320"/>
    <w:rsid w:val="00B86910"/>
    <w:rsid w:val="00B86AB5"/>
    <w:rsid w:val="00B87122"/>
    <w:rsid w:val="00B87164"/>
    <w:rsid w:val="00B872E2"/>
    <w:rsid w:val="00B875E5"/>
    <w:rsid w:val="00B87AC1"/>
    <w:rsid w:val="00B87B3E"/>
    <w:rsid w:val="00B87C17"/>
    <w:rsid w:val="00B87F59"/>
    <w:rsid w:val="00B9019D"/>
    <w:rsid w:val="00B906FD"/>
    <w:rsid w:val="00B9094A"/>
    <w:rsid w:val="00B90A25"/>
    <w:rsid w:val="00B91115"/>
    <w:rsid w:val="00B911E8"/>
    <w:rsid w:val="00B913B7"/>
    <w:rsid w:val="00B91578"/>
    <w:rsid w:val="00B915DC"/>
    <w:rsid w:val="00B916A9"/>
    <w:rsid w:val="00B91724"/>
    <w:rsid w:val="00B91806"/>
    <w:rsid w:val="00B91B03"/>
    <w:rsid w:val="00B9218E"/>
    <w:rsid w:val="00B92B6A"/>
    <w:rsid w:val="00B92C14"/>
    <w:rsid w:val="00B92C52"/>
    <w:rsid w:val="00B92D86"/>
    <w:rsid w:val="00B936F2"/>
    <w:rsid w:val="00B937B4"/>
    <w:rsid w:val="00B93A06"/>
    <w:rsid w:val="00B93AE7"/>
    <w:rsid w:val="00B93F7E"/>
    <w:rsid w:val="00B944C4"/>
    <w:rsid w:val="00B945D9"/>
    <w:rsid w:val="00B94870"/>
    <w:rsid w:val="00B94909"/>
    <w:rsid w:val="00B95580"/>
    <w:rsid w:val="00B9602D"/>
    <w:rsid w:val="00B9658A"/>
    <w:rsid w:val="00B96F3F"/>
    <w:rsid w:val="00B9758E"/>
    <w:rsid w:val="00B975BF"/>
    <w:rsid w:val="00B976A0"/>
    <w:rsid w:val="00B97811"/>
    <w:rsid w:val="00B97988"/>
    <w:rsid w:val="00BA066D"/>
    <w:rsid w:val="00BA0808"/>
    <w:rsid w:val="00BA0DC7"/>
    <w:rsid w:val="00BA116F"/>
    <w:rsid w:val="00BA126B"/>
    <w:rsid w:val="00BA1410"/>
    <w:rsid w:val="00BA2239"/>
    <w:rsid w:val="00BA2659"/>
    <w:rsid w:val="00BA2817"/>
    <w:rsid w:val="00BA2CA5"/>
    <w:rsid w:val="00BA339F"/>
    <w:rsid w:val="00BA3ACC"/>
    <w:rsid w:val="00BA46E0"/>
    <w:rsid w:val="00BA4741"/>
    <w:rsid w:val="00BA5361"/>
    <w:rsid w:val="00BA5671"/>
    <w:rsid w:val="00BA58A9"/>
    <w:rsid w:val="00BA5C04"/>
    <w:rsid w:val="00BA68A1"/>
    <w:rsid w:val="00BA6EAE"/>
    <w:rsid w:val="00BA7230"/>
    <w:rsid w:val="00BA75B9"/>
    <w:rsid w:val="00BA76C1"/>
    <w:rsid w:val="00BA78D5"/>
    <w:rsid w:val="00BA9654"/>
    <w:rsid w:val="00BAE29C"/>
    <w:rsid w:val="00BB06E2"/>
    <w:rsid w:val="00BB09DA"/>
    <w:rsid w:val="00BB0A14"/>
    <w:rsid w:val="00BB12D9"/>
    <w:rsid w:val="00BB16E0"/>
    <w:rsid w:val="00BB199E"/>
    <w:rsid w:val="00BB1CDA"/>
    <w:rsid w:val="00BB2244"/>
    <w:rsid w:val="00BB2286"/>
    <w:rsid w:val="00BB2390"/>
    <w:rsid w:val="00BB2611"/>
    <w:rsid w:val="00BB29E5"/>
    <w:rsid w:val="00BB3152"/>
    <w:rsid w:val="00BB3159"/>
    <w:rsid w:val="00BB3772"/>
    <w:rsid w:val="00BB3DA5"/>
    <w:rsid w:val="00BB3E10"/>
    <w:rsid w:val="00BB3E70"/>
    <w:rsid w:val="00BB4861"/>
    <w:rsid w:val="00BB4D8C"/>
    <w:rsid w:val="00BB57D1"/>
    <w:rsid w:val="00BB6069"/>
    <w:rsid w:val="00BB63D4"/>
    <w:rsid w:val="00BB6516"/>
    <w:rsid w:val="00BB6763"/>
    <w:rsid w:val="00BB67C1"/>
    <w:rsid w:val="00BB6B67"/>
    <w:rsid w:val="00BB6DE9"/>
    <w:rsid w:val="00BB717F"/>
    <w:rsid w:val="00BB7201"/>
    <w:rsid w:val="00BB7783"/>
    <w:rsid w:val="00BB77FF"/>
    <w:rsid w:val="00BC0340"/>
    <w:rsid w:val="00BC09C3"/>
    <w:rsid w:val="00BC0B3A"/>
    <w:rsid w:val="00BC0B54"/>
    <w:rsid w:val="00BC0BD9"/>
    <w:rsid w:val="00BC0DB9"/>
    <w:rsid w:val="00BC116D"/>
    <w:rsid w:val="00BC1E19"/>
    <w:rsid w:val="00BC1FD8"/>
    <w:rsid w:val="00BC20D6"/>
    <w:rsid w:val="00BC2472"/>
    <w:rsid w:val="00BC249A"/>
    <w:rsid w:val="00BC3084"/>
    <w:rsid w:val="00BC3299"/>
    <w:rsid w:val="00BC38D0"/>
    <w:rsid w:val="00BC3AA4"/>
    <w:rsid w:val="00BC3FE2"/>
    <w:rsid w:val="00BC4290"/>
    <w:rsid w:val="00BC4313"/>
    <w:rsid w:val="00BC448D"/>
    <w:rsid w:val="00BC4F40"/>
    <w:rsid w:val="00BC5245"/>
    <w:rsid w:val="00BC555B"/>
    <w:rsid w:val="00BC57E6"/>
    <w:rsid w:val="00BC5880"/>
    <w:rsid w:val="00BC58B4"/>
    <w:rsid w:val="00BC5965"/>
    <w:rsid w:val="00BC5BB3"/>
    <w:rsid w:val="00BC66AB"/>
    <w:rsid w:val="00BC689E"/>
    <w:rsid w:val="00BC6D15"/>
    <w:rsid w:val="00BC70E8"/>
    <w:rsid w:val="00BC72C5"/>
    <w:rsid w:val="00BC72FC"/>
    <w:rsid w:val="00BC740D"/>
    <w:rsid w:val="00BD041A"/>
    <w:rsid w:val="00BD0600"/>
    <w:rsid w:val="00BD0933"/>
    <w:rsid w:val="00BD118A"/>
    <w:rsid w:val="00BD14B2"/>
    <w:rsid w:val="00BD191F"/>
    <w:rsid w:val="00BD1ACA"/>
    <w:rsid w:val="00BD2732"/>
    <w:rsid w:val="00BD2770"/>
    <w:rsid w:val="00BD2CA5"/>
    <w:rsid w:val="00BD2E32"/>
    <w:rsid w:val="00BD310B"/>
    <w:rsid w:val="00BD31DF"/>
    <w:rsid w:val="00BD36CC"/>
    <w:rsid w:val="00BD3719"/>
    <w:rsid w:val="00BD373A"/>
    <w:rsid w:val="00BD3E37"/>
    <w:rsid w:val="00BD3F19"/>
    <w:rsid w:val="00BD3FC2"/>
    <w:rsid w:val="00BD3FE7"/>
    <w:rsid w:val="00BD4227"/>
    <w:rsid w:val="00BD4274"/>
    <w:rsid w:val="00BD4708"/>
    <w:rsid w:val="00BD4939"/>
    <w:rsid w:val="00BD4E5D"/>
    <w:rsid w:val="00BD4F13"/>
    <w:rsid w:val="00BD5035"/>
    <w:rsid w:val="00BD50BB"/>
    <w:rsid w:val="00BD555C"/>
    <w:rsid w:val="00BD591B"/>
    <w:rsid w:val="00BD5927"/>
    <w:rsid w:val="00BD594A"/>
    <w:rsid w:val="00BD5990"/>
    <w:rsid w:val="00BD5AF1"/>
    <w:rsid w:val="00BD6460"/>
    <w:rsid w:val="00BD6648"/>
    <w:rsid w:val="00BD7132"/>
    <w:rsid w:val="00BD7250"/>
    <w:rsid w:val="00BD76EE"/>
    <w:rsid w:val="00BD775E"/>
    <w:rsid w:val="00BD7799"/>
    <w:rsid w:val="00BD7886"/>
    <w:rsid w:val="00BD7C7E"/>
    <w:rsid w:val="00BE01DE"/>
    <w:rsid w:val="00BE032C"/>
    <w:rsid w:val="00BE085C"/>
    <w:rsid w:val="00BE0E2D"/>
    <w:rsid w:val="00BE0FDD"/>
    <w:rsid w:val="00BE0FFC"/>
    <w:rsid w:val="00BE1973"/>
    <w:rsid w:val="00BE1F8A"/>
    <w:rsid w:val="00BE238E"/>
    <w:rsid w:val="00BE2564"/>
    <w:rsid w:val="00BE2924"/>
    <w:rsid w:val="00BE2D5A"/>
    <w:rsid w:val="00BE2DEB"/>
    <w:rsid w:val="00BE30EF"/>
    <w:rsid w:val="00BE34A2"/>
    <w:rsid w:val="00BE359E"/>
    <w:rsid w:val="00BE363D"/>
    <w:rsid w:val="00BE3D09"/>
    <w:rsid w:val="00BE3D77"/>
    <w:rsid w:val="00BE3E27"/>
    <w:rsid w:val="00BE3FE5"/>
    <w:rsid w:val="00BE4268"/>
    <w:rsid w:val="00BE44B3"/>
    <w:rsid w:val="00BE464F"/>
    <w:rsid w:val="00BE472D"/>
    <w:rsid w:val="00BE4DF3"/>
    <w:rsid w:val="00BE534B"/>
    <w:rsid w:val="00BE53AA"/>
    <w:rsid w:val="00BE6076"/>
    <w:rsid w:val="00BE6105"/>
    <w:rsid w:val="00BE6277"/>
    <w:rsid w:val="00BE63A3"/>
    <w:rsid w:val="00BE6759"/>
    <w:rsid w:val="00BE67E7"/>
    <w:rsid w:val="00BE6B93"/>
    <w:rsid w:val="00BE73FF"/>
    <w:rsid w:val="00BE7719"/>
    <w:rsid w:val="00BE7BDD"/>
    <w:rsid w:val="00BE7EB3"/>
    <w:rsid w:val="00BE7ED3"/>
    <w:rsid w:val="00BEBE7C"/>
    <w:rsid w:val="00BF0008"/>
    <w:rsid w:val="00BF0287"/>
    <w:rsid w:val="00BF0463"/>
    <w:rsid w:val="00BF0536"/>
    <w:rsid w:val="00BF092F"/>
    <w:rsid w:val="00BF0B36"/>
    <w:rsid w:val="00BF0F87"/>
    <w:rsid w:val="00BF1641"/>
    <w:rsid w:val="00BF1868"/>
    <w:rsid w:val="00BF1B2D"/>
    <w:rsid w:val="00BF20B3"/>
    <w:rsid w:val="00BF247E"/>
    <w:rsid w:val="00BF2483"/>
    <w:rsid w:val="00BF2B38"/>
    <w:rsid w:val="00BF2D5C"/>
    <w:rsid w:val="00BF325B"/>
    <w:rsid w:val="00BF37AC"/>
    <w:rsid w:val="00BF3E0A"/>
    <w:rsid w:val="00BF430D"/>
    <w:rsid w:val="00BF4B4D"/>
    <w:rsid w:val="00BF4B81"/>
    <w:rsid w:val="00BF602E"/>
    <w:rsid w:val="00BF676D"/>
    <w:rsid w:val="00BF67FE"/>
    <w:rsid w:val="00BF74F3"/>
    <w:rsid w:val="00BF76FA"/>
    <w:rsid w:val="00BF79C3"/>
    <w:rsid w:val="00BF7B8E"/>
    <w:rsid w:val="00C00487"/>
    <w:rsid w:val="00C0052B"/>
    <w:rsid w:val="00C006DE"/>
    <w:rsid w:val="00C00813"/>
    <w:rsid w:val="00C00D66"/>
    <w:rsid w:val="00C0134D"/>
    <w:rsid w:val="00C016F8"/>
    <w:rsid w:val="00C022B6"/>
    <w:rsid w:val="00C0248A"/>
    <w:rsid w:val="00C025E6"/>
    <w:rsid w:val="00C025FC"/>
    <w:rsid w:val="00C02830"/>
    <w:rsid w:val="00C02AFE"/>
    <w:rsid w:val="00C02BA9"/>
    <w:rsid w:val="00C02BC8"/>
    <w:rsid w:val="00C02D69"/>
    <w:rsid w:val="00C033DD"/>
    <w:rsid w:val="00C036B4"/>
    <w:rsid w:val="00C03B3F"/>
    <w:rsid w:val="00C03BE3"/>
    <w:rsid w:val="00C03D59"/>
    <w:rsid w:val="00C05201"/>
    <w:rsid w:val="00C053BE"/>
    <w:rsid w:val="00C0546B"/>
    <w:rsid w:val="00C06447"/>
    <w:rsid w:val="00C06852"/>
    <w:rsid w:val="00C06A1C"/>
    <w:rsid w:val="00C06F68"/>
    <w:rsid w:val="00C0717D"/>
    <w:rsid w:val="00C0766B"/>
    <w:rsid w:val="00C07B22"/>
    <w:rsid w:val="00C0BD2B"/>
    <w:rsid w:val="00C1035F"/>
    <w:rsid w:val="00C1046F"/>
    <w:rsid w:val="00C10F00"/>
    <w:rsid w:val="00C11014"/>
    <w:rsid w:val="00C110D0"/>
    <w:rsid w:val="00C1132D"/>
    <w:rsid w:val="00C1181B"/>
    <w:rsid w:val="00C11ABA"/>
    <w:rsid w:val="00C11BA2"/>
    <w:rsid w:val="00C11E5F"/>
    <w:rsid w:val="00C12381"/>
    <w:rsid w:val="00C1252A"/>
    <w:rsid w:val="00C1271D"/>
    <w:rsid w:val="00C128A1"/>
    <w:rsid w:val="00C134B8"/>
    <w:rsid w:val="00C13CE6"/>
    <w:rsid w:val="00C13D7C"/>
    <w:rsid w:val="00C14552"/>
    <w:rsid w:val="00C14903"/>
    <w:rsid w:val="00C14A19"/>
    <w:rsid w:val="00C14ABD"/>
    <w:rsid w:val="00C14CB5"/>
    <w:rsid w:val="00C14E93"/>
    <w:rsid w:val="00C14F35"/>
    <w:rsid w:val="00C1525C"/>
    <w:rsid w:val="00C15B5B"/>
    <w:rsid w:val="00C161E7"/>
    <w:rsid w:val="00C16367"/>
    <w:rsid w:val="00C167D8"/>
    <w:rsid w:val="00C16A51"/>
    <w:rsid w:val="00C176D1"/>
    <w:rsid w:val="00C179A1"/>
    <w:rsid w:val="00C17AAF"/>
    <w:rsid w:val="00C20609"/>
    <w:rsid w:val="00C20BB3"/>
    <w:rsid w:val="00C20C74"/>
    <w:rsid w:val="00C21734"/>
    <w:rsid w:val="00C22060"/>
    <w:rsid w:val="00C2232D"/>
    <w:rsid w:val="00C224B4"/>
    <w:rsid w:val="00C2281F"/>
    <w:rsid w:val="00C22DFD"/>
    <w:rsid w:val="00C23E5D"/>
    <w:rsid w:val="00C23E61"/>
    <w:rsid w:val="00C2444F"/>
    <w:rsid w:val="00C24801"/>
    <w:rsid w:val="00C24833"/>
    <w:rsid w:val="00C248AB"/>
    <w:rsid w:val="00C24969"/>
    <w:rsid w:val="00C25088"/>
    <w:rsid w:val="00C2535E"/>
    <w:rsid w:val="00C2587C"/>
    <w:rsid w:val="00C25886"/>
    <w:rsid w:val="00C25977"/>
    <w:rsid w:val="00C25C22"/>
    <w:rsid w:val="00C25CBB"/>
    <w:rsid w:val="00C25D86"/>
    <w:rsid w:val="00C26880"/>
    <w:rsid w:val="00C26A96"/>
    <w:rsid w:val="00C26B5A"/>
    <w:rsid w:val="00C26DD6"/>
    <w:rsid w:val="00C26EA5"/>
    <w:rsid w:val="00C274FE"/>
    <w:rsid w:val="00C279C9"/>
    <w:rsid w:val="00C27A96"/>
    <w:rsid w:val="00C27B49"/>
    <w:rsid w:val="00C30468"/>
    <w:rsid w:val="00C307EE"/>
    <w:rsid w:val="00C30CF2"/>
    <w:rsid w:val="00C317D0"/>
    <w:rsid w:val="00C317F6"/>
    <w:rsid w:val="00C31926"/>
    <w:rsid w:val="00C321D3"/>
    <w:rsid w:val="00C324D6"/>
    <w:rsid w:val="00C32A1D"/>
    <w:rsid w:val="00C32D1C"/>
    <w:rsid w:val="00C32FB2"/>
    <w:rsid w:val="00C333EC"/>
    <w:rsid w:val="00C33A89"/>
    <w:rsid w:val="00C33DE7"/>
    <w:rsid w:val="00C34B2A"/>
    <w:rsid w:val="00C34FE2"/>
    <w:rsid w:val="00C358E4"/>
    <w:rsid w:val="00C35AEF"/>
    <w:rsid w:val="00C35FAD"/>
    <w:rsid w:val="00C35FD5"/>
    <w:rsid w:val="00C3605F"/>
    <w:rsid w:val="00C36074"/>
    <w:rsid w:val="00C360C6"/>
    <w:rsid w:val="00C3663D"/>
    <w:rsid w:val="00C37140"/>
    <w:rsid w:val="00C37A68"/>
    <w:rsid w:val="00C37EFE"/>
    <w:rsid w:val="00C40199"/>
    <w:rsid w:val="00C4037A"/>
    <w:rsid w:val="00C4062E"/>
    <w:rsid w:val="00C40810"/>
    <w:rsid w:val="00C40B61"/>
    <w:rsid w:val="00C40C44"/>
    <w:rsid w:val="00C40D24"/>
    <w:rsid w:val="00C40E04"/>
    <w:rsid w:val="00C415E1"/>
    <w:rsid w:val="00C416D1"/>
    <w:rsid w:val="00C417BC"/>
    <w:rsid w:val="00C41F4C"/>
    <w:rsid w:val="00C4214D"/>
    <w:rsid w:val="00C4234C"/>
    <w:rsid w:val="00C426B9"/>
    <w:rsid w:val="00C427E0"/>
    <w:rsid w:val="00C437A9"/>
    <w:rsid w:val="00C446A6"/>
    <w:rsid w:val="00C44AAA"/>
    <w:rsid w:val="00C44DDC"/>
    <w:rsid w:val="00C450B3"/>
    <w:rsid w:val="00C45175"/>
    <w:rsid w:val="00C45D78"/>
    <w:rsid w:val="00C45D84"/>
    <w:rsid w:val="00C45E05"/>
    <w:rsid w:val="00C45F9A"/>
    <w:rsid w:val="00C46352"/>
    <w:rsid w:val="00C478AF"/>
    <w:rsid w:val="00C47E2B"/>
    <w:rsid w:val="00C47FCE"/>
    <w:rsid w:val="00C502B9"/>
    <w:rsid w:val="00C502DC"/>
    <w:rsid w:val="00C503FD"/>
    <w:rsid w:val="00C505FA"/>
    <w:rsid w:val="00C5066E"/>
    <w:rsid w:val="00C50B31"/>
    <w:rsid w:val="00C50B3A"/>
    <w:rsid w:val="00C50D96"/>
    <w:rsid w:val="00C51709"/>
    <w:rsid w:val="00C519EF"/>
    <w:rsid w:val="00C51C15"/>
    <w:rsid w:val="00C51D49"/>
    <w:rsid w:val="00C51E31"/>
    <w:rsid w:val="00C52571"/>
    <w:rsid w:val="00C52580"/>
    <w:rsid w:val="00C52871"/>
    <w:rsid w:val="00C529E3"/>
    <w:rsid w:val="00C52B41"/>
    <w:rsid w:val="00C52BB6"/>
    <w:rsid w:val="00C53291"/>
    <w:rsid w:val="00C532F5"/>
    <w:rsid w:val="00C54199"/>
    <w:rsid w:val="00C551BD"/>
    <w:rsid w:val="00C5583E"/>
    <w:rsid w:val="00C559ED"/>
    <w:rsid w:val="00C56063"/>
    <w:rsid w:val="00C560D0"/>
    <w:rsid w:val="00C56200"/>
    <w:rsid w:val="00C564AC"/>
    <w:rsid w:val="00C5676A"/>
    <w:rsid w:val="00C56A11"/>
    <w:rsid w:val="00C56C11"/>
    <w:rsid w:val="00C57062"/>
    <w:rsid w:val="00C570BC"/>
    <w:rsid w:val="00C57358"/>
    <w:rsid w:val="00C57C07"/>
    <w:rsid w:val="00C60166"/>
    <w:rsid w:val="00C602C7"/>
    <w:rsid w:val="00C6072B"/>
    <w:rsid w:val="00C6077A"/>
    <w:rsid w:val="00C607D4"/>
    <w:rsid w:val="00C60884"/>
    <w:rsid w:val="00C60AAD"/>
    <w:rsid w:val="00C611CE"/>
    <w:rsid w:val="00C613D8"/>
    <w:rsid w:val="00C616D8"/>
    <w:rsid w:val="00C61CE5"/>
    <w:rsid w:val="00C61E6D"/>
    <w:rsid w:val="00C626EF"/>
    <w:rsid w:val="00C62A2D"/>
    <w:rsid w:val="00C62D6C"/>
    <w:rsid w:val="00C6346E"/>
    <w:rsid w:val="00C634DB"/>
    <w:rsid w:val="00C636B2"/>
    <w:rsid w:val="00C63919"/>
    <w:rsid w:val="00C6416C"/>
    <w:rsid w:val="00C6422A"/>
    <w:rsid w:val="00C642ED"/>
    <w:rsid w:val="00C64D34"/>
    <w:rsid w:val="00C650CA"/>
    <w:rsid w:val="00C653EC"/>
    <w:rsid w:val="00C653F0"/>
    <w:rsid w:val="00C65AF2"/>
    <w:rsid w:val="00C6667A"/>
    <w:rsid w:val="00C66775"/>
    <w:rsid w:val="00C66CA2"/>
    <w:rsid w:val="00C67048"/>
    <w:rsid w:val="00C671B9"/>
    <w:rsid w:val="00C673A4"/>
    <w:rsid w:val="00C675CD"/>
    <w:rsid w:val="00C6793F"/>
    <w:rsid w:val="00C703FE"/>
    <w:rsid w:val="00C709FA"/>
    <w:rsid w:val="00C70AB4"/>
    <w:rsid w:val="00C70C63"/>
    <w:rsid w:val="00C70E0E"/>
    <w:rsid w:val="00C7107D"/>
    <w:rsid w:val="00C71221"/>
    <w:rsid w:val="00C7168F"/>
    <w:rsid w:val="00C718DF"/>
    <w:rsid w:val="00C71CD2"/>
    <w:rsid w:val="00C71DB6"/>
    <w:rsid w:val="00C71EB7"/>
    <w:rsid w:val="00C71FE4"/>
    <w:rsid w:val="00C72700"/>
    <w:rsid w:val="00C733E0"/>
    <w:rsid w:val="00C73462"/>
    <w:rsid w:val="00C73834"/>
    <w:rsid w:val="00C738A5"/>
    <w:rsid w:val="00C740F0"/>
    <w:rsid w:val="00C74141"/>
    <w:rsid w:val="00C74752"/>
    <w:rsid w:val="00C748B0"/>
    <w:rsid w:val="00C7530D"/>
    <w:rsid w:val="00C75693"/>
    <w:rsid w:val="00C763B1"/>
    <w:rsid w:val="00C767B7"/>
    <w:rsid w:val="00C7683A"/>
    <w:rsid w:val="00C7683D"/>
    <w:rsid w:val="00C76E5A"/>
    <w:rsid w:val="00C77108"/>
    <w:rsid w:val="00C7718E"/>
    <w:rsid w:val="00C7739D"/>
    <w:rsid w:val="00C776F2"/>
    <w:rsid w:val="00C8012A"/>
    <w:rsid w:val="00C8014C"/>
    <w:rsid w:val="00C802A4"/>
    <w:rsid w:val="00C80969"/>
    <w:rsid w:val="00C80B04"/>
    <w:rsid w:val="00C80C2F"/>
    <w:rsid w:val="00C80EC1"/>
    <w:rsid w:val="00C80F40"/>
    <w:rsid w:val="00C81862"/>
    <w:rsid w:val="00C81984"/>
    <w:rsid w:val="00C81A35"/>
    <w:rsid w:val="00C81DD9"/>
    <w:rsid w:val="00C820FC"/>
    <w:rsid w:val="00C83ACE"/>
    <w:rsid w:val="00C83BCA"/>
    <w:rsid w:val="00C841FD"/>
    <w:rsid w:val="00C84360"/>
    <w:rsid w:val="00C849B1"/>
    <w:rsid w:val="00C852C8"/>
    <w:rsid w:val="00C85625"/>
    <w:rsid w:val="00C857D3"/>
    <w:rsid w:val="00C86287"/>
    <w:rsid w:val="00C86393"/>
    <w:rsid w:val="00C86732"/>
    <w:rsid w:val="00C86E0B"/>
    <w:rsid w:val="00C871FD"/>
    <w:rsid w:val="00C87CB6"/>
    <w:rsid w:val="00C87CBB"/>
    <w:rsid w:val="00C87E79"/>
    <w:rsid w:val="00C901E0"/>
    <w:rsid w:val="00C9059B"/>
    <w:rsid w:val="00C91592"/>
    <w:rsid w:val="00C92C7E"/>
    <w:rsid w:val="00C92CAB"/>
    <w:rsid w:val="00C93212"/>
    <w:rsid w:val="00C93400"/>
    <w:rsid w:val="00C93487"/>
    <w:rsid w:val="00C9368B"/>
    <w:rsid w:val="00C94228"/>
    <w:rsid w:val="00C942C6"/>
    <w:rsid w:val="00C9432F"/>
    <w:rsid w:val="00C94581"/>
    <w:rsid w:val="00C949FF"/>
    <w:rsid w:val="00C94D73"/>
    <w:rsid w:val="00C9532B"/>
    <w:rsid w:val="00C95607"/>
    <w:rsid w:val="00C959B6"/>
    <w:rsid w:val="00C95BE1"/>
    <w:rsid w:val="00C95FBF"/>
    <w:rsid w:val="00C96011"/>
    <w:rsid w:val="00C96479"/>
    <w:rsid w:val="00C96520"/>
    <w:rsid w:val="00C967E3"/>
    <w:rsid w:val="00C97793"/>
    <w:rsid w:val="00C978D8"/>
    <w:rsid w:val="00C97B89"/>
    <w:rsid w:val="00CA007C"/>
    <w:rsid w:val="00CA009B"/>
    <w:rsid w:val="00CA0647"/>
    <w:rsid w:val="00CA0F8C"/>
    <w:rsid w:val="00CA1F79"/>
    <w:rsid w:val="00CA21EE"/>
    <w:rsid w:val="00CA3002"/>
    <w:rsid w:val="00CA300E"/>
    <w:rsid w:val="00CA3122"/>
    <w:rsid w:val="00CA3241"/>
    <w:rsid w:val="00CA3AFF"/>
    <w:rsid w:val="00CA3CD2"/>
    <w:rsid w:val="00CA3E33"/>
    <w:rsid w:val="00CA400D"/>
    <w:rsid w:val="00CA478C"/>
    <w:rsid w:val="00CA47D3"/>
    <w:rsid w:val="00CA4A2E"/>
    <w:rsid w:val="00CA4B3F"/>
    <w:rsid w:val="00CA4D7C"/>
    <w:rsid w:val="00CA5C6A"/>
    <w:rsid w:val="00CA5D96"/>
    <w:rsid w:val="00CA5EE7"/>
    <w:rsid w:val="00CA780B"/>
    <w:rsid w:val="00CB0104"/>
    <w:rsid w:val="00CB0D09"/>
    <w:rsid w:val="00CB0DB1"/>
    <w:rsid w:val="00CB0F8F"/>
    <w:rsid w:val="00CB17EB"/>
    <w:rsid w:val="00CB1EA0"/>
    <w:rsid w:val="00CB2202"/>
    <w:rsid w:val="00CB250F"/>
    <w:rsid w:val="00CB2998"/>
    <w:rsid w:val="00CB299B"/>
    <w:rsid w:val="00CB2A9A"/>
    <w:rsid w:val="00CB318C"/>
    <w:rsid w:val="00CB32BE"/>
    <w:rsid w:val="00CB3327"/>
    <w:rsid w:val="00CB3427"/>
    <w:rsid w:val="00CB37C9"/>
    <w:rsid w:val="00CB38CC"/>
    <w:rsid w:val="00CB3C71"/>
    <w:rsid w:val="00CB3D70"/>
    <w:rsid w:val="00CB3D84"/>
    <w:rsid w:val="00CB3E99"/>
    <w:rsid w:val="00CB4260"/>
    <w:rsid w:val="00CB496B"/>
    <w:rsid w:val="00CB4A73"/>
    <w:rsid w:val="00CB4B2F"/>
    <w:rsid w:val="00CB4BD4"/>
    <w:rsid w:val="00CB560B"/>
    <w:rsid w:val="00CB583B"/>
    <w:rsid w:val="00CB58B1"/>
    <w:rsid w:val="00CB64C9"/>
    <w:rsid w:val="00CB6567"/>
    <w:rsid w:val="00CB6A42"/>
    <w:rsid w:val="00CB6F4D"/>
    <w:rsid w:val="00CB7A4A"/>
    <w:rsid w:val="00CC046B"/>
    <w:rsid w:val="00CC0B75"/>
    <w:rsid w:val="00CC0C43"/>
    <w:rsid w:val="00CC102F"/>
    <w:rsid w:val="00CC112C"/>
    <w:rsid w:val="00CC12CD"/>
    <w:rsid w:val="00CC17A7"/>
    <w:rsid w:val="00CC1C70"/>
    <w:rsid w:val="00CC1C8B"/>
    <w:rsid w:val="00CC1E4F"/>
    <w:rsid w:val="00CC1E5B"/>
    <w:rsid w:val="00CC2684"/>
    <w:rsid w:val="00CC2B16"/>
    <w:rsid w:val="00CC2BE0"/>
    <w:rsid w:val="00CC3282"/>
    <w:rsid w:val="00CC32B1"/>
    <w:rsid w:val="00CC3394"/>
    <w:rsid w:val="00CC3541"/>
    <w:rsid w:val="00CC35B2"/>
    <w:rsid w:val="00CC37E6"/>
    <w:rsid w:val="00CC3A9B"/>
    <w:rsid w:val="00CC3E49"/>
    <w:rsid w:val="00CC3F42"/>
    <w:rsid w:val="00CC4271"/>
    <w:rsid w:val="00CC4272"/>
    <w:rsid w:val="00CC4726"/>
    <w:rsid w:val="00CC47CF"/>
    <w:rsid w:val="00CC4AF3"/>
    <w:rsid w:val="00CC5092"/>
    <w:rsid w:val="00CC58FD"/>
    <w:rsid w:val="00CC5F50"/>
    <w:rsid w:val="00CC641D"/>
    <w:rsid w:val="00CC65AF"/>
    <w:rsid w:val="00CC769D"/>
    <w:rsid w:val="00CD0241"/>
    <w:rsid w:val="00CD0AB9"/>
    <w:rsid w:val="00CD1131"/>
    <w:rsid w:val="00CD1CE5"/>
    <w:rsid w:val="00CD1DA8"/>
    <w:rsid w:val="00CD1E7C"/>
    <w:rsid w:val="00CD2041"/>
    <w:rsid w:val="00CD21DC"/>
    <w:rsid w:val="00CD28BB"/>
    <w:rsid w:val="00CD2945"/>
    <w:rsid w:val="00CD2E2D"/>
    <w:rsid w:val="00CD3072"/>
    <w:rsid w:val="00CD30D5"/>
    <w:rsid w:val="00CD3568"/>
    <w:rsid w:val="00CD3805"/>
    <w:rsid w:val="00CD3C53"/>
    <w:rsid w:val="00CD3C54"/>
    <w:rsid w:val="00CD3FFC"/>
    <w:rsid w:val="00CD4062"/>
    <w:rsid w:val="00CD440B"/>
    <w:rsid w:val="00CD46E8"/>
    <w:rsid w:val="00CD471A"/>
    <w:rsid w:val="00CD4ACC"/>
    <w:rsid w:val="00CD4AFE"/>
    <w:rsid w:val="00CD4C55"/>
    <w:rsid w:val="00CD4DD7"/>
    <w:rsid w:val="00CD4ED8"/>
    <w:rsid w:val="00CD4FC6"/>
    <w:rsid w:val="00CD5141"/>
    <w:rsid w:val="00CD51D1"/>
    <w:rsid w:val="00CD5DBC"/>
    <w:rsid w:val="00CD6558"/>
    <w:rsid w:val="00CD66FA"/>
    <w:rsid w:val="00CD68E3"/>
    <w:rsid w:val="00CD6ADF"/>
    <w:rsid w:val="00CD7094"/>
    <w:rsid w:val="00CD73CD"/>
    <w:rsid w:val="00CD7D5B"/>
    <w:rsid w:val="00CE0270"/>
    <w:rsid w:val="00CE041B"/>
    <w:rsid w:val="00CE04C2"/>
    <w:rsid w:val="00CE050C"/>
    <w:rsid w:val="00CE089F"/>
    <w:rsid w:val="00CE08BC"/>
    <w:rsid w:val="00CE0939"/>
    <w:rsid w:val="00CE0D03"/>
    <w:rsid w:val="00CE107B"/>
    <w:rsid w:val="00CE191F"/>
    <w:rsid w:val="00CE1A20"/>
    <w:rsid w:val="00CE1A75"/>
    <w:rsid w:val="00CE2439"/>
    <w:rsid w:val="00CE2E6D"/>
    <w:rsid w:val="00CE30EE"/>
    <w:rsid w:val="00CE4345"/>
    <w:rsid w:val="00CE43E5"/>
    <w:rsid w:val="00CE4A93"/>
    <w:rsid w:val="00CE4B99"/>
    <w:rsid w:val="00CE4CF0"/>
    <w:rsid w:val="00CE4E14"/>
    <w:rsid w:val="00CE5204"/>
    <w:rsid w:val="00CE5A23"/>
    <w:rsid w:val="00CE5BFB"/>
    <w:rsid w:val="00CE6B63"/>
    <w:rsid w:val="00CE774D"/>
    <w:rsid w:val="00CE7DEF"/>
    <w:rsid w:val="00CF0545"/>
    <w:rsid w:val="00CF0CA3"/>
    <w:rsid w:val="00CF0EE3"/>
    <w:rsid w:val="00CF11F5"/>
    <w:rsid w:val="00CF1337"/>
    <w:rsid w:val="00CF134F"/>
    <w:rsid w:val="00CF1F2B"/>
    <w:rsid w:val="00CF2337"/>
    <w:rsid w:val="00CF2762"/>
    <w:rsid w:val="00CF2789"/>
    <w:rsid w:val="00CF2AEE"/>
    <w:rsid w:val="00CF2B25"/>
    <w:rsid w:val="00CF3989"/>
    <w:rsid w:val="00CF3AC6"/>
    <w:rsid w:val="00CF3B7F"/>
    <w:rsid w:val="00CF3E1E"/>
    <w:rsid w:val="00CF3F6A"/>
    <w:rsid w:val="00CF43B8"/>
    <w:rsid w:val="00CF44AF"/>
    <w:rsid w:val="00CF4A2F"/>
    <w:rsid w:val="00CF4A55"/>
    <w:rsid w:val="00CF4F51"/>
    <w:rsid w:val="00CF5D73"/>
    <w:rsid w:val="00CF60B5"/>
    <w:rsid w:val="00CF6338"/>
    <w:rsid w:val="00CF647A"/>
    <w:rsid w:val="00CF685A"/>
    <w:rsid w:val="00CF73EC"/>
    <w:rsid w:val="00CF7B1B"/>
    <w:rsid w:val="00CF7B8B"/>
    <w:rsid w:val="00CF7D1E"/>
    <w:rsid w:val="00CFA2DA"/>
    <w:rsid w:val="00D00187"/>
    <w:rsid w:val="00D00202"/>
    <w:rsid w:val="00D00296"/>
    <w:rsid w:val="00D00486"/>
    <w:rsid w:val="00D00557"/>
    <w:rsid w:val="00D0065E"/>
    <w:rsid w:val="00D00B00"/>
    <w:rsid w:val="00D00CAF"/>
    <w:rsid w:val="00D00E9F"/>
    <w:rsid w:val="00D01142"/>
    <w:rsid w:val="00D01476"/>
    <w:rsid w:val="00D0153F"/>
    <w:rsid w:val="00D01AD9"/>
    <w:rsid w:val="00D01B3A"/>
    <w:rsid w:val="00D020E7"/>
    <w:rsid w:val="00D0221C"/>
    <w:rsid w:val="00D02730"/>
    <w:rsid w:val="00D027CF"/>
    <w:rsid w:val="00D0291E"/>
    <w:rsid w:val="00D03544"/>
    <w:rsid w:val="00D037BC"/>
    <w:rsid w:val="00D03E36"/>
    <w:rsid w:val="00D0427E"/>
    <w:rsid w:val="00D0478C"/>
    <w:rsid w:val="00D049BC"/>
    <w:rsid w:val="00D04A45"/>
    <w:rsid w:val="00D05038"/>
    <w:rsid w:val="00D05847"/>
    <w:rsid w:val="00D05BBB"/>
    <w:rsid w:val="00D0606F"/>
    <w:rsid w:val="00D06254"/>
    <w:rsid w:val="00D06795"/>
    <w:rsid w:val="00D06895"/>
    <w:rsid w:val="00D06D31"/>
    <w:rsid w:val="00D07BD1"/>
    <w:rsid w:val="00D07E19"/>
    <w:rsid w:val="00D07EF4"/>
    <w:rsid w:val="00D0B99B"/>
    <w:rsid w:val="00D1068D"/>
    <w:rsid w:val="00D109F4"/>
    <w:rsid w:val="00D10B25"/>
    <w:rsid w:val="00D10B8A"/>
    <w:rsid w:val="00D112F4"/>
    <w:rsid w:val="00D11543"/>
    <w:rsid w:val="00D11E48"/>
    <w:rsid w:val="00D11F74"/>
    <w:rsid w:val="00D12A61"/>
    <w:rsid w:val="00D12B74"/>
    <w:rsid w:val="00D12D7A"/>
    <w:rsid w:val="00D12DD6"/>
    <w:rsid w:val="00D12DE4"/>
    <w:rsid w:val="00D130F5"/>
    <w:rsid w:val="00D13CC0"/>
    <w:rsid w:val="00D13F50"/>
    <w:rsid w:val="00D14407"/>
    <w:rsid w:val="00D146CA"/>
    <w:rsid w:val="00D1499C"/>
    <w:rsid w:val="00D14BB9"/>
    <w:rsid w:val="00D14BE9"/>
    <w:rsid w:val="00D14F2A"/>
    <w:rsid w:val="00D154AC"/>
    <w:rsid w:val="00D15640"/>
    <w:rsid w:val="00D15696"/>
    <w:rsid w:val="00D15795"/>
    <w:rsid w:val="00D15A4D"/>
    <w:rsid w:val="00D15E15"/>
    <w:rsid w:val="00D15E4E"/>
    <w:rsid w:val="00D167F7"/>
    <w:rsid w:val="00D16A9A"/>
    <w:rsid w:val="00D16D3A"/>
    <w:rsid w:val="00D172B7"/>
    <w:rsid w:val="00D17320"/>
    <w:rsid w:val="00D1746E"/>
    <w:rsid w:val="00D17507"/>
    <w:rsid w:val="00D1D1BD"/>
    <w:rsid w:val="00D202CB"/>
    <w:rsid w:val="00D20A34"/>
    <w:rsid w:val="00D21022"/>
    <w:rsid w:val="00D21330"/>
    <w:rsid w:val="00D21833"/>
    <w:rsid w:val="00D21C25"/>
    <w:rsid w:val="00D21CAE"/>
    <w:rsid w:val="00D21D2B"/>
    <w:rsid w:val="00D22D51"/>
    <w:rsid w:val="00D2311F"/>
    <w:rsid w:val="00D23773"/>
    <w:rsid w:val="00D2445D"/>
    <w:rsid w:val="00D248FD"/>
    <w:rsid w:val="00D24CDB"/>
    <w:rsid w:val="00D24DDB"/>
    <w:rsid w:val="00D255CE"/>
    <w:rsid w:val="00D258D4"/>
    <w:rsid w:val="00D26121"/>
    <w:rsid w:val="00D26338"/>
    <w:rsid w:val="00D26BBB"/>
    <w:rsid w:val="00D26DC2"/>
    <w:rsid w:val="00D27247"/>
    <w:rsid w:val="00D27946"/>
    <w:rsid w:val="00D29045"/>
    <w:rsid w:val="00D300FF"/>
    <w:rsid w:val="00D318D0"/>
    <w:rsid w:val="00D31C4C"/>
    <w:rsid w:val="00D31EB7"/>
    <w:rsid w:val="00D321E8"/>
    <w:rsid w:val="00D325FF"/>
    <w:rsid w:val="00D32C59"/>
    <w:rsid w:val="00D33231"/>
    <w:rsid w:val="00D33496"/>
    <w:rsid w:val="00D33589"/>
    <w:rsid w:val="00D341DD"/>
    <w:rsid w:val="00D34977"/>
    <w:rsid w:val="00D34AB2"/>
    <w:rsid w:val="00D35163"/>
    <w:rsid w:val="00D35EB3"/>
    <w:rsid w:val="00D3610C"/>
    <w:rsid w:val="00D36331"/>
    <w:rsid w:val="00D366AF"/>
    <w:rsid w:val="00D367D3"/>
    <w:rsid w:val="00D36BA9"/>
    <w:rsid w:val="00D36D64"/>
    <w:rsid w:val="00D36E16"/>
    <w:rsid w:val="00D378A2"/>
    <w:rsid w:val="00D40411"/>
    <w:rsid w:val="00D40A9E"/>
    <w:rsid w:val="00D40F64"/>
    <w:rsid w:val="00D41394"/>
    <w:rsid w:val="00D413AB"/>
    <w:rsid w:val="00D41C50"/>
    <w:rsid w:val="00D41C7F"/>
    <w:rsid w:val="00D41CCF"/>
    <w:rsid w:val="00D42980"/>
    <w:rsid w:val="00D4319F"/>
    <w:rsid w:val="00D4358D"/>
    <w:rsid w:val="00D43D97"/>
    <w:rsid w:val="00D443A9"/>
    <w:rsid w:val="00D449EA"/>
    <w:rsid w:val="00D44EFF"/>
    <w:rsid w:val="00D44FF4"/>
    <w:rsid w:val="00D455BE"/>
    <w:rsid w:val="00D46992"/>
    <w:rsid w:val="00D469CC"/>
    <w:rsid w:val="00D46D4E"/>
    <w:rsid w:val="00D46D5D"/>
    <w:rsid w:val="00D473F2"/>
    <w:rsid w:val="00D47486"/>
    <w:rsid w:val="00D47BBF"/>
    <w:rsid w:val="00D47CF7"/>
    <w:rsid w:val="00D47EB4"/>
    <w:rsid w:val="00D4BEC7"/>
    <w:rsid w:val="00D50878"/>
    <w:rsid w:val="00D509B3"/>
    <w:rsid w:val="00D50A25"/>
    <w:rsid w:val="00D50C85"/>
    <w:rsid w:val="00D51C4B"/>
    <w:rsid w:val="00D51C9E"/>
    <w:rsid w:val="00D51CBA"/>
    <w:rsid w:val="00D52497"/>
    <w:rsid w:val="00D52891"/>
    <w:rsid w:val="00D5374D"/>
    <w:rsid w:val="00D538C1"/>
    <w:rsid w:val="00D53A61"/>
    <w:rsid w:val="00D53A71"/>
    <w:rsid w:val="00D53AFA"/>
    <w:rsid w:val="00D53C33"/>
    <w:rsid w:val="00D53E08"/>
    <w:rsid w:val="00D548FE"/>
    <w:rsid w:val="00D5528F"/>
    <w:rsid w:val="00D555A3"/>
    <w:rsid w:val="00D55902"/>
    <w:rsid w:val="00D55B52"/>
    <w:rsid w:val="00D55BD7"/>
    <w:rsid w:val="00D55DC4"/>
    <w:rsid w:val="00D56504"/>
    <w:rsid w:val="00D565A2"/>
    <w:rsid w:val="00D56A56"/>
    <w:rsid w:val="00D56C76"/>
    <w:rsid w:val="00D57420"/>
    <w:rsid w:val="00D57596"/>
    <w:rsid w:val="00D578B6"/>
    <w:rsid w:val="00D57C40"/>
    <w:rsid w:val="00D57D78"/>
    <w:rsid w:val="00D6103C"/>
    <w:rsid w:val="00D61666"/>
    <w:rsid w:val="00D618AC"/>
    <w:rsid w:val="00D623FD"/>
    <w:rsid w:val="00D628D8"/>
    <w:rsid w:val="00D635A6"/>
    <w:rsid w:val="00D635C6"/>
    <w:rsid w:val="00D6371D"/>
    <w:rsid w:val="00D6393A"/>
    <w:rsid w:val="00D63BB0"/>
    <w:rsid w:val="00D63BC5"/>
    <w:rsid w:val="00D63CDB"/>
    <w:rsid w:val="00D63E02"/>
    <w:rsid w:val="00D63F9A"/>
    <w:rsid w:val="00D6432B"/>
    <w:rsid w:val="00D64795"/>
    <w:rsid w:val="00D64D7B"/>
    <w:rsid w:val="00D653F3"/>
    <w:rsid w:val="00D6571C"/>
    <w:rsid w:val="00D667B0"/>
    <w:rsid w:val="00D668AD"/>
    <w:rsid w:val="00D66C0B"/>
    <w:rsid w:val="00D66EFD"/>
    <w:rsid w:val="00D7068D"/>
    <w:rsid w:val="00D706C5"/>
    <w:rsid w:val="00D706C8"/>
    <w:rsid w:val="00D707BF"/>
    <w:rsid w:val="00D711D3"/>
    <w:rsid w:val="00D71233"/>
    <w:rsid w:val="00D71621"/>
    <w:rsid w:val="00D71729"/>
    <w:rsid w:val="00D719D2"/>
    <w:rsid w:val="00D7252C"/>
    <w:rsid w:val="00D72787"/>
    <w:rsid w:val="00D727FE"/>
    <w:rsid w:val="00D72BCA"/>
    <w:rsid w:val="00D72C0D"/>
    <w:rsid w:val="00D72DE6"/>
    <w:rsid w:val="00D737FE"/>
    <w:rsid w:val="00D74B9E"/>
    <w:rsid w:val="00D74D1A"/>
    <w:rsid w:val="00D75030"/>
    <w:rsid w:val="00D7512E"/>
    <w:rsid w:val="00D759D0"/>
    <w:rsid w:val="00D75B3A"/>
    <w:rsid w:val="00D76226"/>
    <w:rsid w:val="00D762CC"/>
    <w:rsid w:val="00D771AA"/>
    <w:rsid w:val="00D77AFB"/>
    <w:rsid w:val="00D8031E"/>
    <w:rsid w:val="00D808B4"/>
    <w:rsid w:val="00D809F3"/>
    <w:rsid w:val="00D81B03"/>
    <w:rsid w:val="00D81B2E"/>
    <w:rsid w:val="00D8202E"/>
    <w:rsid w:val="00D8238B"/>
    <w:rsid w:val="00D8247E"/>
    <w:rsid w:val="00D825CA"/>
    <w:rsid w:val="00D82AB0"/>
    <w:rsid w:val="00D82F14"/>
    <w:rsid w:val="00D83471"/>
    <w:rsid w:val="00D83BEA"/>
    <w:rsid w:val="00D83D27"/>
    <w:rsid w:val="00D83F96"/>
    <w:rsid w:val="00D8420C"/>
    <w:rsid w:val="00D84567"/>
    <w:rsid w:val="00D848F0"/>
    <w:rsid w:val="00D84AE7"/>
    <w:rsid w:val="00D85126"/>
    <w:rsid w:val="00D853BD"/>
    <w:rsid w:val="00D8584B"/>
    <w:rsid w:val="00D85A07"/>
    <w:rsid w:val="00D85A20"/>
    <w:rsid w:val="00D85AD4"/>
    <w:rsid w:val="00D85CAA"/>
    <w:rsid w:val="00D85FF1"/>
    <w:rsid w:val="00D86653"/>
    <w:rsid w:val="00D86D03"/>
    <w:rsid w:val="00D87427"/>
    <w:rsid w:val="00D874B7"/>
    <w:rsid w:val="00D87A13"/>
    <w:rsid w:val="00D90028"/>
    <w:rsid w:val="00D90067"/>
    <w:rsid w:val="00D90237"/>
    <w:rsid w:val="00D90323"/>
    <w:rsid w:val="00D906F1"/>
    <w:rsid w:val="00D908A5"/>
    <w:rsid w:val="00D90E67"/>
    <w:rsid w:val="00D9108C"/>
    <w:rsid w:val="00D913F8"/>
    <w:rsid w:val="00D916EA"/>
    <w:rsid w:val="00D91DBB"/>
    <w:rsid w:val="00D91DEC"/>
    <w:rsid w:val="00D921BE"/>
    <w:rsid w:val="00D92257"/>
    <w:rsid w:val="00D9251B"/>
    <w:rsid w:val="00D92535"/>
    <w:rsid w:val="00D926DB"/>
    <w:rsid w:val="00D92CD7"/>
    <w:rsid w:val="00D92E33"/>
    <w:rsid w:val="00D93129"/>
    <w:rsid w:val="00D931BB"/>
    <w:rsid w:val="00D933E7"/>
    <w:rsid w:val="00D93405"/>
    <w:rsid w:val="00D93802"/>
    <w:rsid w:val="00D93D6D"/>
    <w:rsid w:val="00D93D78"/>
    <w:rsid w:val="00D940E6"/>
    <w:rsid w:val="00D941CC"/>
    <w:rsid w:val="00D942D3"/>
    <w:rsid w:val="00D94732"/>
    <w:rsid w:val="00D95800"/>
    <w:rsid w:val="00D95CC4"/>
    <w:rsid w:val="00D95CD2"/>
    <w:rsid w:val="00D960FE"/>
    <w:rsid w:val="00D963A0"/>
    <w:rsid w:val="00D967D0"/>
    <w:rsid w:val="00D96825"/>
    <w:rsid w:val="00D970A8"/>
    <w:rsid w:val="00D97148"/>
    <w:rsid w:val="00D971CF"/>
    <w:rsid w:val="00D974DE"/>
    <w:rsid w:val="00D97F9A"/>
    <w:rsid w:val="00DA0436"/>
    <w:rsid w:val="00DA0498"/>
    <w:rsid w:val="00DA090D"/>
    <w:rsid w:val="00DA15C7"/>
    <w:rsid w:val="00DA1C04"/>
    <w:rsid w:val="00DA27DB"/>
    <w:rsid w:val="00DA2828"/>
    <w:rsid w:val="00DA34CA"/>
    <w:rsid w:val="00DA373F"/>
    <w:rsid w:val="00DA3E24"/>
    <w:rsid w:val="00DA42A0"/>
    <w:rsid w:val="00DA44C5"/>
    <w:rsid w:val="00DA46F8"/>
    <w:rsid w:val="00DA4D39"/>
    <w:rsid w:val="00DA4F21"/>
    <w:rsid w:val="00DA58E8"/>
    <w:rsid w:val="00DA65B4"/>
    <w:rsid w:val="00DA6D70"/>
    <w:rsid w:val="00DA6F0F"/>
    <w:rsid w:val="00DA7092"/>
    <w:rsid w:val="00DA7B5E"/>
    <w:rsid w:val="00DA7CA0"/>
    <w:rsid w:val="00DA7E61"/>
    <w:rsid w:val="00DB0190"/>
    <w:rsid w:val="00DB0370"/>
    <w:rsid w:val="00DB0458"/>
    <w:rsid w:val="00DB11F2"/>
    <w:rsid w:val="00DB139F"/>
    <w:rsid w:val="00DB195E"/>
    <w:rsid w:val="00DB1AF4"/>
    <w:rsid w:val="00DB1C1C"/>
    <w:rsid w:val="00DB2360"/>
    <w:rsid w:val="00DB26D8"/>
    <w:rsid w:val="00DB2AE9"/>
    <w:rsid w:val="00DB3468"/>
    <w:rsid w:val="00DB38DB"/>
    <w:rsid w:val="00DB46D5"/>
    <w:rsid w:val="00DB4AE2"/>
    <w:rsid w:val="00DB4BBA"/>
    <w:rsid w:val="00DB4BEC"/>
    <w:rsid w:val="00DB4EE7"/>
    <w:rsid w:val="00DB4EF9"/>
    <w:rsid w:val="00DB54CF"/>
    <w:rsid w:val="00DB5D55"/>
    <w:rsid w:val="00DB66D8"/>
    <w:rsid w:val="00DB6898"/>
    <w:rsid w:val="00DB6A47"/>
    <w:rsid w:val="00DB6C55"/>
    <w:rsid w:val="00DB6D37"/>
    <w:rsid w:val="00DB6D6F"/>
    <w:rsid w:val="00DB6D8D"/>
    <w:rsid w:val="00DB736F"/>
    <w:rsid w:val="00DB7625"/>
    <w:rsid w:val="00DB78E5"/>
    <w:rsid w:val="00DB7B5D"/>
    <w:rsid w:val="00DC045B"/>
    <w:rsid w:val="00DC0810"/>
    <w:rsid w:val="00DC0A12"/>
    <w:rsid w:val="00DC0D79"/>
    <w:rsid w:val="00DC1627"/>
    <w:rsid w:val="00DC18CD"/>
    <w:rsid w:val="00DC203C"/>
    <w:rsid w:val="00DC2581"/>
    <w:rsid w:val="00DC27F6"/>
    <w:rsid w:val="00DC2854"/>
    <w:rsid w:val="00DC2FC8"/>
    <w:rsid w:val="00DC3003"/>
    <w:rsid w:val="00DC3158"/>
    <w:rsid w:val="00DC34CE"/>
    <w:rsid w:val="00DC3DB2"/>
    <w:rsid w:val="00DC42F2"/>
    <w:rsid w:val="00DC4DD9"/>
    <w:rsid w:val="00DC5CB2"/>
    <w:rsid w:val="00DC6232"/>
    <w:rsid w:val="00DC6466"/>
    <w:rsid w:val="00DC64CE"/>
    <w:rsid w:val="00DC6766"/>
    <w:rsid w:val="00DC6947"/>
    <w:rsid w:val="00DC6C14"/>
    <w:rsid w:val="00DC6D66"/>
    <w:rsid w:val="00DC6F70"/>
    <w:rsid w:val="00DC728B"/>
    <w:rsid w:val="00DC74DA"/>
    <w:rsid w:val="00DC7947"/>
    <w:rsid w:val="00DC7978"/>
    <w:rsid w:val="00DC79ED"/>
    <w:rsid w:val="00DC7B79"/>
    <w:rsid w:val="00DC7F3B"/>
    <w:rsid w:val="00DC7FE7"/>
    <w:rsid w:val="00DD04A1"/>
    <w:rsid w:val="00DD15A0"/>
    <w:rsid w:val="00DD170A"/>
    <w:rsid w:val="00DD1AC3"/>
    <w:rsid w:val="00DD1B10"/>
    <w:rsid w:val="00DD1CDA"/>
    <w:rsid w:val="00DD23E3"/>
    <w:rsid w:val="00DD2427"/>
    <w:rsid w:val="00DD24F8"/>
    <w:rsid w:val="00DD25BF"/>
    <w:rsid w:val="00DD265E"/>
    <w:rsid w:val="00DD2A99"/>
    <w:rsid w:val="00DD2AD1"/>
    <w:rsid w:val="00DD2D4A"/>
    <w:rsid w:val="00DD3A24"/>
    <w:rsid w:val="00DD3D7F"/>
    <w:rsid w:val="00DD421B"/>
    <w:rsid w:val="00DD4653"/>
    <w:rsid w:val="00DD46C3"/>
    <w:rsid w:val="00DD46E0"/>
    <w:rsid w:val="00DD48A3"/>
    <w:rsid w:val="00DD4B62"/>
    <w:rsid w:val="00DD4EC1"/>
    <w:rsid w:val="00DD4FB7"/>
    <w:rsid w:val="00DD5112"/>
    <w:rsid w:val="00DD51AB"/>
    <w:rsid w:val="00DD5867"/>
    <w:rsid w:val="00DD58BB"/>
    <w:rsid w:val="00DD6DCE"/>
    <w:rsid w:val="00DD7042"/>
    <w:rsid w:val="00DD727B"/>
    <w:rsid w:val="00DD771F"/>
    <w:rsid w:val="00DD77FD"/>
    <w:rsid w:val="00DD7943"/>
    <w:rsid w:val="00DD79B7"/>
    <w:rsid w:val="00DD7C49"/>
    <w:rsid w:val="00DD7FEA"/>
    <w:rsid w:val="00DDE005"/>
    <w:rsid w:val="00DE028B"/>
    <w:rsid w:val="00DE02B8"/>
    <w:rsid w:val="00DE0536"/>
    <w:rsid w:val="00DE061B"/>
    <w:rsid w:val="00DE0F08"/>
    <w:rsid w:val="00DE0FD1"/>
    <w:rsid w:val="00DE170E"/>
    <w:rsid w:val="00DE1E4C"/>
    <w:rsid w:val="00DE1ECE"/>
    <w:rsid w:val="00DE27BF"/>
    <w:rsid w:val="00DE2A76"/>
    <w:rsid w:val="00DE2B24"/>
    <w:rsid w:val="00DE2B8C"/>
    <w:rsid w:val="00DE2CD4"/>
    <w:rsid w:val="00DE2EEE"/>
    <w:rsid w:val="00DE3392"/>
    <w:rsid w:val="00DE3521"/>
    <w:rsid w:val="00DE3BB3"/>
    <w:rsid w:val="00DE3E5B"/>
    <w:rsid w:val="00DE3F05"/>
    <w:rsid w:val="00DE412D"/>
    <w:rsid w:val="00DE47D2"/>
    <w:rsid w:val="00DE4887"/>
    <w:rsid w:val="00DE4DC6"/>
    <w:rsid w:val="00DE586A"/>
    <w:rsid w:val="00DE5A90"/>
    <w:rsid w:val="00DE5BFF"/>
    <w:rsid w:val="00DE5F50"/>
    <w:rsid w:val="00DE6744"/>
    <w:rsid w:val="00DE67B5"/>
    <w:rsid w:val="00DE684C"/>
    <w:rsid w:val="00DE6C95"/>
    <w:rsid w:val="00DE738E"/>
    <w:rsid w:val="00DE79D6"/>
    <w:rsid w:val="00DEA502"/>
    <w:rsid w:val="00DF0478"/>
    <w:rsid w:val="00DF0B2D"/>
    <w:rsid w:val="00DF0E17"/>
    <w:rsid w:val="00DF18ED"/>
    <w:rsid w:val="00DF2DCD"/>
    <w:rsid w:val="00DF34CC"/>
    <w:rsid w:val="00DF3764"/>
    <w:rsid w:val="00DF398B"/>
    <w:rsid w:val="00DF3E0D"/>
    <w:rsid w:val="00DF4488"/>
    <w:rsid w:val="00DF47CE"/>
    <w:rsid w:val="00DF4EDB"/>
    <w:rsid w:val="00DF5006"/>
    <w:rsid w:val="00DF523C"/>
    <w:rsid w:val="00DF52B6"/>
    <w:rsid w:val="00DF5665"/>
    <w:rsid w:val="00DF60F5"/>
    <w:rsid w:val="00DF650B"/>
    <w:rsid w:val="00DF66A5"/>
    <w:rsid w:val="00DF6CEA"/>
    <w:rsid w:val="00DF6FD2"/>
    <w:rsid w:val="00DF74AA"/>
    <w:rsid w:val="00DF789C"/>
    <w:rsid w:val="00DF7914"/>
    <w:rsid w:val="00DF7B1F"/>
    <w:rsid w:val="00DF7D28"/>
    <w:rsid w:val="00DF7F42"/>
    <w:rsid w:val="00E00A17"/>
    <w:rsid w:val="00E00C1E"/>
    <w:rsid w:val="00E00CB6"/>
    <w:rsid w:val="00E012B8"/>
    <w:rsid w:val="00E01406"/>
    <w:rsid w:val="00E015AA"/>
    <w:rsid w:val="00E01664"/>
    <w:rsid w:val="00E0172D"/>
    <w:rsid w:val="00E01905"/>
    <w:rsid w:val="00E02612"/>
    <w:rsid w:val="00E02662"/>
    <w:rsid w:val="00E026E7"/>
    <w:rsid w:val="00E02A73"/>
    <w:rsid w:val="00E02C31"/>
    <w:rsid w:val="00E02F81"/>
    <w:rsid w:val="00E03478"/>
    <w:rsid w:val="00E036B1"/>
    <w:rsid w:val="00E03A94"/>
    <w:rsid w:val="00E03DC9"/>
    <w:rsid w:val="00E03FB4"/>
    <w:rsid w:val="00E04126"/>
    <w:rsid w:val="00E042A9"/>
    <w:rsid w:val="00E05716"/>
    <w:rsid w:val="00E05955"/>
    <w:rsid w:val="00E05964"/>
    <w:rsid w:val="00E06311"/>
    <w:rsid w:val="00E066E5"/>
    <w:rsid w:val="00E06A13"/>
    <w:rsid w:val="00E06ABD"/>
    <w:rsid w:val="00E06B3D"/>
    <w:rsid w:val="00E06D0F"/>
    <w:rsid w:val="00E07132"/>
    <w:rsid w:val="00E07474"/>
    <w:rsid w:val="00E07C2C"/>
    <w:rsid w:val="00E07D53"/>
    <w:rsid w:val="00E0C80C"/>
    <w:rsid w:val="00E107A2"/>
    <w:rsid w:val="00E11449"/>
    <w:rsid w:val="00E115FA"/>
    <w:rsid w:val="00E117F9"/>
    <w:rsid w:val="00E11AFF"/>
    <w:rsid w:val="00E11B6D"/>
    <w:rsid w:val="00E12831"/>
    <w:rsid w:val="00E12AC5"/>
    <w:rsid w:val="00E12CB4"/>
    <w:rsid w:val="00E130B3"/>
    <w:rsid w:val="00E1318D"/>
    <w:rsid w:val="00E13BE1"/>
    <w:rsid w:val="00E14145"/>
    <w:rsid w:val="00E14F90"/>
    <w:rsid w:val="00E151ED"/>
    <w:rsid w:val="00E152D0"/>
    <w:rsid w:val="00E15B71"/>
    <w:rsid w:val="00E1605A"/>
    <w:rsid w:val="00E162D0"/>
    <w:rsid w:val="00E16F7A"/>
    <w:rsid w:val="00E16FDC"/>
    <w:rsid w:val="00E17F05"/>
    <w:rsid w:val="00E203A1"/>
    <w:rsid w:val="00E20785"/>
    <w:rsid w:val="00E20795"/>
    <w:rsid w:val="00E2107A"/>
    <w:rsid w:val="00E21E8F"/>
    <w:rsid w:val="00E22760"/>
    <w:rsid w:val="00E22995"/>
    <w:rsid w:val="00E229CB"/>
    <w:rsid w:val="00E22F9C"/>
    <w:rsid w:val="00E23AF1"/>
    <w:rsid w:val="00E23EF7"/>
    <w:rsid w:val="00E240D2"/>
    <w:rsid w:val="00E24A01"/>
    <w:rsid w:val="00E25411"/>
    <w:rsid w:val="00E264C6"/>
    <w:rsid w:val="00E26676"/>
    <w:rsid w:val="00E2685B"/>
    <w:rsid w:val="00E27890"/>
    <w:rsid w:val="00E27BA7"/>
    <w:rsid w:val="00E30CF8"/>
    <w:rsid w:val="00E30E6A"/>
    <w:rsid w:val="00E3126A"/>
    <w:rsid w:val="00E313D0"/>
    <w:rsid w:val="00E31690"/>
    <w:rsid w:val="00E31723"/>
    <w:rsid w:val="00E3172B"/>
    <w:rsid w:val="00E319CB"/>
    <w:rsid w:val="00E319E6"/>
    <w:rsid w:val="00E31BAA"/>
    <w:rsid w:val="00E31F8E"/>
    <w:rsid w:val="00E31FBB"/>
    <w:rsid w:val="00E320CF"/>
    <w:rsid w:val="00E320DD"/>
    <w:rsid w:val="00E324AD"/>
    <w:rsid w:val="00E32B07"/>
    <w:rsid w:val="00E3305A"/>
    <w:rsid w:val="00E330C1"/>
    <w:rsid w:val="00E33171"/>
    <w:rsid w:val="00E33BB5"/>
    <w:rsid w:val="00E33F1A"/>
    <w:rsid w:val="00E34869"/>
    <w:rsid w:val="00E35C4B"/>
    <w:rsid w:val="00E35FDC"/>
    <w:rsid w:val="00E360BB"/>
    <w:rsid w:val="00E36484"/>
    <w:rsid w:val="00E366C7"/>
    <w:rsid w:val="00E367CF"/>
    <w:rsid w:val="00E37779"/>
    <w:rsid w:val="00E3787D"/>
    <w:rsid w:val="00E37F1A"/>
    <w:rsid w:val="00E399EA"/>
    <w:rsid w:val="00E40769"/>
    <w:rsid w:val="00E40B0E"/>
    <w:rsid w:val="00E40C2F"/>
    <w:rsid w:val="00E40F1F"/>
    <w:rsid w:val="00E41490"/>
    <w:rsid w:val="00E41AAF"/>
    <w:rsid w:val="00E41B70"/>
    <w:rsid w:val="00E41C5B"/>
    <w:rsid w:val="00E41E03"/>
    <w:rsid w:val="00E41EDB"/>
    <w:rsid w:val="00E41FCD"/>
    <w:rsid w:val="00E42057"/>
    <w:rsid w:val="00E4217E"/>
    <w:rsid w:val="00E4247B"/>
    <w:rsid w:val="00E424B4"/>
    <w:rsid w:val="00E424F2"/>
    <w:rsid w:val="00E42661"/>
    <w:rsid w:val="00E42679"/>
    <w:rsid w:val="00E42BA6"/>
    <w:rsid w:val="00E42C32"/>
    <w:rsid w:val="00E431CB"/>
    <w:rsid w:val="00E4334D"/>
    <w:rsid w:val="00E43BA2"/>
    <w:rsid w:val="00E447AB"/>
    <w:rsid w:val="00E44B32"/>
    <w:rsid w:val="00E458CF"/>
    <w:rsid w:val="00E45B3E"/>
    <w:rsid w:val="00E45BB4"/>
    <w:rsid w:val="00E4625A"/>
    <w:rsid w:val="00E46629"/>
    <w:rsid w:val="00E46821"/>
    <w:rsid w:val="00E4686B"/>
    <w:rsid w:val="00E46952"/>
    <w:rsid w:val="00E46BFF"/>
    <w:rsid w:val="00E46CEF"/>
    <w:rsid w:val="00E46D0C"/>
    <w:rsid w:val="00E472EB"/>
    <w:rsid w:val="00E4752D"/>
    <w:rsid w:val="00E47604"/>
    <w:rsid w:val="00E4796E"/>
    <w:rsid w:val="00E47F29"/>
    <w:rsid w:val="00E47FEA"/>
    <w:rsid w:val="00E4AE51"/>
    <w:rsid w:val="00E500DC"/>
    <w:rsid w:val="00E50879"/>
    <w:rsid w:val="00E50B92"/>
    <w:rsid w:val="00E50F5C"/>
    <w:rsid w:val="00E51E27"/>
    <w:rsid w:val="00E52CBA"/>
    <w:rsid w:val="00E5315F"/>
    <w:rsid w:val="00E531B4"/>
    <w:rsid w:val="00E53660"/>
    <w:rsid w:val="00E5484F"/>
    <w:rsid w:val="00E54D93"/>
    <w:rsid w:val="00E54E1F"/>
    <w:rsid w:val="00E5561C"/>
    <w:rsid w:val="00E5573E"/>
    <w:rsid w:val="00E55A15"/>
    <w:rsid w:val="00E55BB2"/>
    <w:rsid w:val="00E55E91"/>
    <w:rsid w:val="00E5604F"/>
    <w:rsid w:val="00E5620F"/>
    <w:rsid w:val="00E5653A"/>
    <w:rsid w:val="00E568A5"/>
    <w:rsid w:val="00E56BFB"/>
    <w:rsid w:val="00E56EFF"/>
    <w:rsid w:val="00E57234"/>
    <w:rsid w:val="00E57273"/>
    <w:rsid w:val="00E572FD"/>
    <w:rsid w:val="00E57535"/>
    <w:rsid w:val="00E57A95"/>
    <w:rsid w:val="00E57CC7"/>
    <w:rsid w:val="00E60F15"/>
    <w:rsid w:val="00E6100A"/>
    <w:rsid w:val="00E61516"/>
    <w:rsid w:val="00E6151A"/>
    <w:rsid w:val="00E61577"/>
    <w:rsid w:val="00E61831"/>
    <w:rsid w:val="00E619AE"/>
    <w:rsid w:val="00E620E8"/>
    <w:rsid w:val="00E62412"/>
    <w:rsid w:val="00E62EA8"/>
    <w:rsid w:val="00E63761"/>
    <w:rsid w:val="00E6409E"/>
    <w:rsid w:val="00E64225"/>
    <w:rsid w:val="00E64734"/>
    <w:rsid w:val="00E6485D"/>
    <w:rsid w:val="00E64B2A"/>
    <w:rsid w:val="00E64B37"/>
    <w:rsid w:val="00E64B7A"/>
    <w:rsid w:val="00E64EC6"/>
    <w:rsid w:val="00E64FF9"/>
    <w:rsid w:val="00E65116"/>
    <w:rsid w:val="00E6576E"/>
    <w:rsid w:val="00E657C3"/>
    <w:rsid w:val="00E658FB"/>
    <w:rsid w:val="00E65B32"/>
    <w:rsid w:val="00E65DB6"/>
    <w:rsid w:val="00E65E27"/>
    <w:rsid w:val="00E66538"/>
    <w:rsid w:val="00E6655E"/>
    <w:rsid w:val="00E66E08"/>
    <w:rsid w:val="00E67269"/>
    <w:rsid w:val="00E674C5"/>
    <w:rsid w:val="00E678F4"/>
    <w:rsid w:val="00E67CD3"/>
    <w:rsid w:val="00E700E1"/>
    <w:rsid w:val="00E701A3"/>
    <w:rsid w:val="00E709C1"/>
    <w:rsid w:val="00E70DDA"/>
    <w:rsid w:val="00E71237"/>
    <w:rsid w:val="00E71335"/>
    <w:rsid w:val="00E71848"/>
    <w:rsid w:val="00E718AB"/>
    <w:rsid w:val="00E71BF8"/>
    <w:rsid w:val="00E72A5A"/>
    <w:rsid w:val="00E72ABF"/>
    <w:rsid w:val="00E72C89"/>
    <w:rsid w:val="00E72DCE"/>
    <w:rsid w:val="00E72F96"/>
    <w:rsid w:val="00E73707"/>
    <w:rsid w:val="00E73B2F"/>
    <w:rsid w:val="00E73B71"/>
    <w:rsid w:val="00E73D9B"/>
    <w:rsid w:val="00E74EF6"/>
    <w:rsid w:val="00E7577B"/>
    <w:rsid w:val="00E75EB9"/>
    <w:rsid w:val="00E75F9E"/>
    <w:rsid w:val="00E76096"/>
    <w:rsid w:val="00E760B5"/>
    <w:rsid w:val="00E763D4"/>
    <w:rsid w:val="00E7644D"/>
    <w:rsid w:val="00E769C4"/>
    <w:rsid w:val="00E76AD0"/>
    <w:rsid w:val="00E7739D"/>
    <w:rsid w:val="00E7745C"/>
    <w:rsid w:val="00E77687"/>
    <w:rsid w:val="00E777BC"/>
    <w:rsid w:val="00E77E94"/>
    <w:rsid w:val="00E80384"/>
    <w:rsid w:val="00E80AB0"/>
    <w:rsid w:val="00E80B06"/>
    <w:rsid w:val="00E80E5F"/>
    <w:rsid w:val="00E80FB3"/>
    <w:rsid w:val="00E810CD"/>
    <w:rsid w:val="00E81164"/>
    <w:rsid w:val="00E81993"/>
    <w:rsid w:val="00E81B45"/>
    <w:rsid w:val="00E81DE9"/>
    <w:rsid w:val="00E8213B"/>
    <w:rsid w:val="00E83A2F"/>
    <w:rsid w:val="00E83AE0"/>
    <w:rsid w:val="00E83D09"/>
    <w:rsid w:val="00E83D51"/>
    <w:rsid w:val="00E83E31"/>
    <w:rsid w:val="00E840A6"/>
    <w:rsid w:val="00E8423A"/>
    <w:rsid w:val="00E843DC"/>
    <w:rsid w:val="00E84565"/>
    <w:rsid w:val="00E84602"/>
    <w:rsid w:val="00E8497D"/>
    <w:rsid w:val="00E84A4B"/>
    <w:rsid w:val="00E84CC6"/>
    <w:rsid w:val="00E852EF"/>
    <w:rsid w:val="00E8539D"/>
    <w:rsid w:val="00E853C6"/>
    <w:rsid w:val="00E85601"/>
    <w:rsid w:val="00E856EB"/>
    <w:rsid w:val="00E85B3D"/>
    <w:rsid w:val="00E85E4C"/>
    <w:rsid w:val="00E85EA2"/>
    <w:rsid w:val="00E85F28"/>
    <w:rsid w:val="00E86440"/>
    <w:rsid w:val="00E8679F"/>
    <w:rsid w:val="00E86AD0"/>
    <w:rsid w:val="00E86CA5"/>
    <w:rsid w:val="00E86D56"/>
    <w:rsid w:val="00E870E7"/>
    <w:rsid w:val="00E877EF"/>
    <w:rsid w:val="00E87869"/>
    <w:rsid w:val="00E879F6"/>
    <w:rsid w:val="00E87B37"/>
    <w:rsid w:val="00E9013B"/>
    <w:rsid w:val="00E90250"/>
    <w:rsid w:val="00E90602"/>
    <w:rsid w:val="00E90A25"/>
    <w:rsid w:val="00E90CB8"/>
    <w:rsid w:val="00E90F58"/>
    <w:rsid w:val="00E90FE7"/>
    <w:rsid w:val="00E9166D"/>
    <w:rsid w:val="00E9184C"/>
    <w:rsid w:val="00E91DFA"/>
    <w:rsid w:val="00E9291E"/>
    <w:rsid w:val="00E933AB"/>
    <w:rsid w:val="00E934D0"/>
    <w:rsid w:val="00E93D80"/>
    <w:rsid w:val="00E946D9"/>
    <w:rsid w:val="00E948FC"/>
    <w:rsid w:val="00E94A2D"/>
    <w:rsid w:val="00E94B3C"/>
    <w:rsid w:val="00E950A4"/>
    <w:rsid w:val="00E95747"/>
    <w:rsid w:val="00E959EE"/>
    <w:rsid w:val="00E95A5E"/>
    <w:rsid w:val="00E95EB9"/>
    <w:rsid w:val="00E961BE"/>
    <w:rsid w:val="00E9622B"/>
    <w:rsid w:val="00E96D05"/>
    <w:rsid w:val="00E96F87"/>
    <w:rsid w:val="00E96F95"/>
    <w:rsid w:val="00E97558"/>
    <w:rsid w:val="00E97943"/>
    <w:rsid w:val="00E97E83"/>
    <w:rsid w:val="00EA03AB"/>
    <w:rsid w:val="00EA08EE"/>
    <w:rsid w:val="00EA0B8F"/>
    <w:rsid w:val="00EA0C85"/>
    <w:rsid w:val="00EA11B8"/>
    <w:rsid w:val="00EA164A"/>
    <w:rsid w:val="00EA1718"/>
    <w:rsid w:val="00EA2A2B"/>
    <w:rsid w:val="00EA2BE0"/>
    <w:rsid w:val="00EA3A1D"/>
    <w:rsid w:val="00EA3B84"/>
    <w:rsid w:val="00EA40EE"/>
    <w:rsid w:val="00EA4D33"/>
    <w:rsid w:val="00EA5075"/>
    <w:rsid w:val="00EA521B"/>
    <w:rsid w:val="00EA52FB"/>
    <w:rsid w:val="00EA57B9"/>
    <w:rsid w:val="00EA5BB4"/>
    <w:rsid w:val="00EA618E"/>
    <w:rsid w:val="00EA64A2"/>
    <w:rsid w:val="00EA6991"/>
    <w:rsid w:val="00EA6AB0"/>
    <w:rsid w:val="00EA6E99"/>
    <w:rsid w:val="00EA6EAF"/>
    <w:rsid w:val="00EA6EB1"/>
    <w:rsid w:val="00EA707F"/>
    <w:rsid w:val="00EA7141"/>
    <w:rsid w:val="00EA77AC"/>
    <w:rsid w:val="00EA7E9C"/>
    <w:rsid w:val="00EA7F19"/>
    <w:rsid w:val="00EB0EBF"/>
    <w:rsid w:val="00EB0F14"/>
    <w:rsid w:val="00EB0FDF"/>
    <w:rsid w:val="00EB1C9F"/>
    <w:rsid w:val="00EB1EBF"/>
    <w:rsid w:val="00EB1EC4"/>
    <w:rsid w:val="00EB2208"/>
    <w:rsid w:val="00EB236F"/>
    <w:rsid w:val="00EB26AD"/>
    <w:rsid w:val="00EB2833"/>
    <w:rsid w:val="00EB290A"/>
    <w:rsid w:val="00EB380F"/>
    <w:rsid w:val="00EB38D1"/>
    <w:rsid w:val="00EB38EA"/>
    <w:rsid w:val="00EB40FE"/>
    <w:rsid w:val="00EB4599"/>
    <w:rsid w:val="00EB49A1"/>
    <w:rsid w:val="00EB49EC"/>
    <w:rsid w:val="00EB5329"/>
    <w:rsid w:val="00EB579D"/>
    <w:rsid w:val="00EB60AE"/>
    <w:rsid w:val="00EB60DC"/>
    <w:rsid w:val="00EB623F"/>
    <w:rsid w:val="00EB6981"/>
    <w:rsid w:val="00EB6F4C"/>
    <w:rsid w:val="00EB7A63"/>
    <w:rsid w:val="00EB7D9F"/>
    <w:rsid w:val="00EC0073"/>
    <w:rsid w:val="00EC0374"/>
    <w:rsid w:val="00EC0CF4"/>
    <w:rsid w:val="00EC0D45"/>
    <w:rsid w:val="00EC0DDE"/>
    <w:rsid w:val="00EC0F94"/>
    <w:rsid w:val="00EC123A"/>
    <w:rsid w:val="00EC1695"/>
    <w:rsid w:val="00EC1ABB"/>
    <w:rsid w:val="00EC1B0B"/>
    <w:rsid w:val="00EC200C"/>
    <w:rsid w:val="00EC248B"/>
    <w:rsid w:val="00EC2990"/>
    <w:rsid w:val="00EC2A71"/>
    <w:rsid w:val="00EC2EA1"/>
    <w:rsid w:val="00EC300E"/>
    <w:rsid w:val="00EC308B"/>
    <w:rsid w:val="00EC3472"/>
    <w:rsid w:val="00EC39F9"/>
    <w:rsid w:val="00EC3B5A"/>
    <w:rsid w:val="00EC3D0C"/>
    <w:rsid w:val="00EC41E7"/>
    <w:rsid w:val="00EC4606"/>
    <w:rsid w:val="00EC4AB3"/>
    <w:rsid w:val="00EC513E"/>
    <w:rsid w:val="00EC56C9"/>
    <w:rsid w:val="00EC5B01"/>
    <w:rsid w:val="00EC5EAE"/>
    <w:rsid w:val="00EC5F32"/>
    <w:rsid w:val="00EC62DC"/>
    <w:rsid w:val="00EC6775"/>
    <w:rsid w:val="00EC6B8A"/>
    <w:rsid w:val="00EC7084"/>
    <w:rsid w:val="00EC71F1"/>
    <w:rsid w:val="00EC7B7B"/>
    <w:rsid w:val="00ED0284"/>
    <w:rsid w:val="00ED032E"/>
    <w:rsid w:val="00ED0907"/>
    <w:rsid w:val="00ED0FDC"/>
    <w:rsid w:val="00ED134F"/>
    <w:rsid w:val="00ED14B5"/>
    <w:rsid w:val="00ED14DF"/>
    <w:rsid w:val="00ED1E0F"/>
    <w:rsid w:val="00ED2A6E"/>
    <w:rsid w:val="00ED3537"/>
    <w:rsid w:val="00ED3B59"/>
    <w:rsid w:val="00ED3FB7"/>
    <w:rsid w:val="00ED4FA3"/>
    <w:rsid w:val="00ED506E"/>
    <w:rsid w:val="00ED5537"/>
    <w:rsid w:val="00ED554D"/>
    <w:rsid w:val="00ED5599"/>
    <w:rsid w:val="00ED57FF"/>
    <w:rsid w:val="00ED5B89"/>
    <w:rsid w:val="00ED5F54"/>
    <w:rsid w:val="00ED69E2"/>
    <w:rsid w:val="00ED6E6C"/>
    <w:rsid w:val="00ED6EB5"/>
    <w:rsid w:val="00ED7717"/>
    <w:rsid w:val="00ED79DC"/>
    <w:rsid w:val="00EE02BF"/>
    <w:rsid w:val="00EE0777"/>
    <w:rsid w:val="00EE0A4D"/>
    <w:rsid w:val="00EE106D"/>
    <w:rsid w:val="00EE1356"/>
    <w:rsid w:val="00EE1754"/>
    <w:rsid w:val="00EE2BAD"/>
    <w:rsid w:val="00EE2D4C"/>
    <w:rsid w:val="00EE3110"/>
    <w:rsid w:val="00EE3D0D"/>
    <w:rsid w:val="00EE3E23"/>
    <w:rsid w:val="00EE419A"/>
    <w:rsid w:val="00EE4F4B"/>
    <w:rsid w:val="00EE4FDE"/>
    <w:rsid w:val="00EE63B7"/>
    <w:rsid w:val="00EE64B9"/>
    <w:rsid w:val="00EE66E8"/>
    <w:rsid w:val="00EE77AC"/>
    <w:rsid w:val="00EE77E0"/>
    <w:rsid w:val="00EE7D17"/>
    <w:rsid w:val="00EE7EF0"/>
    <w:rsid w:val="00EEEA7C"/>
    <w:rsid w:val="00EF042B"/>
    <w:rsid w:val="00EF06BC"/>
    <w:rsid w:val="00EF07A8"/>
    <w:rsid w:val="00EF0F3E"/>
    <w:rsid w:val="00EF140E"/>
    <w:rsid w:val="00EF145B"/>
    <w:rsid w:val="00EF1C9B"/>
    <w:rsid w:val="00EF2925"/>
    <w:rsid w:val="00EF394D"/>
    <w:rsid w:val="00EF3B2A"/>
    <w:rsid w:val="00EF415F"/>
    <w:rsid w:val="00EF4958"/>
    <w:rsid w:val="00EF5128"/>
    <w:rsid w:val="00EF579D"/>
    <w:rsid w:val="00EF58DC"/>
    <w:rsid w:val="00EF59EF"/>
    <w:rsid w:val="00EF5CAE"/>
    <w:rsid w:val="00EF5DEC"/>
    <w:rsid w:val="00EF6005"/>
    <w:rsid w:val="00EF6142"/>
    <w:rsid w:val="00EF62DC"/>
    <w:rsid w:val="00EF6430"/>
    <w:rsid w:val="00EF6700"/>
    <w:rsid w:val="00EF69FD"/>
    <w:rsid w:val="00EF6EDA"/>
    <w:rsid w:val="00EF6FAE"/>
    <w:rsid w:val="00EF72B0"/>
    <w:rsid w:val="00EF7305"/>
    <w:rsid w:val="00EF74D9"/>
    <w:rsid w:val="00EF799E"/>
    <w:rsid w:val="00EF79E1"/>
    <w:rsid w:val="00EF7D66"/>
    <w:rsid w:val="00F003B9"/>
    <w:rsid w:val="00F00514"/>
    <w:rsid w:val="00F00D20"/>
    <w:rsid w:val="00F0158B"/>
    <w:rsid w:val="00F0200F"/>
    <w:rsid w:val="00F02367"/>
    <w:rsid w:val="00F025A0"/>
    <w:rsid w:val="00F0260B"/>
    <w:rsid w:val="00F02B0A"/>
    <w:rsid w:val="00F03AC9"/>
    <w:rsid w:val="00F0412E"/>
    <w:rsid w:val="00F042E7"/>
    <w:rsid w:val="00F0446F"/>
    <w:rsid w:val="00F0474E"/>
    <w:rsid w:val="00F050B1"/>
    <w:rsid w:val="00F0540D"/>
    <w:rsid w:val="00F05825"/>
    <w:rsid w:val="00F05B14"/>
    <w:rsid w:val="00F05C82"/>
    <w:rsid w:val="00F0603A"/>
    <w:rsid w:val="00F062DF"/>
    <w:rsid w:val="00F06408"/>
    <w:rsid w:val="00F06695"/>
    <w:rsid w:val="00F07994"/>
    <w:rsid w:val="00F07BEF"/>
    <w:rsid w:val="00F07D09"/>
    <w:rsid w:val="00F07FC1"/>
    <w:rsid w:val="00F103A8"/>
    <w:rsid w:val="00F10AF6"/>
    <w:rsid w:val="00F10B10"/>
    <w:rsid w:val="00F10E02"/>
    <w:rsid w:val="00F10FE0"/>
    <w:rsid w:val="00F11037"/>
    <w:rsid w:val="00F1137B"/>
    <w:rsid w:val="00F11981"/>
    <w:rsid w:val="00F11F61"/>
    <w:rsid w:val="00F12106"/>
    <w:rsid w:val="00F122D6"/>
    <w:rsid w:val="00F1241B"/>
    <w:rsid w:val="00F12AA5"/>
    <w:rsid w:val="00F12B84"/>
    <w:rsid w:val="00F137E9"/>
    <w:rsid w:val="00F138B3"/>
    <w:rsid w:val="00F13B58"/>
    <w:rsid w:val="00F14A89"/>
    <w:rsid w:val="00F14C16"/>
    <w:rsid w:val="00F14DAA"/>
    <w:rsid w:val="00F14F6F"/>
    <w:rsid w:val="00F151CC"/>
    <w:rsid w:val="00F155B1"/>
    <w:rsid w:val="00F1561C"/>
    <w:rsid w:val="00F1569D"/>
    <w:rsid w:val="00F15B7D"/>
    <w:rsid w:val="00F15C24"/>
    <w:rsid w:val="00F15F00"/>
    <w:rsid w:val="00F16081"/>
    <w:rsid w:val="00F16317"/>
    <w:rsid w:val="00F168D3"/>
    <w:rsid w:val="00F16D7B"/>
    <w:rsid w:val="00F16E47"/>
    <w:rsid w:val="00F17179"/>
    <w:rsid w:val="00F17F59"/>
    <w:rsid w:val="00F20108"/>
    <w:rsid w:val="00F2017A"/>
    <w:rsid w:val="00F2057E"/>
    <w:rsid w:val="00F20F2A"/>
    <w:rsid w:val="00F21003"/>
    <w:rsid w:val="00F213E5"/>
    <w:rsid w:val="00F215AE"/>
    <w:rsid w:val="00F21C5D"/>
    <w:rsid w:val="00F21D1B"/>
    <w:rsid w:val="00F220FD"/>
    <w:rsid w:val="00F227BF"/>
    <w:rsid w:val="00F22AF1"/>
    <w:rsid w:val="00F22BD3"/>
    <w:rsid w:val="00F22FA8"/>
    <w:rsid w:val="00F238AE"/>
    <w:rsid w:val="00F239C1"/>
    <w:rsid w:val="00F24292"/>
    <w:rsid w:val="00F24378"/>
    <w:rsid w:val="00F24E73"/>
    <w:rsid w:val="00F257F4"/>
    <w:rsid w:val="00F26236"/>
    <w:rsid w:val="00F2628F"/>
    <w:rsid w:val="00F266DC"/>
    <w:rsid w:val="00F267AD"/>
    <w:rsid w:val="00F26E26"/>
    <w:rsid w:val="00F2725E"/>
    <w:rsid w:val="00F2730F"/>
    <w:rsid w:val="00F276DE"/>
    <w:rsid w:val="00F2799E"/>
    <w:rsid w:val="00F27F08"/>
    <w:rsid w:val="00F27F80"/>
    <w:rsid w:val="00F30844"/>
    <w:rsid w:val="00F308C2"/>
    <w:rsid w:val="00F30F93"/>
    <w:rsid w:val="00F310FD"/>
    <w:rsid w:val="00F3117A"/>
    <w:rsid w:val="00F31372"/>
    <w:rsid w:val="00F3138A"/>
    <w:rsid w:val="00F31647"/>
    <w:rsid w:val="00F31F19"/>
    <w:rsid w:val="00F32265"/>
    <w:rsid w:val="00F32340"/>
    <w:rsid w:val="00F32575"/>
    <w:rsid w:val="00F32943"/>
    <w:rsid w:val="00F3298F"/>
    <w:rsid w:val="00F32B74"/>
    <w:rsid w:val="00F32CFE"/>
    <w:rsid w:val="00F32F21"/>
    <w:rsid w:val="00F33256"/>
    <w:rsid w:val="00F332AF"/>
    <w:rsid w:val="00F33B8A"/>
    <w:rsid w:val="00F33D13"/>
    <w:rsid w:val="00F340AF"/>
    <w:rsid w:val="00F346CC"/>
    <w:rsid w:val="00F34928"/>
    <w:rsid w:val="00F35296"/>
    <w:rsid w:val="00F352FE"/>
    <w:rsid w:val="00F35CD6"/>
    <w:rsid w:val="00F35E2C"/>
    <w:rsid w:val="00F36100"/>
    <w:rsid w:val="00F3630F"/>
    <w:rsid w:val="00F36367"/>
    <w:rsid w:val="00F372CB"/>
    <w:rsid w:val="00F37457"/>
    <w:rsid w:val="00F37486"/>
    <w:rsid w:val="00F375CB"/>
    <w:rsid w:val="00F377D6"/>
    <w:rsid w:val="00F37E92"/>
    <w:rsid w:val="00F4034A"/>
    <w:rsid w:val="00F40443"/>
    <w:rsid w:val="00F40AE8"/>
    <w:rsid w:val="00F40B56"/>
    <w:rsid w:val="00F41015"/>
    <w:rsid w:val="00F41570"/>
    <w:rsid w:val="00F4172E"/>
    <w:rsid w:val="00F41AAA"/>
    <w:rsid w:val="00F41D50"/>
    <w:rsid w:val="00F421FF"/>
    <w:rsid w:val="00F429F8"/>
    <w:rsid w:val="00F4391A"/>
    <w:rsid w:val="00F43B22"/>
    <w:rsid w:val="00F44162"/>
    <w:rsid w:val="00F446C2"/>
    <w:rsid w:val="00F44B27"/>
    <w:rsid w:val="00F45A7F"/>
    <w:rsid w:val="00F45DC4"/>
    <w:rsid w:val="00F4607C"/>
    <w:rsid w:val="00F46243"/>
    <w:rsid w:val="00F4676F"/>
    <w:rsid w:val="00F46853"/>
    <w:rsid w:val="00F46D50"/>
    <w:rsid w:val="00F47299"/>
    <w:rsid w:val="00F476E5"/>
    <w:rsid w:val="00F47B7C"/>
    <w:rsid w:val="00F5032E"/>
    <w:rsid w:val="00F504D0"/>
    <w:rsid w:val="00F505A7"/>
    <w:rsid w:val="00F5060E"/>
    <w:rsid w:val="00F50760"/>
    <w:rsid w:val="00F507DE"/>
    <w:rsid w:val="00F50897"/>
    <w:rsid w:val="00F509A3"/>
    <w:rsid w:val="00F5118E"/>
    <w:rsid w:val="00F51462"/>
    <w:rsid w:val="00F518D2"/>
    <w:rsid w:val="00F519A4"/>
    <w:rsid w:val="00F51C31"/>
    <w:rsid w:val="00F51F1B"/>
    <w:rsid w:val="00F51FE7"/>
    <w:rsid w:val="00F5205D"/>
    <w:rsid w:val="00F5272C"/>
    <w:rsid w:val="00F52949"/>
    <w:rsid w:val="00F52A73"/>
    <w:rsid w:val="00F52ACF"/>
    <w:rsid w:val="00F52DB6"/>
    <w:rsid w:val="00F52F2A"/>
    <w:rsid w:val="00F52FA4"/>
    <w:rsid w:val="00F53033"/>
    <w:rsid w:val="00F53320"/>
    <w:rsid w:val="00F533A1"/>
    <w:rsid w:val="00F537BF"/>
    <w:rsid w:val="00F538FA"/>
    <w:rsid w:val="00F53B37"/>
    <w:rsid w:val="00F53B41"/>
    <w:rsid w:val="00F54134"/>
    <w:rsid w:val="00F54186"/>
    <w:rsid w:val="00F5434B"/>
    <w:rsid w:val="00F547F2"/>
    <w:rsid w:val="00F55014"/>
    <w:rsid w:val="00F55359"/>
    <w:rsid w:val="00F555AB"/>
    <w:rsid w:val="00F55906"/>
    <w:rsid w:val="00F55D34"/>
    <w:rsid w:val="00F55E6C"/>
    <w:rsid w:val="00F564DF"/>
    <w:rsid w:val="00F56521"/>
    <w:rsid w:val="00F56736"/>
    <w:rsid w:val="00F56979"/>
    <w:rsid w:val="00F56989"/>
    <w:rsid w:val="00F569B9"/>
    <w:rsid w:val="00F56A60"/>
    <w:rsid w:val="00F56B63"/>
    <w:rsid w:val="00F56B88"/>
    <w:rsid w:val="00F6093E"/>
    <w:rsid w:val="00F60D6E"/>
    <w:rsid w:val="00F611A5"/>
    <w:rsid w:val="00F61571"/>
    <w:rsid w:val="00F618A5"/>
    <w:rsid w:val="00F620F6"/>
    <w:rsid w:val="00F62EFD"/>
    <w:rsid w:val="00F62F42"/>
    <w:rsid w:val="00F63AA7"/>
    <w:rsid w:val="00F63C84"/>
    <w:rsid w:val="00F63F31"/>
    <w:rsid w:val="00F64667"/>
    <w:rsid w:val="00F6466D"/>
    <w:rsid w:val="00F64E52"/>
    <w:rsid w:val="00F64F43"/>
    <w:rsid w:val="00F652B8"/>
    <w:rsid w:val="00F6543D"/>
    <w:rsid w:val="00F6559A"/>
    <w:rsid w:val="00F65D71"/>
    <w:rsid w:val="00F660DA"/>
    <w:rsid w:val="00F662F9"/>
    <w:rsid w:val="00F6653F"/>
    <w:rsid w:val="00F66C20"/>
    <w:rsid w:val="00F66C7F"/>
    <w:rsid w:val="00F6702B"/>
    <w:rsid w:val="00F6725B"/>
    <w:rsid w:val="00F6742C"/>
    <w:rsid w:val="00F67960"/>
    <w:rsid w:val="00F67AD0"/>
    <w:rsid w:val="00F67AE4"/>
    <w:rsid w:val="00F67B6A"/>
    <w:rsid w:val="00F67FF4"/>
    <w:rsid w:val="00F70A50"/>
    <w:rsid w:val="00F710A2"/>
    <w:rsid w:val="00F712EC"/>
    <w:rsid w:val="00F7146C"/>
    <w:rsid w:val="00F71522"/>
    <w:rsid w:val="00F71558"/>
    <w:rsid w:val="00F7188C"/>
    <w:rsid w:val="00F718EA"/>
    <w:rsid w:val="00F71B10"/>
    <w:rsid w:val="00F71DB4"/>
    <w:rsid w:val="00F71FD8"/>
    <w:rsid w:val="00F724C2"/>
    <w:rsid w:val="00F725DA"/>
    <w:rsid w:val="00F72A98"/>
    <w:rsid w:val="00F735B1"/>
    <w:rsid w:val="00F73658"/>
    <w:rsid w:val="00F74463"/>
    <w:rsid w:val="00F7457B"/>
    <w:rsid w:val="00F74911"/>
    <w:rsid w:val="00F74968"/>
    <w:rsid w:val="00F754DC"/>
    <w:rsid w:val="00F75984"/>
    <w:rsid w:val="00F764E8"/>
    <w:rsid w:val="00F7651C"/>
    <w:rsid w:val="00F76B01"/>
    <w:rsid w:val="00F774C7"/>
    <w:rsid w:val="00F77944"/>
    <w:rsid w:val="00F7E899"/>
    <w:rsid w:val="00F7F297"/>
    <w:rsid w:val="00F8020E"/>
    <w:rsid w:val="00F80451"/>
    <w:rsid w:val="00F81189"/>
    <w:rsid w:val="00F81486"/>
    <w:rsid w:val="00F81A40"/>
    <w:rsid w:val="00F81A4D"/>
    <w:rsid w:val="00F81B6B"/>
    <w:rsid w:val="00F81CEC"/>
    <w:rsid w:val="00F81FFD"/>
    <w:rsid w:val="00F8207C"/>
    <w:rsid w:val="00F8275A"/>
    <w:rsid w:val="00F828EE"/>
    <w:rsid w:val="00F82CEC"/>
    <w:rsid w:val="00F832E4"/>
    <w:rsid w:val="00F834C9"/>
    <w:rsid w:val="00F83891"/>
    <w:rsid w:val="00F838CD"/>
    <w:rsid w:val="00F83A47"/>
    <w:rsid w:val="00F84244"/>
    <w:rsid w:val="00F844C1"/>
    <w:rsid w:val="00F84617"/>
    <w:rsid w:val="00F85328"/>
    <w:rsid w:val="00F85916"/>
    <w:rsid w:val="00F86006"/>
    <w:rsid w:val="00F86047"/>
    <w:rsid w:val="00F869F0"/>
    <w:rsid w:val="00F86E3A"/>
    <w:rsid w:val="00F873E5"/>
    <w:rsid w:val="00F878E2"/>
    <w:rsid w:val="00F87991"/>
    <w:rsid w:val="00F8BE1F"/>
    <w:rsid w:val="00F9010B"/>
    <w:rsid w:val="00F90224"/>
    <w:rsid w:val="00F90B39"/>
    <w:rsid w:val="00F910E5"/>
    <w:rsid w:val="00F91648"/>
    <w:rsid w:val="00F91AB1"/>
    <w:rsid w:val="00F921FD"/>
    <w:rsid w:val="00F92438"/>
    <w:rsid w:val="00F93650"/>
    <w:rsid w:val="00F937DD"/>
    <w:rsid w:val="00F93E01"/>
    <w:rsid w:val="00F946B4"/>
    <w:rsid w:val="00F94EFE"/>
    <w:rsid w:val="00F9512B"/>
    <w:rsid w:val="00F9519A"/>
    <w:rsid w:val="00F95314"/>
    <w:rsid w:val="00F9588F"/>
    <w:rsid w:val="00F959C1"/>
    <w:rsid w:val="00F95BDB"/>
    <w:rsid w:val="00F960EF"/>
    <w:rsid w:val="00F968C8"/>
    <w:rsid w:val="00F96917"/>
    <w:rsid w:val="00FA0250"/>
    <w:rsid w:val="00FA06E1"/>
    <w:rsid w:val="00FA0A65"/>
    <w:rsid w:val="00FA0FD1"/>
    <w:rsid w:val="00FA13A9"/>
    <w:rsid w:val="00FA1931"/>
    <w:rsid w:val="00FA2190"/>
    <w:rsid w:val="00FA22B1"/>
    <w:rsid w:val="00FA266D"/>
    <w:rsid w:val="00FA2C32"/>
    <w:rsid w:val="00FA2DB5"/>
    <w:rsid w:val="00FA2E17"/>
    <w:rsid w:val="00FA3666"/>
    <w:rsid w:val="00FA3B05"/>
    <w:rsid w:val="00FA3DDB"/>
    <w:rsid w:val="00FA3EB5"/>
    <w:rsid w:val="00FA4179"/>
    <w:rsid w:val="00FA42D0"/>
    <w:rsid w:val="00FA49F1"/>
    <w:rsid w:val="00FA4B32"/>
    <w:rsid w:val="00FA4C22"/>
    <w:rsid w:val="00FA5304"/>
    <w:rsid w:val="00FA54FB"/>
    <w:rsid w:val="00FA5AC9"/>
    <w:rsid w:val="00FA5C9D"/>
    <w:rsid w:val="00FA5F5A"/>
    <w:rsid w:val="00FA617F"/>
    <w:rsid w:val="00FA618F"/>
    <w:rsid w:val="00FA6283"/>
    <w:rsid w:val="00FA64C4"/>
    <w:rsid w:val="00FA69BC"/>
    <w:rsid w:val="00FA6E75"/>
    <w:rsid w:val="00FA707D"/>
    <w:rsid w:val="00FA7109"/>
    <w:rsid w:val="00FA7419"/>
    <w:rsid w:val="00FA7691"/>
    <w:rsid w:val="00FA7970"/>
    <w:rsid w:val="00FA7B54"/>
    <w:rsid w:val="00FA7BF5"/>
    <w:rsid w:val="00FA7FDB"/>
    <w:rsid w:val="00FB006A"/>
    <w:rsid w:val="00FB0167"/>
    <w:rsid w:val="00FB03B0"/>
    <w:rsid w:val="00FB06AA"/>
    <w:rsid w:val="00FB0F02"/>
    <w:rsid w:val="00FB11CA"/>
    <w:rsid w:val="00FB1752"/>
    <w:rsid w:val="00FB1D22"/>
    <w:rsid w:val="00FB1D74"/>
    <w:rsid w:val="00FB1ED8"/>
    <w:rsid w:val="00FB20DA"/>
    <w:rsid w:val="00FB2411"/>
    <w:rsid w:val="00FB2BC6"/>
    <w:rsid w:val="00FB30AF"/>
    <w:rsid w:val="00FB3912"/>
    <w:rsid w:val="00FB41DF"/>
    <w:rsid w:val="00FB43F3"/>
    <w:rsid w:val="00FB48CA"/>
    <w:rsid w:val="00FB4A23"/>
    <w:rsid w:val="00FB4BB0"/>
    <w:rsid w:val="00FB4C97"/>
    <w:rsid w:val="00FB4DE5"/>
    <w:rsid w:val="00FB5763"/>
    <w:rsid w:val="00FB5D0C"/>
    <w:rsid w:val="00FB656C"/>
    <w:rsid w:val="00FB6A21"/>
    <w:rsid w:val="00FB6AC4"/>
    <w:rsid w:val="00FB6DB1"/>
    <w:rsid w:val="00FB70B7"/>
    <w:rsid w:val="00FB7351"/>
    <w:rsid w:val="00FB73FB"/>
    <w:rsid w:val="00FB78B8"/>
    <w:rsid w:val="00FB7DC8"/>
    <w:rsid w:val="00FB8456"/>
    <w:rsid w:val="00FC00D8"/>
    <w:rsid w:val="00FC018D"/>
    <w:rsid w:val="00FC0303"/>
    <w:rsid w:val="00FC0806"/>
    <w:rsid w:val="00FC0842"/>
    <w:rsid w:val="00FC08C0"/>
    <w:rsid w:val="00FC0E34"/>
    <w:rsid w:val="00FC10A9"/>
    <w:rsid w:val="00FC10B7"/>
    <w:rsid w:val="00FC145A"/>
    <w:rsid w:val="00FC1569"/>
    <w:rsid w:val="00FC1E17"/>
    <w:rsid w:val="00FC1EE6"/>
    <w:rsid w:val="00FC2360"/>
    <w:rsid w:val="00FC30D9"/>
    <w:rsid w:val="00FC30FB"/>
    <w:rsid w:val="00FC358E"/>
    <w:rsid w:val="00FC381C"/>
    <w:rsid w:val="00FC3EF3"/>
    <w:rsid w:val="00FC43FB"/>
    <w:rsid w:val="00FC4500"/>
    <w:rsid w:val="00FC472C"/>
    <w:rsid w:val="00FC54B6"/>
    <w:rsid w:val="00FC5710"/>
    <w:rsid w:val="00FC6363"/>
    <w:rsid w:val="00FC6B61"/>
    <w:rsid w:val="00FC72AB"/>
    <w:rsid w:val="00FC736D"/>
    <w:rsid w:val="00FC77D9"/>
    <w:rsid w:val="00FC7D10"/>
    <w:rsid w:val="00FD0016"/>
    <w:rsid w:val="00FD0752"/>
    <w:rsid w:val="00FD08AB"/>
    <w:rsid w:val="00FD0A1A"/>
    <w:rsid w:val="00FD0ADD"/>
    <w:rsid w:val="00FD0DD2"/>
    <w:rsid w:val="00FD0ECC"/>
    <w:rsid w:val="00FD1124"/>
    <w:rsid w:val="00FD130B"/>
    <w:rsid w:val="00FD176C"/>
    <w:rsid w:val="00FD18B8"/>
    <w:rsid w:val="00FD1A5B"/>
    <w:rsid w:val="00FD2592"/>
    <w:rsid w:val="00FD2EA9"/>
    <w:rsid w:val="00FD451D"/>
    <w:rsid w:val="00FD4573"/>
    <w:rsid w:val="00FD4A51"/>
    <w:rsid w:val="00FD4BD4"/>
    <w:rsid w:val="00FD4D4E"/>
    <w:rsid w:val="00FD4DAD"/>
    <w:rsid w:val="00FD5287"/>
    <w:rsid w:val="00FD536F"/>
    <w:rsid w:val="00FD548B"/>
    <w:rsid w:val="00FD5A19"/>
    <w:rsid w:val="00FD5CA0"/>
    <w:rsid w:val="00FD6027"/>
    <w:rsid w:val="00FD607B"/>
    <w:rsid w:val="00FD6A72"/>
    <w:rsid w:val="00FD6FB0"/>
    <w:rsid w:val="00FD7976"/>
    <w:rsid w:val="00FD7D02"/>
    <w:rsid w:val="00FD7EAA"/>
    <w:rsid w:val="00FE015C"/>
    <w:rsid w:val="00FE02A1"/>
    <w:rsid w:val="00FE0378"/>
    <w:rsid w:val="00FE050C"/>
    <w:rsid w:val="00FE05C4"/>
    <w:rsid w:val="00FE15A3"/>
    <w:rsid w:val="00FE1B04"/>
    <w:rsid w:val="00FE1FE9"/>
    <w:rsid w:val="00FE23FE"/>
    <w:rsid w:val="00FE260A"/>
    <w:rsid w:val="00FE2CC1"/>
    <w:rsid w:val="00FE2D37"/>
    <w:rsid w:val="00FE2E2C"/>
    <w:rsid w:val="00FE323C"/>
    <w:rsid w:val="00FE331E"/>
    <w:rsid w:val="00FE376E"/>
    <w:rsid w:val="00FE3B69"/>
    <w:rsid w:val="00FE41F6"/>
    <w:rsid w:val="00FE44BD"/>
    <w:rsid w:val="00FE46FC"/>
    <w:rsid w:val="00FE4754"/>
    <w:rsid w:val="00FE4AB1"/>
    <w:rsid w:val="00FE4F6E"/>
    <w:rsid w:val="00FE5188"/>
    <w:rsid w:val="00FE5899"/>
    <w:rsid w:val="00FE5CCE"/>
    <w:rsid w:val="00FE5D64"/>
    <w:rsid w:val="00FE5FCA"/>
    <w:rsid w:val="00FE6245"/>
    <w:rsid w:val="00FE62B2"/>
    <w:rsid w:val="00FE69EC"/>
    <w:rsid w:val="00FE70AA"/>
    <w:rsid w:val="00FE74BB"/>
    <w:rsid w:val="00FE75BF"/>
    <w:rsid w:val="00FF071C"/>
    <w:rsid w:val="00FF07F0"/>
    <w:rsid w:val="00FF0B76"/>
    <w:rsid w:val="00FF1080"/>
    <w:rsid w:val="00FF1C09"/>
    <w:rsid w:val="00FF1DA7"/>
    <w:rsid w:val="00FF1DAD"/>
    <w:rsid w:val="00FF243C"/>
    <w:rsid w:val="00FF24B3"/>
    <w:rsid w:val="00FF2A60"/>
    <w:rsid w:val="00FF2FD6"/>
    <w:rsid w:val="00FF3164"/>
    <w:rsid w:val="00FF31BC"/>
    <w:rsid w:val="00FF3434"/>
    <w:rsid w:val="00FF3799"/>
    <w:rsid w:val="00FF385B"/>
    <w:rsid w:val="00FF3B1C"/>
    <w:rsid w:val="00FF3DD9"/>
    <w:rsid w:val="00FF3E93"/>
    <w:rsid w:val="00FF3F5A"/>
    <w:rsid w:val="00FF4590"/>
    <w:rsid w:val="00FF4B7F"/>
    <w:rsid w:val="00FF4BD4"/>
    <w:rsid w:val="00FF5210"/>
    <w:rsid w:val="00FF542C"/>
    <w:rsid w:val="00FF5588"/>
    <w:rsid w:val="00FF5721"/>
    <w:rsid w:val="00FF5AEE"/>
    <w:rsid w:val="00FF637F"/>
    <w:rsid w:val="00FF6A1F"/>
    <w:rsid w:val="00FF72A7"/>
    <w:rsid w:val="00FF7301"/>
    <w:rsid w:val="00FF741D"/>
    <w:rsid w:val="00FF7551"/>
    <w:rsid w:val="00FF7906"/>
    <w:rsid w:val="00FF7969"/>
    <w:rsid w:val="00FF7A9F"/>
    <w:rsid w:val="00FF7C00"/>
    <w:rsid w:val="00FF7C07"/>
    <w:rsid w:val="00FF7C50"/>
    <w:rsid w:val="00FF7E23"/>
    <w:rsid w:val="00FF9F5C"/>
    <w:rsid w:val="0101BD10"/>
    <w:rsid w:val="010254D6"/>
    <w:rsid w:val="01029299"/>
    <w:rsid w:val="01038F4E"/>
    <w:rsid w:val="01040237"/>
    <w:rsid w:val="0107103B"/>
    <w:rsid w:val="01074581"/>
    <w:rsid w:val="01083E6D"/>
    <w:rsid w:val="010886A3"/>
    <w:rsid w:val="0108C35E"/>
    <w:rsid w:val="010978F5"/>
    <w:rsid w:val="010A6938"/>
    <w:rsid w:val="011376D3"/>
    <w:rsid w:val="01140F9A"/>
    <w:rsid w:val="0116AA28"/>
    <w:rsid w:val="0116C067"/>
    <w:rsid w:val="01248C6B"/>
    <w:rsid w:val="01249B11"/>
    <w:rsid w:val="012548A6"/>
    <w:rsid w:val="0127DDCB"/>
    <w:rsid w:val="0127FEF2"/>
    <w:rsid w:val="012DB0D9"/>
    <w:rsid w:val="012F1680"/>
    <w:rsid w:val="01310704"/>
    <w:rsid w:val="0131E642"/>
    <w:rsid w:val="01350E68"/>
    <w:rsid w:val="01382C00"/>
    <w:rsid w:val="013940BA"/>
    <w:rsid w:val="013D4698"/>
    <w:rsid w:val="01445FB0"/>
    <w:rsid w:val="0145720A"/>
    <w:rsid w:val="01494D91"/>
    <w:rsid w:val="014FB8EC"/>
    <w:rsid w:val="014FB973"/>
    <w:rsid w:val="01505004"/>
    <w:rsid w:val="01538F64"/>
    <w:rsid w:val="0156331F"/>
    <w:rsid w:val="01582480"/>
    <w:rsid w:val="0159030F"/>
    <w:rsid w:val="0159083A"/>
    <w:rsid w:val="015D41E7"/>
    <w:rsid w:val="01617DEA"/>
    <w:rsid w:val="01690DA1"/>
    <w:rsid w:val="016A0A97"/>
    <w:rsid w:val="016B687B"/>
    <w:rsid w:val="016C28C3"/>
    <w:rsid w:val="016CA501"/>
    <w:rsid w:val="016E3C7B"/>
    <w:rsid w:val="016E8D56"/>
    <w:rsid w:val="0170EA2B"/>
    <w:rsid w:val="0174001B"/>
    <w:rsid w:val="017454C0"/>
    <w:rsid w:val="01747550"/>
    <w:rsid w:val="0174E504"/>
    <w:rsid w:val="0177A0BA"/>
    <w:rsid w:val="017A0CB6"/>
    <w:rsid w:val="017B93AD"/>
    <w:rsid w:val="017C6607"/>
    <w:rsid w:val="017E1727"/>
    <w:rsid w:val="017F62E2"/>
    <w:rsid w:val="017F8CD6"/>
    <w:rsid w:val="01800199"/>
    <w:rsid w:val="0183578F"/>
    <w:rsid w:val="01849B99"/>
    <w:rsid w:val="018D90EB"/>
    <w:rsid w:val="018E0B62"/>
    <w:rsid w:val="018F4037"/>
    <w:rsid w:val="019020E9"/>
    <w:rsid w:val="01929B2E"/>
    <w:rsid w:val="019438AC"/>
    <w:rsid w:val="0194AD80"/>
    <w:rsid w:val="01966502"/>
    <w:rsid w:val="019B1336"/>
    <w:rsid w:val="019B6880"/>
    <w:rsid w:val="019CFC96"/>
    <w:rsid w:val="01A02619"/>
    <w:rsid w:val="01A0C38B"/>
    <w:rsid w:val="01A17A09"/>
    <w:rsid w:val="01A4EA9C"/>
    <w:rsid w:val="01A8ACDB"/>
    <w:rsid w:val="01AC21C8"/>
    <w:rsid w:val="01AEB533"/>
    <w:rsid w:val="01AF6691"/>
    <w:rsid w:val="01B1507F"/>
    <w:rsid w:val="01B43B58"/>
    <w:rsid w:val="01B6D016"/>
    <w:rsid w:val="01B7C2F9"/>
    <w:rsid w:val="01B93C49"/>
    <w:rsid w:val="01BA71F4"/>
    <w:rsid w:val="01BABBB4"/>
    <w:rsid w:val="01BD4C38"/>
    <w:rsid w:val="01C09019"/>
    <w:rsid w:val="01C1687F"/>
    <w:rsid w:val="01C20624"/>
    <w:rsid w:val="01C4A61A"/>
    <w:rsid w:val="01C757CF"/>
    <w:rsid w:val="01C7851B"/>
    <w:rsid w:val="01C8FB29"/>
    <w:rsid w:val="01CFD600"/>
    <w:rsid w:val="01D9E6D0"/>
    <w:rsid w:val="01DADE3D"/>
    <w:rsid w:val="01DD85FC"/>
    <w:rsid w:val="01DE4A49"/>
    <w:rsid w:val="01DE9137"/>
    <w:rsid w:val="01DEB781"/>
    <w:rsid w:val="01E06AE1"/>
    <w:rsid w:val="01E1162A"/>
    <w:rsid w:val="01E25E39"/>
    <w:rsid w:val="01E3C918"/>
    <w:rsid w:val="01E668FB"/>
    <w:rsid w:val="01E8C24E"/>
    <w:rsid w:val="01EBE377"/>
    <w:rsid w:val="01F0E5EA"/>
    <w:rsid w:val="01F0FC32"/>
    <w:rsid w:val="01F10986"/>
    <w:rsid w:val="01F1C64C"/>
    <w:rsid w:val="01F34278"/>
    <w:rsid w:val="01F3D0C1"/>
    <w:rsid w:val="01F717A8"/>
    <w:rsid w:val="01F803B7"/>
    <w:rsid w:val="01F8862C"/>
    <w:rsid w:val="01F89AE5"/>
    <w:rsid w:val="01FDCDA6"/>
    <w:rsid w:val="0200B1E9"/>
    <w:rsid w:val="020285F5"/>
    <w:rsid w:val="0203C0DF"/>
    <w:rsid w:val="0204753B"/>
    <w:rsid w:val="0204A229"/>
    <w:rsid w:val="02061275"/>
    <w:rsid w:val="02077036"/>
    <w:rsid w:val="020884E2"/>
    <w:rsid w:val="020B009D"/>
    <w:rsid w:val="020BD2F9"/>
    <w:rsid w:val="020E3A15"/>
    <w:rsid w:val="020EBC30"/>
    <w:rsid w:val="021220D8"/>
    <w:rsid w:val="0212BD5B"/>
    <w:rsid w:val="0213BFEB"/>
    <w:rsid w:val="021464AB"/>
    <w:rsid w:val="0214CD0A"/>
    <w:rsid w:val="021604D3"/>
    <w:rsid w:val="0218647A"/>
    <w:rsid w:val="02193FF0"/>
    <w:rsid w:val="0219B77C"/>
    <w:rsid w:val="0219E1FD"/>
    <w:rsid w:val="021B0B27"/>
    <w:rsid w:val="021BA95A"/>
    <w:rsid w:val="021C1E69"/>
    <w:rsid w:val="021D0809"/>
    <w:rsid w:val="021F4884"/>
    <w:rsid w:val="0220A93B"/>
    <w:rsid w:val="0223C809"/>
    <w:rsid w:val="0224159B"/>
    <w:rsid w:val="0224D6A0"/>
    <w:rsid w:val="02254CF1"/>
    <w:rsid w:val="0226473C"/>
    <w:rsid w:val="0226D0D6"/>
    <w:rsid w:val="022864DE"/>
    <w:rsid w:val="022AAC58"/>
    <w:rsid w:val="022B72A8"/>
    <w:rsid w:val="022BAD19"/>
    <w:rsid w:val="02318FD1"/>
    <w:rsid w:val="0232EE38"/>
    <w:rsid w:val="0238C576"/>
    <w:rsid w:val="02397554"/>
    <w:rsid w:val="0239B2B7"/>
    <w:rsid w:val="023AE058"/>
    <w:rsid w:val="023C062C"/>
    <w:rsid w:val="023F8D26"/>
    <w:rsid w:val="0240D0C9"/>
    <w:rsid w:val="0240E8DB"/>
    <w:rsid w:val="02421044"/>
    <w:rsid w:val="02437CAE"/>
    <w:rsid w:val="0243A5FC"/>
    <w:rsid w:val="024A5892"/>
    <w:rsid w:val="024B0EAE"/>
    <w:rsid w:val="024B35CB"/>
    <w:rsid w:val="024BECE4"/>
    <w:rsid w:val="024FD44E"/>
    <w:rsid w:val="02521D02"/>
    <w:rsid w:val="025675BD"/>
    <w:rsid w:val="02567656"/>
    <w:rsid w:val="02581EF4"/>
    <w:rsid w:val="025856D4"/>
    <w:rsid w:val="02599CD0"/>
    <w:rsid w:val="025A068A"/>
    <w:rsid w:val="025AE56E"/>
    <w:rsid w:val="025B4DAF"/>
    <w:rsid w:val="025C3F8B"/>
    <w:rsid w:val="025C8C1E"/>
    <w:rsid w:val="02616646"/>
    <w:rsid w:val="0261CF5A"/>
    <w:rsid w:val="0264F44C"/>
    <w:rsid w:val="02696150"/>
    <w:rsid w:val="026D987B"/>
    <w:rsid w:val="026DCF52"/>
    <w:rsid w:val="0273B10F"/>
    <w:rsid w:val="0274DDBC"/>
    <w:rsid w:val="0275BE8E"/>
    <w:rsid w:val="0276317F"/>
    <w:rsid w:val="027B55BF"/>
    <w:rsid w:val="027BE5BA"/>
    <w:rsid w:val="027CEAF7"/>
    <w:rsid w:val="027CF79A"/>
    <w:rsid w:val="02801497"/>
    <w:rsid w:val="0280D929"/>
    <w:rsid w:val="0284273D"/>
    <w:rsid w:val="02856FC9"/>
    <w:rsid w:val="0285D9E1"/>
    <w:rsid w:val="0285F819"/>
    <w:rsid w:val="0286347C"/>
    <w:rsid w:val="028716FD"/>
    <w:rsid w:val="02880991"/>
    <w:rsid w:val="028B30FB"/>
    <w:rsid w:val="028BD43C"/>
    <w:rsid w:val="028D25DD"/>
    <w:rsid w:val="028D4111"/>
    <w:rsid w:val="028E2AC9"/>
    <w:rsid w:val="028F6F3F"/>
    <w:rsid w:val="028F7C85"/>
    <w:rsid w:val="029247BF"/>
    <w:rsid w:val="0293515F"/>
    <w:rsid w:val="02943DFC"/>
    <w:rsid w:val="02947ADC"/>
    <w:rsid w:val="02989341"/>
    <w:rsid w:val="02990B1F"/>
    <w:rsid w:val="02995843"/>
    <w:rsid w:val="029B23D9"/>
    <w:rsid w:val="029B4239"/>
    <w:rsid w:val="029CAA43"/>
    <w:rsid w:val="02A84196"/>
    <w:rsid w:val="02A857E3"/>
    <w:rsid w:val="02AF4327"/>
    <w:rsid w:val="02B01527"/>
    <w:rsid w:val="02B052B4"/>
    <w:rsid w:val="02B3E8B2"/>
    <w:rsid w:val="02B59550"/>
    <w:rsid w:val="02B70F23"/>
    <w:rsid w:val="02B90BEB"/>
    <w:rsid w:val="02BA1F83"/>
    <w:rsid w:val="02BB69AB"/>
    <w:rsid w:val="02C05577"/>
    <w:rsid w:val="02C41E89"/>
    <w:rsid w:val="02C4E6B0"/>
    <w:rsid w:val="02C99F3C"/>
    <w:rsid w:val="02C9E1B7"/>
    <w:rsid w:val="02CA140E"/>
    <w:rsid w:val="02CBA7DB"/>
    <w:rsid w:val="02CBBC1E"/>
    <w:rsid w:val="02CF30D2"/>
    <w:rsid w:val="02CF5278"/>
    <w:rsid w:val="02D813A0"/>
    <w:rsid w:val="02D94908"/>
    <w:rsid w:val="02DA7E59"/>
    <w:rsid w:val="02DB465B"/>
    <w:rsid w:val="02DB80EA"/>
    <w:rsid w:val="02DC0A1D"/>
    <w:rsid w:val="02DD52E5"/>
    <w:rsid w:val="02DE540C"/>
    <w:rsid w:val="02E1C4A9"/>
    <w:rsid w:val="02E1C7DD"/>
    <w:rsid w:val="02E3BAB0"/>
    <w:rsid w:val="02E45F13"/>
    <w:rsid w:val="02E60640"/>
    <w:rsid w:val="02E7CB8F"/>
    <w:rsid w:val="02EE12A2"/>
    <w:rsid w:val="02EF7432"/>
    <w:rsid w:val="02F05EA4"/>
    <w:rsid w:val="02F07E58"/>
    <w:rsid w:val="02F0A79D"/>
    <w:rsid w:val="02F2B26E"/>
    <w:rsid w:val="02F4DBD6"/>
    <w:rsid w:val="02F59070"/>
    <w:rsid w:val="02F6BD41"/>
    <w:rsid w:val="02FABFB6"/>
    <w:rsid w:val="02FCFF45"/>
    <w:rsid w:val="02FF9D9D"/>
    <w:rsid w:val="0300B981"/>
    <w:rsid w:val="0300FE52"/>
    <w:rsid w:val="03015808"/>
    <w:rsid w:val="03023F31"/>
    <w:rsid w:val="0302ABF2"/>
    <w:rsid w:val="0303AE12"/>
    <w:rsid w:val="0304C1A6"/>
    <w:rsid w:val="03069906"/>
    <w:rsid w:val="0306991E"/>
    <w:rsid w:val="0309013B"/>
    <w:rsid w:val="030AB77C"/>
    <w:rsid w:val="030D2AA3"/>
    <w:rsid w:val="030DDDF9"/>
    <w:rsid w:val="030EEDE4"/>
    <w:rsid w:val="030FB8AC"/>
    <w:rsid w:val="03109407"/>
    <w:rsid w:val="0312DFDA"/>
    <w:rsid w:val="0316644B"/>
    <w:rsid w:val="0316D219"/>
    <w:rsid w:val="0317336C"/>
    <w:rsid w:val="031A58C5"/>
    <w:rsid w:val="031B1098"/>
    <w:rsid w:val="031DAAC6"/>
    <w:rsid w:val="031EBF56"/>
    <w:rsid w:val="031F2344"/>
    <w:rsid w:val="031F9CC0"/>
    <w:rsid w:val="03204A7E"/>
    <w:rsid w:val="03205A9E"/>
    <w:rsid w:val="0322CD25"/>
    <w:rsid w:val="0326CDA3"/>
    <w:rsid w:val="0326EAC7"/>
    <w:rsid w:val="0327729A"/>
    <w:rsid w:val="0328DBB4"/>
    <w:rsid w:val="032FCDF9"/>
    <w:rsid w:val="033079A6"/>
    <w:rsid w:val="03314C35"/>
    <w:rsid w:val="0335CAA5"/>
    <w:rsid w:val="0338EECF"/>
    <w:rsid w:val="03394439"/>
    <w:rsid w:val="0339E662"/>
    <w:rsid w:val="033E8157"/>
    <w:rsid w:val="03427483"/>
    <w:rsid w:val="03430A82"/>
    <w:rsid w:val="034313AF"/>
    <w:rsid w:val="03432F4D"/>
    <w:rsid w:val="0343B646"/>
    <w:rsid w:val="0345DCE0"/>
    <w:rsid w:val="03495332"/>
    <w:rsid w:val="034BB346"/>
    <w:rsid w:val="034CFAAC"/>
    <w:rsid w:val="034DAE0E"/>
    <w:rsid w:val="034FCAFD"/>
    <w:rsid w:val="0351C07D"/>
    <w:rsid w:val="0352506F"/>
    <w:rsid w:val="03572771"/>
    <w:rsid w:val="035988D1"/>
    <w:rsid w:val="035A2888"/>
    <w:rsid w:val="035C67C5"/>
    <w:rsid w:val="035C7AC6"/>
    <w:rsid w:val="035D18FC"/>
    <w:rsid w:val="035E4C4C"/>
    <w:rsid w:val="035F3FC6"/>
    <w:rsid w:val="035F63B9"/>
    <w:rsid w:val="03606E07"/>
    <w:rsid w:val="03638D40"/>
    <w:rsid w:val="0363DA8A"/>
    <w:rsid w:val="0363F9B2"/>
    <w:rsid w:val="0365CC05"/>
    <w:rsid w:val="03683724"/>
    <w:rsid w:val="0368ED6C"/>
    <w:rsid w:val="03699238"/>
    <w:rsid w:val="036AC667"/>
    <w:rsid w:val="036B795C"/>
    <w:rsid w:val="036BA392"/>
    <w:rsid w:val="036F011A"/>
    <w:rsid w:val="0370441A"/>
    <w:rsid w:val="0371BE96"/>
    <w:rsid w:val="03738F80"/>
    <w:rsid w:val="03754F5D"/>
    <w:rsid w:val="0375960B"/>
    <w:rsid w:val="037C0755"/>
    <w:rsid w:val="037C5C80"/>
    <w:rsid w:val="037C76BB"/>
    <w:rsid w:val="037CE45B"/>
    <w:rsid w:val="037D91BC"/>
    <w:rsid w:val="037EC1BB"/>
    <w:rsid w:val="037F62F1"/>
    <w:rsid w:val="0381FDC0"/>
    <w:rsid w:val="0381FE6C"/>
    <w:rsid w:val="03846C10"/>
    <w:rsid w:val="0385EC01"/>
    <w:rsid w:val="0385EE1F"/>
    <w:rsid w:val="038C4E2E"/>
    <w:rsid w:val="038D0D27"/>
    <w:rsid w:val="038FAD13"/>
    <w:rsid w:val="03919447"/>
    <w:rsid w:val="039293E3"/>
    <w:rsid w:val="0394EF46"/>
    <w:rsid w:val="039E6C59"/>
    <w:rsid w:val="039E81D0"/>
    <w:rsid w:val="03A2863B"/>
    <w:rsid w:val="03A320F1"/>
    <w:rsid w:val="03A7C6CF"/>
    <w:rsid w:val="03A87BC9"/>
    <w:rsid w:val="03AE93E6"/>
    <w:rsid w:val="03AF57F1"/>
    <w:rsid w:val="03AF7FE4"/>
    <w:rsid w:val="03B0B71C"/>
    <w:rsid w:val="03B2339C"/>
    <w:rsid w:val="03B4A50A"/>
    <w:rsid w:val="03B5CE82"/>
    <w:rsid w:val="03B6A1C1"/>
    <w:rsid w:val="03B7DC6B"/>
    <w:rsid w:val="03B95A0F"/>
    <w:rsid w:val="03B97A3C"/>
    <w:rsid w:val="03BA2E27"/>
    <w:rsid w:val="03BA63CC"/>
    <w:rsid w:val="03BB9B98"/>
    <w:rsid w:val="03BC4EBF"/>
    <w:rsid w:val="03BD1EBE"/>
    <w:rsid w:val="03BD93F3"/>
    <w:rsid w:val="03BDBB62"/>
    <w:rsid w:val="03BFE5FC"/>
    <w:rsid w:val="03C2A0A9"/>
    <w:rsid w:val="03C52E43"/>
    <w:rsid w:val="03C66802"/>
    <w:rsid w:val="03C6E258"/>
    <w:rsid w:val="03C929F2"/>
    <w:rsid w:val="03CA1E96"/>
    <w:rsid w:val="03CB3554"/>
    <w:rsid w:val="03CB979A"/>
    <w:rsid w:val="03CD07A9"/>
    <w:rsid w:val="03CDE1BD"/>
    <w:rsid w:val="03CF11EB"/>
    <w:rsid w:val="03D1A5B7"/>
    <w:rsid w:val="03D26787"/>
    <w:rsid w:val="03D3E661"/>
    <w:rsid w:val="03D50A1C"/>
    <w:rsid w:val="03D5219F"/>
    <w:rsid w:val="03D6EBC9"/>
    <w:rsid w:val="03D72EA8"/>
    <w:rsid w:val="03D810A9"/>
    <w:rsid w:val="03DAD1DD"/>
    <w:rsid w:val="03DE1490"/>
    <w:rsid w:val="03DE53D9"/>
    <w:rsid w:val="03E349FB"/>
    <w:rsid w:val="03E35942"/>
    <w:rsid w:val="03E3832E"/>
    <w:rsid w:val="03E46EDE"/>
    <w:rsid w:val="03E51500"/>
    <w:rsid w:val="03E9D36A"/>
    <w:rsid w:val="03EA8408"/>
    <w:rsid w:val="03EE4EFD"/>
    <w:rsid w:val="03EEE9BA"/>
    <w:rsid w:val="03EFC4AE"/>
    <w:rsid w:val="03F29360"/>
    <w:rsid w:val="03F3F5F5"/>
    <w:rsid w:val="03F8236E"/>
    <w:rsid w:val="03F8BEEC"/>
    <w:rsid w:val="03F8EF4E"/>
    <w:rsid w:val="03F9FC7B"/>
    <w:rsid w:val="03FA0557"/>
    <w:rsid w:val="03FBB5DD"/>
    <w:rsid w:val="03FC6D50"/>
    <w:rsid w:val="03FE7001"/>
    <w:rsid w:val="03FFC0F8"/>
    <w:rsid w:val="03FFFC8F"/>
    <w:rsid w:val="04013352"/>
    <w:rsid w:val="0402B25C"/>
    <w:rsid w:val="04044B2E"/>
    <w:rsid w:val="04055B98"/>
    <w:rsid w:val="0409E2F2"/>
    <w:rsid w:val="040A468C"/>
    <w:rsid w:val="040CDBE2"/>
    <w:rsid w:val="040D0F73"/>
    <w:rsid w:val="040EA8BE"/>
    <w:rsid w:val="0410EC44"/>
    <w:rsid w:val="041516FB"/>
    <w:rsid w:val="04161045"/>
    <w:rsid w:val="04172D55"/>
    <w:rsid w:val="0417D0C6"/>
    <w:rsid w:val="0418FC53"/>
    <w:rsid w:val="041BE0D8"/>
    <w:rsid w:val="041C822D"/>
    <w:rsid w:val="041D3713"/>
    <w:rsid w:val="041D4709"/>
    <w:rsid w:val="042302BA"/>
    <w:rsid w:val="0424CC8D"/>
    <w:rsid w:val="04251161"/>
    <w:rsid w:val="0425E264"/>
    <w:rsid w:val="0427EAD9"/>
    <w:rsid w:val="04294C24"/>
    <w:rsid w:val="042ED69D"/>
    <w:rsid w:val="042F293E"/>
    <w:rsid w:val="042F7E4C"/>
    <w:rsid w:val="042FD976"/>
    <w:rsid w:val="04303047"/>
    <w:rsid w:val="0430800B"/>
    <w:rsid w:val="0430E373"/>
    <w:rsid w:val="0431F316"/>
    <w:rsid w:val="0432E809"/>
    <w:rsid w:val="0433B26E"/>
    <w:rsid w:val="0436AFF1"/>
    <w:rsid w:val="04381A9B"/>
    <w:rsid w:val="043AC6B0"/>
    <w:rsid w:val="043AFC82"/>
    <w:rsid w:val="043F83DC"/>
    <w:rsid w:val="043F93C3"/>
    <w:rsid w:val="043FDDEB"/>
    <w:rsid w:val="04415F0B"/>
    <w:rsid w:val="04436AB9"/>
    <w:rsid w:val="04449FB1"/>
    <w:rsid w:val="044726B6"/>
    <w:rsid w:val="0448161B"/>
    <w:rsid w:val="044A2402"/>
    <w:rsid w:val="044A7952"/>
    <w:rsid w:val="044B3821"/>
    <w:rsid w:val="044C9715"/>
    <w:rsid w:val="044D865A"/>
    <w:rsid w:val="044E5A58"/>
    <w:rsid w:val="0456B9CE"/>
    <w:rsid w:val="045729C8"/>
    <w:rsid w:val="04587255"/>
    <w:rsid w:val="04587285"/>
    <w:rsid w:val="04595A73"/>
    <w:rsid w:val="04595AC2"/>
    <w:rsid w:val="045EFBF9"/>
    <w:rsid w:val="045FE06A"/>
    <w:rsid w:val="0461AD51"/>
    <w:rsid w:val="0462842E"/>
    <w:rsid w:val="04633909"/>
    <w:rsid w:val="04643650"/>
    <w:rsid w:val="0464976F"/>
    <w:rsid w:val="04665AC4"/>
    <w:rsid w:val="046977AD"/>
    <w:rsid w:val="046C0CCF"/>
    <w:rsid w:val="046D2C93"/>
    <w:rsid w:val="046FC78A"/>
    <w:rsid w:val="0472DB24"/>
    <w:rsid w:val="04734818"/>
    <w:rsid w:val="0477163A"/>
    <w:rsid w:val="047D1E9F"/>
    <w:rsid w:val="047D3DB7"/>
    <w:rsid w:val="047D6002"/>
    <w:rsid w:val="04828465"/>
    <w:rsid w:val="0484C527"/>
    <w:rsid w:val="0484EE0D"/>
    <w:rsid w:val="04856031"/>
    <w:rsid w:val="04890332"/>
    <w:rsid w:val="048B5CAC"/>
    <w:rsid w:val="048DA996"/>
    <w:rsid w:val="048FD61D"/>
    <w:rsid w:val="04933529"/>
    <w:rsid w:val="0493A034"/>
    <w:rsid w:val="049569C8"/>
    <w:rsid w:val="049925D5"/>
    <w:rsid w:val="04995442"/>
    <w:rsid w:val="049A6208"/>
    <w:rsid w:val="049AD8A6"/>
    <w:rsid w:val="049B9EF1"/>
    <w:rsid w:val="049D04C7"/>
    <w:rsid w:val="049E7B31"/>
    <w:rsid w:val="049E9FD7"/>
    <w:rsid w:val="04A0B788"/>
    <w:rsid w:val="04A1DD06"/>
    <w:rsid w:val="04A3DABA"/>
    <w:rsid w:val="04A3FE2D"/>
    <w:rsid w:val="04AF8CE3"/>
    <w:rsid w:val="04AFA970"/>
    <w:rsid w:val="04B05659"/>
    <w:rsid w:val="04B5D7BC"/>
    <w:rsid w:val="04B717C4"/>
    <w:rsid w:val="04B98672"/>
    <w:rsid w:val="04B98BFF"/>
    <w:rsid w:val="04B9C9C2"/>
    <w:rsid w:val="04BBA930"/>
    <w:rsid w:val="04BBB484"/>
    <w:rsid w:val="04BD48CB"/>
    <w:rsid w:val="04BDC332"/>
    <w:rsid w:val="04C2795A"/>
    <w:rsid w:val="04C586EB"/>
    <w:rsid w:val="04C8DB6A"/>
    <w:rsid w:val="04CD483F"/>
    <w:rsid w:val="04CE5982"/>
    <w:rsid w:val="04CFD277"/>
    <w:rsid w:val="04D02A70"/>
    <w:rsid w:val="04D0A3BA"/>
    <w:rsid w:val="04D2E30D"/>
    <w:rsid w:val="04D8F16D"/>
    <w:rsid w:val="04DF92A4"/>
    <w:rsid w:val="04E23747"/>
    <w:rsid w:val="04E5AB1A"/>
    <w:rsid w:val="04E934B8"/>
    <w:rsid w:val="04EC9DFC"/>
    <w:rsid w:val="04ECA5E9"/>
    <w:rsid w:val="04EE5BFE"/>
    <w:rsid w:val="04EF0348"/>
    <w:rsid w:val="04F226C0"/>
    <w:rsid w:val="04F75CF7"/>
    <w:rsid w:val="04F97F72"/>
    <w:rsid w:val="04FAB0B3"/>
    <w:rsid w:val="04FB8340"/>
    <w:rsid w:val="04FEF03C"/>
    <w:rsid w:val="0500BECB"/>
    <w:rsid w:val="0500F19B"/>
    <w:rsid w:val="05032345"/>
    <w:rsid w:val="050840C9"/>
    <w:rsid w:val="050844D6"/>
    <w:rsid w:val="05090094"/>
    <w:rsid w:val="0509F0F5"/>
    <w:rsid w:val="050ACF40"/>
    <w:rsid w:val="050C2580"/>
    <w:rsid w:val="05101206"/>
    <w:rsid w:val="0513C9F8"/>
    <w:rsid w:val="0515282F"/>
    <w:rsid w:val="051685FF"/>
    <w:rsid w:val="0518601E"/>
    <w:rsid w:val="051C7AC2"/>
    <w:rsid w:val="05226407"/>
    <w:rsid w:val="05229B01"/>
    <w:rsid w:val="0527ED56"/>
    <w:rsid w:val="0527F8E8"/>
    <w:rsid w:val="0528C2CD"/>
    <w:rsid w:val="052996FD"/>
    <w:rsid w:val="052A990D"/>
    <w:rsid w:val="052F02C3"/>
    <w:rsid w:val="052F60A3"/>
    <w:rsid w:val="05310452"/>
    <w:rsid w:val="0531EF5F"/>
    <w:rsid w:val="0533271F"/>
    <w:rsid w:val="053331B0"/>
    <w:rsid w:val="0538FCB2"/>
    <w:rsid w:val="0539BA89"/>
    <w:rsid w:val="053CD59F"/>
    <w:rsid w:val="053D8A20"/>
    <w:rsid w:val="053E793F"/>
    <w:rsid w:val="053F18D9"/>
    <w:rsid w:val="0544355D"/>
    <w:rsid w:val="05464D44"/>
    <w:rsid w:val="05472205"/>
    <w:rsid w:val="05482F68"/>
    <w:rsid w:val="054925F2"/>
    <w:rsid w:val="054C1833"/>
    <w:rsid w:val="054DF42F"/>
    <w:rsid w:val="054DF6DA"/>
    <w:rsid w:val="054E115E"/>
    <w:rsid w:val="05506B21"/>
    <w:rsid w:val="05552CE4"/>
    <w:rsid w:val="055568E4"/>
    <w:rsid w:val="0556F188"/>
    <w:rsid w:val="0557C31A"/>
    <w:rsid w:val="0561054B"/>
    <w:rsid w:val="0562283A"/>
    <w:rsid w:val="0564AFA2"/>
    <w:rsid w:val="056570E0"/>
    <w:rsid w:val="05671DF3"/>
    <w:rsid w:val="056806D9"/>
    <w:rsid w:val="0568D12C"/>
    <w:rsid w:val="05697052"/>
    <w:rsid w:val="056ABAE7"/>
    <w:rsid w:val="056B577C"/>
    <w:rsid w:val="056B6316"/>
    <w:rsid w:val="056EF886"/>
    <w:rsid w:val="056F9B8A"/>
    <w:rsid w:val="0570FA17"/>
    <w:rsid w:val="05729012"/>
    <w:rsid w:val="0572DA16"/>
    <w:rsid w:val="05741341"/>
    <w:rsid w:val="05763317"/>
    <w:rsid w:val="0576A23E"/>
    <w:rsid w:val="0576EB40"/>
    <w:rsid w:val="0576F43A"/>
    <w:rsid w:val="05772F81"/>
    <w:rsid w:val="0579F613"/>
    <w:rsid w:val="057A264C"/>
    <w:rsid w:val="057C734F"/>
    <w:rsid w:val="0580310E"/>
    <w:rsid w:val="0582152A"/>
    <w:rsid w:val="05827D6C"/>
    <w:rsid w:val="05831B92"/>
    <w:rsid w:val="0585A98B"/>
    <w:rsid w:val="05875189"/>
    <w:rsid w:val="0587E7F2"/>
    <w:rsid w:val="0589C708"/>
    <w:rsid w:val="058A932B"/>
    <w:rsid w:val="058D6705"/>
    <w:rsid w:val="05957287"/>
    <w:rsid w:val="0595E382"/>
    <w:rsid w:val="05979D8E"/>
    <w:rsid w:val="0597B307"/>
    <w:rsid w:val="0597E0F4"/>
    <w:rsid w:val="05986F86"/>
    <w:rsid w:val="059A1479"/>
    <w:rsid w:val="059C7305"/>
    <w:rsid w:val="059EDDDE"/>
    <w:rsid w:val="05A07E8D"/>
    <w:rsid w:val="05A1A586"/>
    <w:rsid w:val="05A33567"/>
    <w:rsid w:val="05A5F367"/>
    <w:rsid w:val="05A679D0"/>
    <w:rsid w:val="05A6BD9C"/>
    <w:rsid w:val="05A84202"/>
    <w:rsid w:val="05A97056"/>
    <w:rsid w:val="05AC9C1A"/>
    <w:rsid w:val="05ACF41A"/>
    <w:rsid w:val="05AFA016"/>
    <w:rsid w:val="05B025EC"/>
    <w:rsid w:val="05B08E98"/>
    <w:rsid w:val="05B69C6A"/>
    <w:rsid w:val="05B94AE5"/>
    <w:rsid w:val="05BA21E2"/>
    <w:rsid w:val="05BB3402"/>
    <w:rsid w:val="05BB835C"/>
    <w:rsid w:val="05BBB6B8"/>
    <w:rsid w:val="05BEC61B"/>
    <w:rsid w:val="05BF4C99"/>
    <w:rsid w:val="05BFF511"/>
    <w:rsid w:val="05C3973C"/>
    <w:rsid w:val="05C3A28A"/>
    <w:rsid w:val="05C3C90B"/>
    <w:rsid w:val="05C531AC"/>
    <w:rsid w:val="05C81E25"/>
    <w:rsid w:val="05CA5881"/>
    <w:rsid w:val="05CB3D68"/>
    <w:rsid w:val="05D25CB3"/>
    <w:rsid w:val="05D2839B"/>
    <w:rsid w:val="05D2D195"/>
    <w:rsid w:val="05D40DB6"/>
    <w:rsid w:val="05D754B0"/>
    <w:rsid w:val="05D7F38A"/>
    <w:rsid w:val="05D896F2"/>
    <w:rsid w:val="05DA1B99"/>
    <w:rsid w:val="05DA9012"/>
    <w:rsid w:val="05DD02B0"/>
    <w:rsid w:val="05DD9FB0"/>
    <w:rsid w:val="05DF6469"/>
    <w:rsid w:val="05DF841F"/>
    <w:rsid w:val="05E144FA"/>
    <w:rsid w:val="05E42EEB"/>
    <w:rsid w:val="05E5137E"/>
    <w:rsid w:val="05E73F62"/>
    <w:rsid w:val="05E8B14B"/>
    <w:rsid w:val="05E94FFC"/>
    <w:rsid w:val="05ED2568"/>
    <w:rsid w:val="05EE07B9"/>
    <w:rsid w:val="05F06A65"/>
    <w:rsid w:val="05F08F29"/>
    <w:rsid w:val="05F0AE9C"/>
    <w:rsid w:val="05F2B9CD"/>
    <w:rsid w:val="05F30A6D"/>
    <w:rsid w:val="05F41D7A"/>
    <w:rsid w:val="05FAB6BB"/>
    <w:rsid w:val="05FB7641"/>
    <w:rsid w:val="05FBB0CB"/>
    <w:rsid w:val="05FBCAA7"/>
    <w:rsid w:val="05FD0D40"/>
    <w:rsid w:val="05FD9604"/>
    <w:rsid w:val="05FDC645"/>
    <w:rsid w:val="05FE7075"/>
    <w:rsid w:val="06008E23"/>
    <w:rsid w:val="0600C88E"/>
    <w:rsid w:val="0601D841"/>
    <w:rsid w:val="0601DD97"/>
    <w:rsid w:val="0602F621"/>
    <w:rsid w:val="0603D53E"/>
    <w:rsid w:val="06056D68"/>
    <w:rsid w:val="06066D91"/>
    <w:rsid w:val="0607AE57"/>
    <w:rsid w:val="0607C5E8"/>
    <w:rsid w:val="06081701"/>
    <w:rsid w:val="06090F35"/>
    <w:rsid w:val="060948B4"/>
    <w:rsid w:val="060B8CCB"/>
    <w:rsid w:val="060BF1D7"/>
    <w:rsid w:val="060C3436"/>
    <w:rsid w:val="060CFD92"/>
    <w:rsid w:val="060D19F0"/>
    <w:rsid w:val="060EC8F2"/>
    <w:rsid w:val="060F74EB"/>
    <w:rsid w:val="0613F74A"/>
    <w:rsid w:val="061C7510"/>
    <w:rsid w:val="061D3E52"/>
    <w:rsid w:val="061D9B63"/>
    <w:rsid w:val="061E2223"/>
    <w:rsid w:val="061E73F8"/>
    <w:rsid w:val="061F69DE"/>
    <w:rsid w:val="061FE884"/>
    <w:rsid w:val="0623C953"/>
    <w:rsid w:val="06250F31"/>
    <w:rsid w:val="06298EAB"/>
    <w:rsid w:val="062A0A72"/>
    <w:rsid w:val="062C8082"/>
    <w:rsid w:val="062CA1DC"/>
    <w:rsid w:val="062DD931"/>
    <w:rsid w:val="062F4451"/>
    <w:rsid w:val="0630CAA2"/>
    <w:rsid w:val="063649E4"/>
    <w:rsid w:val="063794EB"/>
    <w:rsid w:val="063B63B8"/>
    <w:rsid w:val="063F5764"/>
    <w:rsid w:val="06434E6F"/>
    <w:rsid w:val="06437A14"/>
    <w:rsid w:val="06449427"/>
    <w:rsid w:val="0645042E"/>
    <w:rsid w:val="06450806"/>
    <w:rsid w:val="06458842"/>
    <w:rsid w:val="0645DB44"/>
    <w:rsid w:val="064803FD"/>
    <w:rsid w:val="064A32CF"/>
    <w:rsid w:val="064BCA97"/>
    <w:rsid w:val="0651EA29"/>
    <w:rsid w:val="0651FFDA"/>
    <w:rsid w:val="0652E729"/>
    <w:rsid w:val="06534D65"/>
    <w:rsid w:val="06549E4F"/>
    <w:rsid w:val="0655780E"/>
    <w:rsid w:val="065A32E5"/>
    <w:rsid w:val="065E6040"/>
    <w:rsid w:val="065F414E"/>
    <w:rsid w:val="066026C1"/>
    <w:rsid w:val="066280D8"/>
    <w:rsid w:val="0664679A"/>
    <w:rsid w:val="0664CBCA"/>
    <w:rsid w:val="066BF627"/>
    <w:rsid w:val="066C3CD8"/>
    <w:rsid w:val="066E38AF"/>
    <w:rsid w:val="0670577A"/>
    <w:rsid w:val="0670AE5A"/>
    <w:rsid w:val="06714CC5"/>
    <w:rsid w:val="06733DA2"/>
    <w:rsid w:val="067AA02B"/>
    <w:rsid w:val="067ACE55"/>
    <w:rsid w:val="067C5528"/>
    <w:rsid w:val="067DDDA0"/>
    <w:rsid w:val="06802C14"/>
    <w:rsid w:val="06818481"/>
    <w:rsid w:val="0681ED96"/>
    <w:rsid w:val="0683B152"/>
    <w:rsid w:val="0684C62F"/>
    <w:rsid w:val="0684C913"/>
    <w:rsid w:val="0684F58D"/>
    <w:rsid w:val="06856945"/>
    <w:rsid w:val="068583D4"/>
    <w:rsid w:val="0686B6A7"/>
    <w:rsid w:val="068C93FC"/>
    <w:rsid w:val="068E2001"/>
    <w:rsid w:val="068E9706"/>
    <w:rsid w:val="068EA11F"/>
    <w:rsid w:val="068F987F"/>
    <w:rsid w:val="068FAE58"/>
    <w:rsid w:val="06906A1C"/>
    <w:rsid w:val="0690758D"/>
    <w:rsid w:val="0692F667"/>
    <w:rsid w:val="06954FD3"/>
    <w:rsid w:val="0695BCE0"/>
    <w:rsid w:val="069D048E"/>
    <w:rsid w:val="069DFC08"/>
    <w:rsid w:val="069E6CE4"/>
    <w:rsid w:val="06A27D97"/>
    <w:rsid w:val="06A581C3"/>
    <w:rsid w:val="06A71A71"/>
    <w:rsid w:val="06A7B376"/>
    <w:rsid w:val="06A98762"/>
    <w:rsid w:val="06AB3C73"/>
    <w:rsid w:val="06ACFEDF"/>
    <w:rsid w:val="06AD8024"/>
    <w:rsid w:val="06AE9EAA"/>
    <w:rsid w:val="06AFB71D"/>
    <w:rsid w:val="06AFDAE8"/>
    <w:rsid w:val="06B1C3A2"/>
    <w:rsid w:val="06B577D0"/>
    <w:rsid w:val="06B6B0CE"/>
    <w:rsid w:val="06B6CCD1"/>
    <w:rsid w:val="06B77E74"/>
    <w:rsid w:val="06B7AD0C"/>
    <w:rsid w:val="06B871AC"/>
    <w:rsid w:val="06BBF05C"/>
    <w:rsid w:val="06BD04BE"/>
    <w:rsid w:val="06BD97CB"/>
    <w:rsid w:val="06C2BFDC"/>
    <w:rsid w:val="06C3E5ED"/>
    <w:rsid w:val="06C45DF5"/>
    <w:rsid w:val="06C484EB"/>
    <w:rsid w:val="06C6B433"/>
    <w:rsid w:val="06C74A3A"/>
    <w:rsid w:val="06CD5272"/>
    <w:rsid w:val="06CE9B1A"/>
    <w:rsid w:val="06D0DA31"/>
    <w:rsid w:val="06D3E958"/>
    <w:rsid w:val="06D3EF3E"/>
    <w:rsid w:val="06D464AC"/>
    <w:rsid w:val="06D5954A"/>
    <w:rsid w:val="06D5D30A"/>
    <w:rsid w:val="06D5DC8E"/>
    <w:rsid w:val="06D75D17"/>
    <w:rsid w:val="06D7722A"/>
    <w:rsid w:val="06DC33C7"/>
    <w:rsid w:val="06DFC129"/>
    <w:rsid w:val="06E195FA"/>
    <w:rsid w:val="06E1F8CE"/>
    <w:rsid w:val="06E27B13"/>
    <w:rsid w:val="06E7312A"/>
    <w:rsid w:val="06E83ECA"/>
    <w:rsid w:val="06EA334B"/>
    <w:rsid w:val="06F223C7"/>
    <w:rsid w:val="06F3677C"/>
    <w:rsid w:val="06F44342"/>
    <w:rsid w:val="06F49E5C"/>
    <w:rsid w:val="06F4BC51"/>
    <w:rsid w:val="06F593D8"/>
    <w:rsid w:val="06F67741"/>
    <w:rsid w:val="06F99514"/>
    <w:rsid w:val="06FA89CA"/>
    <w:rsid w:val="06FB518B"/>
    <w:rsid w:val="06FCB2F4"/>
    <w:rsid w:val="06FD1F90"/>
    <w:rsid w:val="0703DE55"/>
    <w:rsid w:val="070454DD"/>
    <w:rsid w:val="0707613C"/>
    <w:rsid w:val="0708C59E"/>
    <w:rsid w:val="07093EF0"/>
    <w:rsid w:val="07096013"/>
    <w:rsid w:val="07098B8C"/>
    <w:rsid w:val="0709FDD7"/>
    <w:rsid w:val="070AA283"/>
    <w:rsid w:val="070B77EE"/>
    <w:rsid w:val="07131BE3"/>
    <w:rsid w:val="0713FD8E"/>
    <w:rsid w:val="0714AE12"/>
    <w:rsid w:val="0714B9F8"/>
    <w:rsid w:val="0715371C"/>
    <w:rsid w:val="07171E55"/>
    <w:rsid w:val="071979C3"/>
    <w:rsid w:val="0719BA66"/>
    <w:rsid w:val="071DF249"/>
    <w:rsid w:val="07217A59"/>
    <w:rsid w:val="07222DB4"/>
    <w:rsid w:val="07247DC9"/>
    <w:rsid w:val="0724EA9E"/>
    <w:rsid w:val="07284E96"/>
    <w:rsid w:val="072D05A6"/>
    <w:rsid w:val="072D3A10"/>
    <w:rsid w:val="072FE636"/>
    <w:rsid w:val="0730B2C9"/>
    <w:rsid w:val="07359D06"/>
    <w:rsid w:val="07360716"/>
    <w:rsid w:val="073790FD"/>
    <w:rsid w:val="07386AB3"/>
    <w:rsid w:val="0739CD16"/>
    <w:rsid w:val="073B2BEC"/>
    <w:rsid w:val="073BDFBE"/>
    <w:rsid w:val="073CE060"/>
    <w:rsid w:val="07411399"/>
    <w:rsid w:val="07429E70"/>
    <w:rsid w:val="0744D78B"/>
    <w:rsid w:val="07451CA4"/>
    <w:rsid w:val="07477267"/>
    <w:rsid w:val="0749DFDB"/>
    <w:rsid w:val="074C3BDC"/>
    <w:rsid w:val="07543ADD"/>
    <w:rsid w:val="0756AC4A"/>
    <w:rsid w:val="0757EAF8"/>
    <w:rsid w:val="0758C0E8"/>
    <w:rsid w:val="0758E929"/>
    <w:rsid w:val="07594FBE"/>
    <w:rsid w:val="075973EF"/>
    <w:rsid w:val="075A3BEC"/>
    <w:rsid w:val="075A839B"/>
    <w:rsid w:val="075B11B9"/>
    <w:rsid w:val="075DDDED"/>
    <w:rsid w:val="07613FFB"/>
    <w:rsid w:val="07619287"/>
    <w:rsid w:val="07642A4F"/>
    <w:rsid w:val="0764376C"/>
    <w:rsid w:val="0765DE9E"/>
    <w:rsid w:val="076B7360"/>
    <w:rsid w:val="076C193F"/>
    <w:rsid w:val="076C2342"/>
    <w:rsid w:val="076D2142"/>
    <w:rsid w:val="076EF209"/>
    <w:rsid w:val="076F4AFF"/>
    <w:rsid w:val="076FB19E"/>
    <w:rsid w:val="0770BC91"/>
    <w:rsid w:val="07713A3D"/>
    <w:rsid w:val="077793BF"/>
    <w:rsid w:val="0777AB0A"/>
    <w:rsid w:val="077903B8"/>
    <w:rsid w:val="077980D8"/>
    <w:rsid w:val="077D5E4F"/>
    <w:rsid w:val="0780A983"/>
    <w:rsid w:val="078429D2"/>
    <w:rsid w:val="07885922"/>
    <w:rsid w:val="078897AE"/>
    <w:rsid w:val="0788D013"/>
    <w:rsid w:val="078AC404"/>
    <w:rsid w:val="078AC797"/>
    <w:rsid w:val="078B899F"/>
    <w:rsid w:val="078BC716"/>
    <w:rsid w:val="078C1385"/>
    <w:rsid w:val="078E033B"/>
    <w:rsid w:val="078FB681"/>
    <w:rsid w:val="079007DE"/>
    <w:rsid w:val="0794D034"/>
    <w:rsid w:val="07959B76"/>
    <w:rsid w:val="079B8570"/>
    <w:rsid w:val="079C2A41"/>
    <w:rsid w:val="079FB217"/>
    <w:rsid w:val="07A1CB6B"/>
    <w:rsid w:val="07A1CC8C"/>
    <w:rsid w:val="07A36096"/>
    <w:rsid w:val="07A4713E"/>
    <w:rsid w:val="07A60503"/>
    <w:rsid w:val="07A8E164"/>
    <w:rsid w:val="07AB35D1"/>
    <w:rsid w:val="07AB400C"/>
    <w:rsid w:val="07AD575C"/>
    <w:rsid w:val="07AEF47A"/>
    <w:rsid w:val="07AFF6CC"/>
    <w:rsid w:val="07B0419A"/>
    <w:rsid w:val="07B10655"/>
    <w:rsid w:val="07BB238C"/>
    <w:rsid w:val="07BB73A9"/>
    <w:rsid w:val="07BC1BB4"/>
    <w:rsid w:val="07C0644F"/>
    <w:rsid w:val="07C1A209"/>
    <w:rsid w:val="07C400CB"/>
    <w:rsid w:val="07C63DDF"/>
    <w:rsid w:val="07C77415"/>
    <w:rsid w:val="07C7E0C5"/>
    <w:rsid w:val="07CA59EE"/>
    <w:rsid w:val="07CF56AC"/>
    <w:rsid w:val="07D0C1C9"/>
    <w:rsid w:val="07D43231"/>
    <w:rsid w:val="07D5A1A3"/>
    <w:rsid w:val="07D89A1A"/>
    <w:rsid w:val="07DAE0C1"/>
    <w:rsid w:val="07DB0887"/>
    <w:rsid w:val="07DB8702"/>
    <w:rsid w:val="07DD3FE6"/>
    <w:rsid w:val="07DD574E"/>
    <w:rsid w:val="07E0325C"/>
    <w:rsid w:val="07E10F21"/>
    <w:rsid w:val="07E40BD7"/>
    <w:rsid w:val="07E46C8C"/>
    <w:rsid w:val="07E56E91"/>
    <w:rsid w:val="07E6228E"/>
    <w:rsid w:val="07E8D742"/>
    <w:rsid w:val="07E941EF"/>
    <w:rsid w:val="07EAEECB"/>
    <w:rsid w:val="07EC4CF6"/>
    <w:rsid w:val="07EC762E"/>
    <w:rsid w:val="07EF22B8"/>
    <w:rsid w:val="07F11BE9"/>
    <w:rsid w:val="07F1D88B"/>
    <w:rsid w:val="07F2AF52"/>
    <w:rsid w:val="07F40651"/>
    <w:rsid w:val="07F5D38A"/>
    <w:rsid w:val="07F937C8"/>
    <w:rsid w:val="07FA51E6"/>
    <w:rsid w:val="07FA9021"/>
    <w:rsid w:val="07FAA500"/>
    <w:rsid w:val="07FBCB62"/>
    <w:rsid w:val="07FCE0DE"/>
    <w:rsid w:val="07FD24D5"/>
    <w:rsid w:val="0804EEE5"/>
    <w:rsid w:val="0806B4F2"/>
    <w:rsid w:val="0807CD94"/>
    <w:rsid w:val="08091CF0"/>
    <w:rsid w:val="0809FC12"/>
    <w:rsid w:val="080B2CD1"/>
    <w:rsid w:val="080D2E36"/>
    <w:rsid w:val="080E54B7"/>
    <w:rsid w:val="080EBA93"/>
    <w:rsid w:val="080F3119"/>
    <w:rsid w:val="080FF0AF"/>
    <w:rsid w:val="0811E1B8"/>
    <w:rsid w:val="081261A8"/>
    <w:rsid w:val="08164B37"/>
    <w:rsid w:val="0817F580"/>
    <w:rsid w:val="08188DA6"/>
    <w:rsid w:val="081A3506"/>
    <w:rsid w:val="081CDAB7"/>
    <w:rsid w:val="081ECCA1"/>
    <w:rsid w:val="0821EF46"/>
    <w:rsid w:val="08222F63"/>
    <w:rsid w:val="082838F3"/>
    <w:rsid w:val="082AC6EC"/>
    <w:rsid w:val="082E9739"/>
    <w:rsid w:val="08308D5A"/>
    <w:rsid w:val="083BCB37"/>
    <w:rsid w:val="083CD238"/>
    <w:rsid w:val="083E31E6"/>
    <w:rsid w:val="084192D5"/>
    <w:rsid w:val="08441559"/>
    <w:rsid w:val="0846932F"/>
    <w:rsid w:val="08469F9F"/>
    <w:rsid w:val="08494267"/>
    <w:rsid w:val="0849473B"/>
    <w:rsid w:val="084BF8B3"/>
    <w:rsid w:val="084CC1BA"/>
    <w:rsid w:val="084DF70E"/>
    <w:rsid w:val="084F12F5"/>
    <w:rsid w:val="084F59B2"/>
    <w:rsid w:val="084FF14E"/>
    <w:rsid w:val="08547C6A"/>
    <w:rsid w:val="085546AB"/>
    <w:rsid w:val="08565B81"/>
    <w:rsid w:val="0858D6A2"/>
    <w:rsid w:val="08593C2F"/>
    <w:rsid w:val="085DD35E"/>
    <w:rsid w:val="085FDAD8"/>
    <w:rsid w:val="0860ED4F"/>
    <w:rsid w:val="0865BB99"/>
    <w:rsid w:val="0867758E"/>
    <w:rsid w:val="086A1D86"/>
    <w:rsid w:val="086A6323"/>
    <w:rsid w:val="086AA480"/>
    <w:rsid w:val="086ACFCF"/>
    <w:rsid w:val="086B2D18"/>
    <w:rsid w:val="086CF286"/>
    <w:rsid w:val="086EAB1B"/>
    <w:rsid w:val="086FF78A"/>
    <w:rsid w:val="087124AB"/>
    <w:rsid w:val="08735128"/>
    <w:rsid w:val="08747658"/>
    <w:rsid w:val="0875677C"/>
    <w:rsid w:val="0876F01F"/>
    <w:rsid w:val="0878978B"/>
    <w:rsid w:val="087A3714"/>
    <w:rsid w:val="087B26E2"/>
    <w:rsid w:val="087D7AEC"/>
    <w:rsid w:val="087F74B5"/>
    <w:rsid w:val="087F9ABB"/>
    <w:rsid w:val="087FE0FE"/>
    <w:rsid w:val="08802A87"/>
    <w:rsid w:val="0880F0B9"/>
    <w:rsid w:val="0882F4BC"/>
    <w:rsid w:val="08837606"/>
    <w:rsid w:val="0887E4AA"/>
    <w:rsid w:val="0889BF04"/>
    <w:rsid w:val="088B53A3"/>
    <w:rsid w:val="088D2A63"/>
    <w:rsid w:val="088D2D80"/>
    <w:rsid w:val="088DB9EF"/>
    <w:rsid w:val="088E7F89"/>
    <w:rsid w:val="0891A97C"/>
    <w:rsid w:val="08920D76"/>
    <w:rsid w:val="0893B65A"/>
    <w:rsid w:val="0894CCBC"/>
    <w:rsid w:val="0894E590"/>
    <w:rsid w:val="0896017D"/>
    <w:rsid w:val="08988333"/>
    <w:rsid w:val="089A3795"/>
    <w:rsid w:val="089B73CA"/>
    <w:rsid w:val="089CBCC8"/>
    <w:rsid w:val="089EF075"/>
    <w:rsid w:val="089F8C85"/>
    <w:rsid w:val="089F954B"/>
    <w:rsid w:val="089FE26E"/>
    <w:rsid w:val="08A0AD90"/>
    <w:rsid w:val="08A190D1"/>
    <w:rsid w:val="08A1E0AC"/>
    <w:rsid w:val="08A22C7D"/>
    <w:rsid w:val="08A24865"/>
    <w:rsid w:val="08A34FAA"/>
    <w:rsid w:val="08A4577E"/>
    <w:rsid w:val="08A4F156"/>
    <w:rsid w:val="08A85AFE"/>
    <w:rsid w:val="08AB4728"/>
    <w:rsid w:val="08AD1093"/>
    <w:rsid w:val="08AD9EBC"/>
    <w:rsid w:val="08ADBF5C"/>
    <w:rsid w:val="08B0668B"/>
    <w:rsid w:val="08B707F2"/>
    <w:rsid w:val="08B94511"/>
    <w:rsid w:val="08B99DFA"/>
    <w:rsid w:val="08BAF6F6"/>
    <w:rsid w:val="08BBBB94"/>
    <w:rsid w:val="08BD36FC"/>
    <w:rsid w:val="08C14290"/>
    <w:rsid w:val="08C2C466"/>
    <w:rsid w:val="08C33BF2"/>
    <w:rsid w:val="08C55D02"/>
    <w:rsid w:val="08C64577"/>
    <w:rsid w:val="08CA7487"/>
    <w:rsid w:val="08CD6549"/>
    <w:rsid w:val="08CE4946"/>
    <w:rsid w:val="08CFB826"/>
    <w:rsid w:val="08D401D4"/>
    <w:rsid w:val="08D9DFD4"/>
    <w:rsid w:val="08DB9480"/>
    <w:rsid w:val="08DD9569"/>
    <w:rsid w:val="08DE34B6"/>
    <w:rsid w:val="08DE855F"/>
    <w:rsid w:val="08DEF86F"/>
    <w:rsid w:val="08DF649F"/>
    <w:rsid w:val="08E4E952"/>
    <w:rsid w:val="08E60D2C"/>
    <w:rsid w:val="08E8B764"/>
    <w:rsid w:val="08E90AAC"/>
    <w:rsid w:val="08E9B8CD"/>
    <w:rsid w:val="08EA1546"/>
    <w:rsid w:val="08EA46B0"/>
    <w:rsid w:val="08EC518D"/>
    <w:rsid w:val="08EC5B54"/>
    <w:rsid w:val="08EDCB05"/>
    <w:rsid w:val="08EDDBAF"/>
    <w:rsid w:val="08EFE73B"/>
    <w:rsid w:val="08F00FBB"/>
    <w:rsid w:val="08F01985"/>
    <w:rsid w:val="08F09D02"/>
    <w:rsid w:val="08F17CFB"/>
    <w:rsid w:val="08F1BE87"/>
    <w:rsid w:val="08F4159B"/>
    <w:rsid w:val="08F4D6A9"/>
    <w:rsid w:val="08F53805"/>
    <w:rsid w:val="08F6B16C"/>
    <w:rsid w:val="08F8F021"/>
    <w:rsid w:val="08F9D244"/>
    <w:rsid w:val="08FC3411"/>
    <w:rsid w:val="08FD5934"/>
    <w:rsid w:val="08FDAE5A"/>
    <w:rsid w:val="0901DB43"/>
    <w:rsid w:val="0902401B"/>
    <w:rsid w:val="09054029"/>
    <w:rsid w:val="09055273"/>
    <w:rsid w:val="0905DA41"/>
    <w:rsid w:val="0905FE76"/>
    <w:rsid w:val="0906BFD7"/>
    <w:rsid w:val="0906DFBB"/>
    <w:rsid w:val="090C4EF6"/>
    <w:rsid w:val="090D2D11"/>
    <w:rsid w:val="090FDB4A"/>
    <w:rsid w:val="091037B4"/>
    <w:rsid w:val="091059F6"/>
    <w:rsid w:val="09108D12"/>
    <w:rsid w:val="0910E4EB"/>
    <w:rsid w:val="0911A2DD"/>
    <w:rsid w:val="0915170F"/>
    <w:rsid w:val="09174DEE"/>
    <w:rsid w:val="0918D59C"/>
    <w:rsid w:val="091C184C"/>
    <w:rsid w:val="0920F9A1"/>
    <w:rsid w:val="0921390E"/>
    <w:rsid w:val="0921A721"/>
    <w:rsid w:val="0922ED49"/>
    <w:rsid w:val="09239EE9"/>
    <w:rsid w:val="0923DA3C"/>
    <w:rsid w:val="092403C6"/>
    <w:rsid w:val="09242EF7"/>
    <w:rsid w:val="09250D0B"/>
    <w:rsid w:val="0927F1FD"/>
    <w:rsid w:val="092EC448"/>
    <w:rsid w:val="0931C5F6"/>
    <w:rsid w:val="09342BC5"/>
    <w:rsid w:val="09385BFA"/>
    <w:rsid w:val="0939C25E"/>
    <w:rsid w:val="093A089B"/>
    <w:rsid w:val="093B0580"/>
    <w:rsid w:val="093BDD7E"/>
    <w:rsid w:val="093EFB9C"/>
    <w:rsid w:val="09400D0C"/>
    <w:rsid w:val="09424CEA"/>
    <w:rsid w:val="09469F7B"/>
    <w:rsid w:val="0948D9AE"/>
    <w:rsid w:val="094A00C9"/>
    <w:rsid w:val="094AC17E"/>
    <w:rsid w:val="094DC177"/>
    <w:rsid w:val="094E32E9"/>
    <w:rsid w:val="094E96CE"/>
    <w:rsid w:val="094F7F6F"/>
    <w:rsid w:val="09510BEB"/>
    <w:rsid w:val="09513E03"/>
    <w:rsid w:val="09553FA1"/>
    <w:rsid w:val="095A81AF"/>
    <w:rsid w:val="095C696D"/>
    <w:rsid w:val="095E6640"/>
    <w:rsid w:val="095F224E"/>
    <w:rsid w:val="0962DBD7"/>
    <w:rsid w:val="09640832"/>
    <w:rsid w:val="09646D31"/>
    <w:rsid w:val="096A5834"/>
    <w:rsid w:val="096B463A"/>
    <w:rsid w:val="096B71D9"/>
    <w:rsid w:val="096D81F6"/>
    <w:rsid w:val="09713A20"/>
    <w:rsid w:val="09724AB4"/>
    <w:rsid w:val="097324F5"/>
    <w:rsid w:val="097360BA"/>
    <w:rsid w:val="09737C74"/>
    <w:rsid w:val="09738465"/>
    <w:rsid w:val="09750C4A"/>
    <w:rsid w:val="0976004F"/>
    <w:rsid w:val="09777911"/>
    <w:rsid w:val="0977AF48"/>
    <w:rsid w:val="09785A32"/>
    <w:rsid w:val="0978CF39"/>
    <w:rsid w:val="097A5C82"/>
    <w:rsid w:val="097C09A7"/>
    <w:rsid w:val="097EF552"/>
    <w:rsid w:val="098225F4"/>
    <w:rsid w:val="0988CE4E"/>
    <w:rsid w:val="098A6505"/>
    <w:rsid w:val="098CE66A"/>
    <w:rsid w:val="098E3086"/>
    <w:rsid w:val="098FF414"/>
    <w:rsid w:val="0991C4C9"/>
    <w:rsid w:val="0994E2FE"/>
    <w:rsid w:val="099761CD"/>
    <w:rsid w:val="0997BE2B"/>
    <w:rsid w:val="0998CA6B"/>
    <w:rsid w:val="0998E9C0"/>
    <w:rsid w:val="0999F654"/>
    <w:rsid w:val="099A7658"/>
    <w:rsid w:val="099D3FDC"/>
    <w:rsid w:val="099D7347"/>
    <w:rsid w:val="099F9E08"/>
    <w:rsid w:val="09A094D1"/>
    <w:rsid w:val="09A60C62"/>
    <w:rsid w:val="09AA1A27"/>
    <w:rsid w:val="09AD14CE"/>
    <w:rsid w:val="09AD15DD"/>
    <w:rsid w:val="09AF776F"/>
    <w:rsid w:val="09AF7CC1"/>
    <w:rsid w:val="09B0D07D"/>
    <w:rsid w:val="09B15E81"/>
    <w:rsid w:val="09B1C8CB"/>
    <w:rsid w:val="09B4A8AA"/>
    <w:rsid w:val="09B6A226"/>
    <w:rsid w:val="09BB5FEF"/>
    <w:rsid w:val="09BDEFE9"/>
    <w:rsid w:val="09BE091D"/>
    <w:rsid w:val="09BEC320"/>
    <w:rsid w:val="09C0EACB"/>
    <w:rsid w:val="09C15473"/>
    <w:rsid w:val="09C1E7E5"/>
    <w:rsid w:val="09C3156D"/>
    <w:rsid w:val="09C6F043"/>
    <w:rsid w:val="09C9391D"/>
    <w:rsid w:val="09C97361"/>
    <w:rsid w:val="09CBD2F6"/>
    <w:rsid w:val="09CF9FA0"/>
    <w:rsid w:val="09D02D1A"/>
    <w:rsid w:val="09D03704"/>
    <w:rsid w:val="09D10442"/>
    <w:rsid w:val="09D264C0"/>
    <w:rsid w:val="09D56C90"/>
    <w:rsid w:val="09D9E946"/>
    <w:rsid w:val="09DBECCB"/>
    <w:rsid w:val="09DCFD88"/>
    <w:rsid w:val="09DFC8F8"/>
    <w:rsid w:val="09E1479F"/>
    <w:rsid w:val="09E15C12"/>
    <w:rsid w:val="09E24F55"/>
    <w:rsid w:val="09E2F446"/>
    <w:rsid w:val="09E3CD83"/>
    <w:rsid w:val="09E74A70"/>
    <w:rsid w:val="09E9ED47"/>
    <w:rsid w:val="09EADE89"/>
    <w:rsid w:val="09EAFDBB"/>
    <w:rsid w:val="09EDCEFD"/>
    <w:rsid w:val="09F6A963"/>
    <w:rsid w:val="09F8349F"/>
    <w:rsid w:val="09F87025"/>
    <w:rsid w:val="09FE3475"/>
    <w:rsid w:val="09FF1727"/>
    <w:rsid w:val="0A004806"/>
    <w:rsid w:val="0A00CBA3"/>
    <w:rsid w:val="0A015FEA"/>
    <w:rsid w:val="0A02BF36"/>
    <w:rsid w:val="0A0590EE"/>
    <w:rsid w:val="0A05B056"/>
    <w:rsid w:val="0A05BE0E"/>
    <w:rsid w:val="0A07E9BD"/>
    <w:rsid w:val="0A07ED98"/>
    <w:rsid w:val="0A090415"/>
    <w:rsid w:val="0A0C2298"/>
    <w:rsid w:val="0A0C4225"/>
    <w:rsid w:val="0A0E2D63"/>
    <w:rsid w:val="0A0EE251"/>
    <w:rsid w:val="0A1137DD"/>
    <w:rsid w:val="0A12226F"/>
    <w:rsid w:val="0A13D74B"/>
    <w:rsid w:val="0A165C25"/>
    <w:rsid w:val="0A169B79"/>
    <w:rsid w:val="0A173116"/>
    <w:rsid w:val="0A17C4D4"/>
    <w:rsid w:val="0A19456A"/>
    <w:rsid w:val="0A201175"/>
    <w:rsid w:val="0A201A25"/>
    <w:rsid w:val="0A270B3D"/>
    <w:rsid w:val="0A274280"/>
    <w:rsid w:val="0A287C0F"/>
    <w:rsid w:val="0A2895A9"/>
    <w:rsid w:val="0A2937AD"/>
    <w:rsid w:val="0A2949FB"/>
    <w:rsid w:val="0A2956EB"/>
    <w:rsid w:val="0A2B0637"/>
    <w:rsid w:val="0A2C6042"/>
    <w:rsid w:val="0A2C60FA"/>
    <w:rsid w:val="0A32A377"/>
    <w:rsid w:val="0A3615B7"/>
    <w:rsid w:val="0A3B6444"/>
    <w:rsid w:val="0A3C4429"/>
    <w:rsid w:val="0A3D6D6E"/>
    <w:rsid w:val="0A3FB4F4"/>
    <w:rsid w:val="0A40870A"/>
    <w:rsid w:val="0A419D2B"/>
    <w:rsid w:val="0A43E35F"/>
    <w:rsid w:val="0A463130"/>
    <w:rsid w:val="0A46A1D6"/>
    <w:rsid w:val="0A46B9E2"/>
    <w:rsid w:val="0A4804C7"/>
    <w:rsid w:val="0A4A1361"/>
    <w:rsid w:val="0A4BBBB0"/>
    <w:rsid w:val="0A4BD174"/>
    <w:rsid w:val="0A4C2223"/>
    <w:rsid w:val="0A4D928A"/>
    <w:rsid w:val="0A4E00D7"/>
    <w:rsid w:val="0A523F93"/>
    <w:rsid w:val="0A525029"/>
    <w:rsid w:val="0A53F649"/>
    <w:rsid w:val="0A5573DE"/>
    <w:rsid w:val="0A587D05"/>
    <w:rsid w:val="0A5A9FFF"/>
    <w:rsid w:val="0A5BFD8F"/>
    <w:rsid w:val="0A5E9362"/>
    <w:rsid w:val="0A612D63"/>
    <w:rsid w:val="0A612FBF"/>
    <w:rsid w:val="0A64C9E0"/>
    <w:rsid w:val="0A650210"/>
    <w:rsid w:val="0A66AF14"/>
    <w:rsid w:val="0A67A329"/>
    <w:rsid w:val="0A6CC9EC"/>
    <w:rsid w:val="0A6D48E5"/>
    <w:rsid w:val="0A6E4E4D"/>
    <w:rsid w:val="0A6F6CDE"/>
    <w:rsid w:val="0A726668"/>
    <w:rsid w:val="0A73E5C2"/>
    <w:rsid w:val="0A751097"/>
    <w:rsid w:val="0A75E850"/>
    <w:rsid w:val="0A766F5F"/>
    <w:rsid w:val="0A7A84B8"/>
    <w:rsid w:val="0A7B1A41"/>
    <w:rsid w:val="0A7C89EF"/>
    <w:rsid w:val="0A7EF9A1"/>
    <w:rsid w:val="0A7FD88A"/>
    <w:rsid w:val="0A8206DC"/>
    <w:rsid w:val="0A83B8A4"/>
    <w:rsid w:val="0A8487EE"/>
    <w:rsid w:val="0A878317"/>
    <w:rsid w:val="0A8BDB88"/>
    <w:rsid w:val="0A8DA735"/>
    <w:rsid w:val="0A93E2B9"/>
    <w:rsid w:val="0A93FC8E"/>
    <w:rsid w:val="0A9662B5"/>
    <w:rsid w:val="0A99879B"/>
    <w:rsid w:val="0A9A8893"/>
    <w:rsid w:val="0A9B6A8D"/>
    <w:rsid w:val="0A9BEB4B"/>
    <w:rsid w:val="0A9EAD98"/>
    <w:rsid w:val="0A9FD374"/>
    <w:rsid w:val="0AA99FE9"/>
    <w:rsid w:val="0AA9A87D"/>
    <w:rsid w:val="0AABE418"/>
    <w:rsid w:val="0AAD50FA"/>
    <w:rsid w:val="0AB27673"/>
    <w:rsid w:val="0AB314DA"/>
    <w:rsid w:val="0AB619DA"/>
    <w:rsid w:val="0AB67BA0"/>
    <w:rsid w:val="0AB88E9E"/>
    <w:rsid w:val="0ABB8AB5"/>
    <w:rsid w:val="0ABF372B"/>
    <w:rsid w:val="0ABF867A"/>
    <w:rsid w:val="0ABF8DC2"/>
    <w:rsid w:val="0AC02068"/>
    <w:rsid w:val="0AC053E5"/>
    <w:rsid w:val="0AC18D2F"/>
    <w:rsid w:val="0AC2E2A4"/>
    <w:rsid w:val="0AC32966"/>
    <w:rsid w:val="0AC3A09E"/>
    <w:rsid w:val="0AC48A70"/>
    <w:rsid w:val="0AC57277"/>
    <w:rsid w:val="0AC884D0"/>
    <w:rsid w:val="0AC96BDD"/>
    <w:rsid w:val="0ACB6BCA"/>
    <w:rsid w:val="0ACD0DBB"/>
    <w:rsid w:val="0ACFDBFD"/>
    <w:rsid w:val="0AD0D532"/>
    <w:rsid w:val="0AD1CF4D"/>
    <w:rsid w:val="0AD2254D"/>
    <w:rsid w:val="0AD301BC"/>
    <w:rsid w:val="0AD46A6E"/>
    <w:rsid w:val="0AD498A7"/>
    <w:rsid w:val="0AD4A1AC"/>
    <w:rsid w:val="0ADAD8B5"/>
    <w:rsid w:val="0ADAF105"/>
    <w:rsid w:val="0ADB486F"/>
    <w:rsid w:val="0ADCE518"/>
    <w:rsid w:val="0AE04BB5"/>
    <w:rsid w:val="0AE0F596"/>
    <w:rsid w:val="0AE15CB4"/>
    <w:rsid w:val="0AE16EC9"/>
    <w:rsid w:val="0AE3B032"/>
    <w:rsid w:val="0AE6B287"/>
    <w:rsid w:val="0AE752D0"/>
    <w:rsid w:val="0AE8E13A"/>
    <w:rsid w:val="0AEC4441"/>
    <w:rsid w:val="0AEC7B82"/>
    <w:rsid w:val="0AED4870"/>
    <w:rsid w:val="0AF1F831"/>
    <w:rsid w:val="0AF29070"/>
    <w:rsid w:val="0AF3AD8F"/>
    <w:rsid w:val="0AF3E216"/>
    <w:rsid w:val="0AF423A2"/>
    <w:rsid w:val="0AF95FC8"/>
    <w:rsid w:val="0AF99236"/>
    <w:rsid w:val="0AFB8912"/>
    <w:rsid w:val="0AFC4A99"/>
    <w:rsid w:val="0AFE3EAD"/>
    <w:rsid w:val="0AFEC14A"/>
    <w:rsid w:val="0AFFC166"/>
    <w:rsid w:val="0B0002B2"/>
    <w:rsid w:val="0B021C3C"/>
    <w:rsid w:val="0B04737B"/>
    <w:rsid w:val="0B06DDF2"/>
    <w:rsid w:val="0B094B16"/>
    <w:rsid w:val="0B0A6A87"/>
    <w:rsid w:val="0B0C3DA8"/>
    <w:rsid w:val="0B0FC281"/>
    <w:rsid w:val="0B0FE199"/>
    <w:rsid w:val="0B12360E"/>
    <w:rsid w:val="0B13F641"/>
    <w:rsid w:val="0B1458CA"/>
    <w:rsid w:val="0B151A21"/>
    <w:rsid w:val="0B158645"/>
    <w:rsid w:val="0B163894"/>
    <w:rsid w:val="0B181CD0"/>
    <w:rsid w:val="0B19E958"/>
    <w:rsid w:val="0B1A7C20"/>
    <w:rsid w:val="0B1DC7E1"/>
    <w:rsid w:val="0B1F0C75"/>
    <w:rsid w:val="0B22912D"/>
    <w:rsid w:val="0B232E97"/>
    <w:rsid w:val="0B242375"/>
    <w:rsid w:val="0B25C7BB"/>
    <w:rsid w:val="0B2B2D83"/>
    <w:rsid w:val="0B2BA9E0"/>
    <w:rsid w:val="0B2CA5C0"/>
    <w:rsid w:val="0B2E7410"/>
    <w:rsid w:val="0B3308C5"/>
    <w:rsid w:val="0B33A9F6"/>
    <w:rsid w:val="0B3620ED"/>
    <w:rsid w:val="0B36D424"/>
    <w:rsid w:val="0B38A13F"/>
    <w:rsid w:val="0B3A809C"/>
    <w:rsid w:val="0B3B0A79"/>
    <w:rsid w:val="0B3BE70E"/>
    <w:rsid w:val="0B3FAA58"/>
    <w:rsid w:val="0B3FF12C"/>
    <w:rsid w:val="0B4016D0"/>
    <w:rsid w:val="0B41B590"/>
    <w:rsid w:val="0B42F446"/>
    <w:rsid w:val="0B442F59"/>
    <w:rsid w:val="0B47309E"/>
    <w:rsid w:val="0B486F66"/>
    <w:rsid w:val="0B48D761"/>
    <w:rsid w:val="0B48EEFF"/>
    <w:rsid w:val="0B498F46"/>
    <w:rsid w:val="0B4A440F"/>
    <w:rsid w:val="0B4AB4A0"/>
    <w:rsid w:val="0B4BCF6C"/>
    <w:rsid w:val="0B4DB44F"/>
    <w:rsid w:val="0B4FA1FD"/>
    <w:rsid w:val="0B54F4C8"/>
    <w:rsid w:val="0B56DE31"/>
    <w:rsid w:val="0B5744BA"/>
    <w:rsid w:val="0B584AD0"/>
    <w:rsid w:val="0B5A9DF5"/>
    <w:rsid w:val="0B5AB2E6"/>
    <w:rsid w:val="0B5EA935"/>
    <w:rsid w:val="0B5EB3BE"/>
    <w:rsid w:val="0B5F6A03"/>
    <w:rsid w:val="0B5FF6A0"/>
    <w:rsid w:val="0B606286"/>
    <w:rsid w:val="0B60D596"/>
    <w:rsid w:val="0B6150B0"/>
    <w:rsid w:val="0B61BA5F"/>
    <w:rsid w:val="0B66C7C9"/>
    <w:rsid w:val="0B6710F0"/>
    <w:rsid w:val="0B6E6287"/>
    <w:rsid w:val="0B6F0F1E"/>
    <w:rsid w:val="0B6F8195"/>
    <w:rsid w:val="0B7026C1"/>
    <w:rsid w:val="0B709B17"/>
    <w:rsid w:val="0B7166ED"/>
    <w:rsid w:val="0B720219"/>
    <w:rsid w:val="0B76F362"/>
    <w:rsid w:val="0B7937F8"/>
    <w:rsid w:val="0B8210B6"/>
    <w:rsid w:val="0B844102"/>
    <w:rsid w:val="0B88A155"/>
    <w:rsid w:val="0B8B458E"/>
    <w:rsid w:val="0B8B5EAE"/>
    <w:rsid w:val="0B8F4FE7"/>
    <w:rsid w:val="0B904036"/>
    <w:rsid w:val="0B92BFEF"/>
    <w:rsid w:val="0B940E65"/>
    <w:rsid w:val="0B94AADD"/>
    <w:rsid w:val="0B9806D7"/>
    <w:rsid w:val="0B9849AB"/>
    <w:rsid w:val="0B98FDB7"/>
    <w:rsid w:val="0B997DD5"/>
    <w:rsid w:val="0B9D9F3A"/>
    <w:rsid w:val="0B9DC1C9"/>
    <w:rsid w:val="0B9F6598"/>
    <w:rsid w:val="0BA39CF1"/>
    <w:rsid w:val="0BA479C0"/>
    <w:rsid w:val="0BA8358E"/>
    <w:rsid w:val="0BA9B55F"/>
    <w:rsid w:val="0BAB2FA0"/>
    <w:rsid w:val="0BAB3F48"/>
    <w:rsid w:val="0BAE862C"/>
    <w:rsid w:val="0BB0003F"/>
    <w:rsid w:val="0BB4D55B"/>
    <w:rsid w:val="0BB9B80A"/>
    <w:rsid w:val="0BB9E971"/>
    <w:rsid w:val="0BBB9107"/>
    <w:rsid w:val="0BC23E69"/>
    <w:rsid w:val="0BC830A3"/>
    <w:rsid w:val="0BCA5FD9"/>
    <w:rsid w:val="0BCB3843"/>
    <w:rsid w:val="0BD1A48B"/>
    <w:rsid w:val="0BD2277A"/>
    <w:rsid w:val="0BD2E567"/>
    <w:rsid w:val="0BD537C5"/>
    <w:rsid w:val="0BD5BD41"/>
    <w:rsid w:val="0BD842AD"/>
    <w:rsid w:val="0BD98631"/>
    <w:rsid w:val="0BD9C8CD"/>
    <w:rsid w:val="0BDD54CB"/>
    <w:rsid w:val="0BDE824D"/>
    <w:rsid w:val="0BE0DD98"/>
    <w:rsid w:val="0BE82112"/>
    <w:rsid w:val="0BE82B1B"/>
    <w:rsid w:val="0BEB1AE7"/>
    <w:rsid w:val="0BEC418F"/>
    <w:rsid w:val="0BECDA71"/>
    <w:rsid w:val="0BED33C7"/>
    <w:rsid w:val="0BEDD6C5"/>
    <w:rsid w:val="0BEDF055"/>
    <w:rsid w:val="0BEDF4B1"/>
    <w:rsid w:val="0BEE77A7"/>
    <w:rsid w:val="0BF30712"/>
    <w:rsid w:val="0BF5FD20"/>
    <w:rsid w:val="0BF62F4B"/>
    <w:rsid w:val="0BF8D297"/>
    <w:rsid w:val="0BFAC609"/>
    <w:rsid w:val="0BFACB22"/>
    <w:rsid w:val="0BFC52F2"/>
    <w:rsid w:val="0BFC71CE"/>
    <w:rsid w:val="0BFCFDC4"/>
    <w:rsid w:val="0BFE232A"/>
    <w:rsid w:val="0BFE64D7"/>
    <w:rsid w:val="0C005714"/>
    <w:rsid w:val="0C018D16"/>
    <w:rsid w:val="0C02B0BB"/>
    <w:rsid w:val="0C070657"/>
    <w:rsid w:val="0C09CB35"/>
    <w:rsid w:val="0C0A2806"/>
    <w:rsid w:val="0C0A595C"/>
    <w:rsid w:val="0C0E937C"/>
    <w:rsid w:val="0C0EA912"/>
    <w:rsid w:val="0C0FEE6A"/>
    <w:rsid w:val="0C10E67A"/>
    <w:rsid w:val="0C116DCE"/>
    <w:rsid w:val="0C149169"/>
    <w:rsid w:val="0C178EFA"/>
    <w:rsid w:val="0C1C31BE"/>
    <w:rsid w:val="0C1CEEFD"/>
    <w:rsid w:val="0C1EA9C8"/>
    <w:rsid w:val="0C1FBED4"/>
    <w:rsid w:val="0C231649"/>
    <w:rsid w:val="0C236686"/>
    <w:rsid w:val="0C2447BC"/>
    <w:rsid w:val="0C24CD90"/>
    <w:rsid w:val="0C252C1A"/>
    <w:rsid w:val="0C25D853"/>
    <w:rsid w:val="0C28425C"/>
    <w:rsid w:val="0C29ED47"/>
    <w:rsid w:val="0C2FBC91"/>
    <w:rsid w:val="0C314416"/>
    <w:rsid w:val="0C339CE0"/>
    <w:rsid w:val="0C35A117"/>
    <w:rsid w:val="0C3A716E"/>
    <w:rsid w:val="0C3B96A3"/>
    <w:rsid w:val="0C3BA59C"/>
    <w:rsid w:val="0C3D8758"/>
    <w:rsid w:val="0C3DDB7A"/>
    <w:rsid w:val="0C41875B"/>
    <w:rsid w:val="0C420781"/>
    <w:rsid w:val="0C43C3FC"/>
    <w:rsid w:val="0C447F78"/>
    <w:rsid w:val="0C46362A"/>
    <w:rsid w:val="0C48B4DB"/>
    <w:rsid w:val="0C4BF0A1"/>
    <w:rsid w:val="0C4C69AC"/>
    <w:rsid w:val="0C4D6C9A"/>
    <w:rsid w:val="0C4DA6E7"/>
    <w:rsid w:val="0C53DBDF"/>
    <w:rsid w:val="0C54D8CD"/>
    <w:rsid w:val="0C575B16"/>
    <w:rsid w:val="0C57B258"/>
    <w:rsid w:val="0C57E737"/>
    <w:rsid w:val="0C5E4538"/>
    <w:rsid w:val="0C60694C"/>
    <w:rsid w:val="0C629573"/>
    <w:rsid w:val="0C62D705"/>
    <w:rsid w:val="0C64514E"/>
    <w:rsid w:val="0C64631C"/>
    <w:rsid w:val="0C64A117"/>
    <w:rsid w:val="0C66F3D5"/>
    <w:rsid w:val="0C677B90"/>
    <w:rsid w:val="0C6895CB"/>
    <w:rsid w:val="0C69ACC9"/>
    <w:rsid w:val="0C6BF42E"/>
    <w:rsid w:val="0C6D6AD1"/>
    <w:rsid w:val="0C70F175"/>
    <w:rsid w:val="0C714548"/>
    <w:rsid w:val="0C72722B"/>
    <w:rsid w:val="0C73D2D1"/>
    <w:rsid w:val="0C7459C7"/>
    <w:rsid w:val="0C752869"/>
    <w:rsid w:val="0C7616EE"/>
    <w:rsid w:val="0C781D3B"/>
    <w:rsid w:val="0C7CA059"/>
    <w:rsid w:val="0C8284D5"/>
    <w:rsid w:val="0C82E7F3"/>
    <w:rsid w:val="0C8420C0"/>
    <w:rsid w:val="0C8B65D1"/>
    <w:rsid w:val="0C8BF3A8"/>
    <w:rsid w:val="0C8D4AD1"/>
    <w:rsid w:val="0C8FB3A9"/>
    <w:rsid w:val="0C907168"/>
    <w:rsid w:val="0C91C745"/>
    <w:rsid w:val="0C921E33"/>
    <w:rsid w:val="0C9338CE"/>
    <w:rsid w:val="0C9363D4"/>
    <w:rsid w:val="0C94038F"/>
    <w:rsid w:val="0C94948F"/>
    <w:rsid w:val="0C99C8C8"/>
    <w:rsid w:val="0C9D7145"/>
    <w:rsid w:val="0C9D9285"/>
    <w:rsid w:val="0C9F5837"/>
    <w:rsid w:val="0CA035FC"/>
    <w:rsid w:val="0CA0F247"/>
    <w:rsid w:val="0CA26092"/>
    <w:rsid w:val="0CA260CF"/>
    <w:rsid w:val="0CA3B16B"/>
    <w:rsid w:val="0CA6125E"/>
    <w:rsid w:val="0CA72EEE"/>
    <w:rsid w:val="0CA76D99"/>
    <w:rsid w:val="0CA790D1"/>
    <w:rsid w:val="0CA7AFE7"/>
    <w:rsid w:val="0CA8ECE4"/>
    <w:rsid w:val="0CAA6CC0"/>
    <w:rsid w:val="0CAD2265"/>
    <w:rsid w:val="0CADD5D3"/>
    <w:rsid w:val="0CB54D3E"/>
    <w:rsid w:val="0CB70710"/>
    <w:rsid w:val="0CBC66E2"/>
    <w:rsid w:val="0CBEF94B"/>
    <w:rsid w:val="0CBF1DB2"/>
    <w:rsid w:val="0CC05831"/>
    <w:rsid w:val="0CC0FD6C"/>
    <w:rsid w:val="0CC285D4"/>
    <w:rsid w:val="0CC286F3"/>
    <w:rsid w:val="0CC4DD8C"/>
    <w:rsid w:val="0CC64DE8"/>
    <w:rsid w:val="0CC84D8B"/>
    <w:rsid w:val="0CC8BA08"/>
    <w:rsid w:val="0CC98CA4"/>
    <w:rsid w:val="0CCA3868"/>
    <w:rsid w:val="0CCAABC0"/>
    <w:rsid w:val="0CCC84FA"/>
    <w:rsid w:val="0CCECFB6"/>
    <w:rsid w:val="0CCFF0CF"/>
    <w:rsid w:val="0CD58163"/>
    <w:rsid w:val="0CD7FAF9"/>
    <w:rsid w:val="0CD8B929"/>
    <w:rsid w:val="0CD95170"/>
    <w:rsid w:val="0CDCD740"/>
    <w:rsid w:val="0CDCE989"/>
    <w:rsid w:val="0CDD7FB5"/>
    <w:rsid w:val="0CDE4F1C"/>
    <w:rsid w:val="0CE055AE"/>
    <w:rsid w:val="0CE07461"/>
    <w:rsid w:val="0CE09A48"/>
    <w:rsid w:val="0CE0F93A"/>
    <w:rsid w:val="0CE17F9F"/>
    <w:rsid w:val="0CE17FBF"/>
    <w:rsid w:val="0CE5605E"/>
    <w:rsid w:val="0CE71845"/>
    <w:rsid w:val="0CF215ED"/>
    <w:rsid w:val="0CF2F9A7"/>
    <w:rsid w:val="0CF66A4E"/>
    <w:rsid w:val="0CF9885D"/>
    <w:rsid w:val="0CF9C5FE"/>
    <w:rsid w:val="0CFDD007"/>
    <w:rsid w:val="0D016B0A"/>
    <w:rsid w:val="0D0203AB"/>
    <w:rsid w:val="0D04CFB0"/>
    <w:rsid w:val="0D064620"/>
    <w:rsid w:val="0D0803BE"/>
    <w:rsid w:val="0D0D26B9"/>
    <w:rsid w:val="0D0D4BDE"/>
    <w:rsid w:val="0D0D9F53"/>
    <w:rsid w:val="0D0EFCC0"/>
    <w:rsid w:val="0D12DCB3"/>
    <w:rsid w:val="0D1444A5"/>
    <w:rsid w:val="0D195A82"/>
    <w:rsid w:val="0D1DA590"/>
    <w:rsid w:val="0D20EA49"/>
    <w:rsid w:val="0D216964"/>
    <w:rsid w:val="0D239EE4"/>
    <w:rsid w:val="0D249932"/>
    <w:rsid w:val="0D2862EB"/>
    <w:rsid w:val="0D29D274"/>
    <w:rsid w:val="0D29F602"/>
    <w:rsid w:val="0D2A608F"/>
    <w:rsid w:val="0D2B2EDD"/>
    <w:rsid w:val="0D2B8F12"/>
    <w:rsid w:val="0D310800"/>
    <w:rsid w:val="0D32CC0E"/>
    <w:rsid w:val="0D32FE0C"/>
    <w:rsid w:val="0D35973C"/>
    <w:rsid w:val="0D359BFD"/>
    <w:rsid w:val="0D371F67"/>
    <w:rsid w:val="0D3837FE"/>
    <w:rsid w:val="0D39465C"/>
    <w:rsid w:val="0D3AE0D6"/>
    <w:rsid w:val="0D3FAA81"/>
    <w:rsid w:val="0D404E35"/>
    <w:rsid w:val="0D40ACC6"/>
    <w:rsid w:val="0D48D89F"/>
    <w:rsid w:val="0D4C711D"/>
    <w:rsid w:val="0D50342F"/>
    <w:rsid w:val="0D507452"/>
    <w:rsid w:val="0D510849"/>
    <w:rsid w:val="0D52FDC5"/>
    <w:rsid w:val="0D54882A"/>
    <w:rsid w:val="0D551B2B"/>
    <w:rsid w:val="0D589722"/>
    <w:rsid w:val="0D59B144"/>
    <w:rsid w:val="0D5BEE52"/>
    <w:rsid w:val="0D621CB1"/>
    <w:rsid w:val="0D649D05"/>
    <w:rsid w:val="0D64D4C4"/>
    <w:rsid w:val="0D68D184"/>
    <w:rsid w:val="0D69395E"/>
    <w:rsid w:val="0D6A2C03"/>
    <w:rsid w:val="0D6AEF6B"/>
    <w:rsid w:val="0D6DD5BF"/>
    <w:rsid w:val="0D6E5A86"/>
    <w:rsid w:val="0D6EB5C8"/>
    <w:rsid w:val="0D6F78DB"/>
    <w:rsid w:val="0D6FB488"/>
    <w:rsid w:val="0D70DF63"/>
    <w:rsid w:val="0D715F5A"/>
    <w:rsid w:val="0D731287"/>
    <w:rsid w:val="0D73CFF6"/>
    <w:rsid w:val="0D73EF31"/>
    <w:rsid w:val="0D760042"/>
    <w:rsid w:val="0D766BA6"/>
    <w:rsid w:val="0D7739CB"/>
    <w:rsid w:val="0D777FDB"/>
    <w:rsid w:val="0D79AE3C"/>
    <w:rsid w:val="0D805557"/>
    <w:rsid w:val="0D81B2CA"/>
    <w:rsid w:val="0D82043C"/>
    <w:rsid w:val="0D82C7B6"/>
    <w:rsid w:val="0D85E40E"/>
    <w:rsid w:val="0D86A96F"/>
    <w:rsid w:val="0D89AAAE"/>
    <w:rsid w:val="0D8A526C"/>
    <w:rsid w:val="0D8C41D1"/>
    <w:rsid w:val="0D8EDE92"/>
    <w:rsid w:val="0D91E7E1"/>
    <w:rsid w:val="0D923E7A"/>
    <w:rsid w:val="0D9540EB"/>
    <w:rsid w:val="0D959390"/>
    <w:rsid w:val="0D965D85"/>
    <w:rsid w:val="0D976572"/>
    <w:rsid w:val="0D98A607"/>
    <w:rsid w:val="0D9BB561"/>
    <w:rsid w:val="0D9C7D12"/>
    <w:rsid w:val="0D9D1834"/>
    <w:rsid w:val="0D9E8DE5"/>
    <w:rsid w:val="0D9E9F7F"/>
    <w:rsid w:val="0D9EE109"/>
    <w:rsid w:val="0DA05C2C"/>
    <w:rsid w:val="0DA1F986"/>
    <w:rsid w:val="0DA323C1"/>
    <w:rsid w:val="0DA64904"/>
    <w:rsid w:val="0DA65BBA"/>
    <w:rsid w:val="0DA67E51"/>
    <w:rsid w:val="0DA73CFC"/>
    <w:rsid w:val="0DA80972"/>
    <w:rsid w:val="0DACA3DD"/>
    <w:rsid w:val="0DAD5E9B"/>
    <w:rsid w:val="0DAE5F1A"/>
    <w:rsid w:val="0DAF2BED"/>
    <w:rsid w:val="0DAF97F5"/>
    <w:rsid w:val="0DB252A8"/>
    <w:rsid w:val="0DB3689E"/>
    <w:rsid w:val="0DB80783"/>
    <w:rsid w:val="0DBB5847"/>
    <w:rsid w:val="0DBC8506"/>
    <w:rsid w:val="0DBE1FD5"/>
    <w:rsid w:val="0DBEFCDB"/>
    <w:rsid w:val="0DC2B3A6"/>
    <w:rsid w:val="0DC2C3AD"/>
    <w:rsid w:val="0DC3B01F"/>
    <w:rsid w:val="0DC3FA97"/>
    <w:rsid w:val="0DC52FAA"/>
    <w:rsid w:val="0DC55B95"/>
    <w:rsid w:val="0DC77E65"/>
    <w:rsid w:val="0DC7A09C"/>
    <w:rsid w:val="0DC8213E"/>
    <w:rsid w:val="0DCAC570"/>
    <w:rsid w:val="0DCC37B8"/>
    <w:rsid w:val="0DCF18CA"/>
    <w:rsid w:val="0DCF59CF"/>
    <w:rsid w:val="0DD30D8F"/>
    <w:rsid w:val="0DD4D30F"/>
    <w:rsid w:val="0DD5D962"/>
    <w:rsid w:val="0DD5DCF4"/>
    <w:rsid w:val="0DD60992"/>
    <w:rsid w:val="0DDA74D2"/>
    <w:rsid w:val="0DDB40F1"/>
    <w:rsid w:val="0DDBE78F"/>
    <w:rsid w:val="0DE1C851"/>
    <w:rsid w:val="0DE26944"/>
    <w:rsid w:val="0DE325DC"/>
    <w:rsid w:val="0DE7B1F9"/>
    <w:rsid w:val="0DE7EAD2"/>
    <w:rsid w:val="0DEBAA7B"/>
    <w:rsid w:val="0DEF2718"/>
    <w:rsid w:val="0DEF7974"/>
    <w:rsid w:val="0DF1E0CC"/>
    <w:rsid w:val="0DF492C9"/>
    <w:rsid w:val="0DF57D5C"/>
    <w:rsid w:val="0DF66ED9"/>
    <w:rsid w:val="0DF9AD3E"/>
    <w:rsid w:val="0DFE154A"/>
    <w:rsid w:val="0E03CA4E"/>
    <w:rsid w:val="0E078675"/>
    <w:rsid w:val="0E098D6F"/>
    <w:rsid w:val="0E0A82CD"/>
    <w:rsid w:val="0E0B8E92"/>
    <w:rsid w:val="0E0BFBBC"/>
    <w:rsid w:val="0E0C71DA"/>
    <w:rsid w:val="0E0D2AD4"/>
    <w:rsid w:val="0E0F32E2"/>
    <w:rsid w:val="0E1148C2"/>
    <w:rsid w:val="0E12AFFA"/>
    <w:rsid w:val="0E141AD9"/>
    <w:rsid w:val="0E147A62"/>
    <w:rsid w:val="0E163BF1"/>
    <w:rsid w:val="0E1D2224"/>
    <w:rsid w:val="0E220B4B"/>
    <w:rsid w:val="0E224131"/>
    <w:rsid w:val="0E2A479E"/>
    <w:rsid w:val="0E2AFA87"/>
    <w:rsid w:val="0E2B195D"/>
    <w:rsid w:val="0E2DFB55"/>
    <w:rsid w:val="0E2E2BBD"/>
    <w:rsid w:val="0E2E5762"/>
    <w:rsid w:val="0E2E6A3D"/>
    <w:rsid w:val="0E2EB28C"/>
    <w:rsid w:val="0E2FAA72"/>
    <w:rsid w:val="0E306637"/>
    <w:rsid w:val="0E31EEC1"/>
    <w:rsid w:val="0E325448"/>
    <w:rsid w:val="0E32B5E1"/>
    <w:rsid w:val="0E330912"/>
    <w:rsid w:val="0E366EA4"/>
    <w:rsid w:val="0E383BD8"/>
    <w:rsid w:val="0E384202"/>
    <w:rsid w:val="0E39E0DA"/>
    <w:rsid w:val="0E3C0E03"/>
    <w:rsid w:val="0E3C9E82"/>
    <w:rsid w:val="0E3E2C0B"/>
    <w:rsid w:val="0E40F105"/>
    <w:rsid w:val="0E43EC2C"/>
    <w:rsid w:val="0E43FC62"/>
    <w:rsid w:val="0E44559C"/>
    <w:rsid w:val="0E459C69"/>
    <w:rsid w:val="0E463CC8"/>
    <w:rsid w:val="0E46681B"/>
    <w:rsid w:val="0E4879FC"/>
    <w:rsid w:val="0E49B932"/>
    <w:rsid w:val="0E5033AE"/>
    <w:rsid w:val="0E51AD64"/>
    <w:rsid w:val="0E51F6E8"/>
    <w:rsid w:val="0E5302B1"/>
    <w:rsid w:val="0E5724C4"/>
    <w:rsid w:val="0E595BD8"/>
    <w:rsid w:val="0E59E158"/>
    <w:rsid w:val="0E5ABA7B"/>
    <w:rsid w:val="0E5B1D02"/>
    <w:rsid w:val="0E5C620D"/>
    <w:rsid w:val="0E5C66E6"/>
    <w:rsid w:val="0E5D08C6"/>
    <w:rsid w:val="0E5D4020"/>
    <w:rsid w:val="0E5D5C2F"/>
    <w:rsid w:val="0E5E7B1E"/>
    <w:rsid w:val="0E5E993E"/>
    <w:rsid w:val="0E67E215"/>
    <w:rsid w:val="0E69A234"/>
    <w:rsid w:val="0E6C11FD"/>
    <w:rsid w:val="0E6C39AF"/>
    <w:rsid w:val="0E73DA01"/>
    <w:rsid w:val="0E755C0D"/>
    <w:rsid w:val="0E7C636E"/>
    <w:rsid w:val="0E7DEBD0"/>
    <w:rsid w:val="0E80A76D"/>
    <w:rsid w:val="0E814FEF"/>
    <w:rsid w:val="0E834084"/>
    <w:rsid w:val="0E83BE34"/>
    <w:rsid w:val="0E86E3E5"/>
    <w:rsid w:val="0E879A36"/>
    <w:rsid w:val="0E88FEA4"/>
    <w:rsid w:val="0E8998F9"/>
    <w:rsid w:val="0E8B9EE8"/>
    <w:rsid w:val="0E8D87C7"/>
    <w:rsid w:val="0E8D9CF7"/>
    <w:rsid w:val="0E8E6C21"/>
    <w:rsid w:val="0E91D244"/>
    <w:rsid w:val="0E934378"/>
    <w:rsid w:val="0E947207"/>
    <w:rsid w:val="0E94EFF1"/>
    <w:rsid w:val="0E9520AA"/>
    <w:rsid w:val="0E976585"/>
    <w:rsid w:val="0E995686"/>
    <w:rsid w:val="0E9B903C"/>
    <w:rsid w:val="0E9BC896"/>
    <w:rsid w:val="0E9C8AFB"/>
    <w:rsid w:val="0EA061B8"/>
    <w:rsid w:val="0EA2B618"/>
    <w:rsid w:val="0EA61DD6"/>
    <w:rsid w:val="0EA6F827"/>
    <w:rsid w:val="0EA8ABA2"/>
    <w:rsid w:val="0EAB908F"/>
    <w:rsid w:val="0EACC6ED"/>
    <w:rsid w:val="0EADA091"/>
    <w:rsid w:val="0EAFB632"/>
    <w:rsid w:val="0EB4A4A7"/>
    <w:rsid w:val="0EB4BA56"/>
    <w:rsid w:val="0EB7A3DC"/>
    <w:rsid w:val="0EB8135D"/>
    <w:rsid w:val="0EB820AC"/>
    <w:rsid w:val="0EB8EFC9"/>
    <w:rsid w:val="0EB90CB6"/>
    <w:rsid w:val="0EBAAF6F"/>
    <w:rsid w:val="0EBAB682"/>
    <w:rsid w:val="0EBAF34C"/>
    <w:rsid w:val="0EBB46CE"/>
    <w:rsid w:val="0EBD4B4E"/>
    <w:rsid w:val="0EBEC0C9"/>
    <w:rsid w:val="0EBEF12B"/>
    <w:rsid w:val="0EC68052"/>
    <w:rsid w:val="0EC6E324"/>
    <w:rsid w:val="0EC8A3C3"/>
    <w:rsid w:val="0ECA6AB3"/>
    <w:rsid w:val="0ECC88CA"/>
    <w:rsid w:val="0ED1860B"/>
    <w:rsid w:val="0ED2C88A"/>
    <w:rsid w:val="0ED60091"/>
    <w:rsid w:val="0ED6173F"/>
    <w:rsid w:val="0EDB7395"/>
    <w:rsid w:val="0EDC247D"/>
    <w:rsid w:val="0EDCFECE"/>
    <w:rsid w:val="0EDE82C2"/>
    <w:rsid w:val="0EE1728D"/>
    <w:rsid w:val="0EE2C74F"/>
    <w:rsid w:val="0EE35F98"/>
    <w:rsid w:val="0EE38DEF"/>
    <w:rsid w:val="0EE60482"/>
    <w:rsid w:val="0EE661D3"/>
    <w:rsid w:val="0EE6FC16"/>
    <w:rsid w:val="0EE79350"/>
    <w:rsid w:val="0EEA0CBD"/>
    <w:rsid w:val="0EEB1221"/>
    <w:rsid w:val="0EF00819"/>
    <w:rsid w:val="0EF115E2"/>
    <w:rsid w:val="0EF2CBE0"/>
    <w:rsid w:val="0EF3E60C"/>
    <w:rsid w:val="0EF40ECF"/>
    <w:rsid w:val="0EF49F5A"/>
    <w:rsid w:val="0EF84F1B"/>
    <w:rsid w:val="0EF88BBA"/>
    <w:rsid w:val="0EF8B652"/>
    <w:rsid w:val="0EF8E9FA"/>
    <w:rsid w:val="0EFBCD30"/>
    <w:rsid w:val="0EFCC264"/>
    <w:rsid w:val="0EFDA5E3"/>
    <w:rsid w:val="0EFFEBAE"/>
    <w:rsid w:val="0F02F7C2"/>
    <w:rsid w:val="0F02FC68"/>
    <w:rsid w:val="0F044D0D"/>
    <w:rsid w:val="0F046566"/>
    <w:rsid w:val="0F0562F1"/>
    <w:rsid w:val="0F07C180"/>
    <w:rsid w:val="0F085652"/>
    <w:rsid w:val="0F0907CA"/>
    <w:rsid w:val="0F0B0F8F"/>
    <w:rsid w:val="0F0C3DE5"/>
    <w:rsid w:val="0F0C7B87"/>
    <w:rsid w:val="0F0CEB87"/>
    <w:rsid w:val="0F0DC933"/>
    <w:rsid w:val="0F1091F7"/>
    <w:rsid w:val="0F1122FB"/>
    <w:rsid w:val="0F125ED9"/>
    <w:rsid w:val="0F14A996"/>
    <w:rsid w:val="0F152356"/>
    <w:rsid w:val="0F152B6C"/>
    <w:rsid w:val="0F16C102"/>
    <w:rsid w:val="0F171D20"/>
    <w:rsid w:val="0F1745B8"/>
    <w:rsid w:val="0F176AF1"/>
    <w:rsid w:val="0F178638"/>
    <w:rsid w:val="0F17B755"/>
    <w:rsid w:val="0F184B99"/>
    <w:rsid w:val="0F1CA293"/>
    <w:rsid w:val="0F1E8FDD"/>
    <w:rsid w:val="0F213AE5"/>
    <w:rsid w:val="0F22DCC8"/>
    <w:rsid w:val="0F2443CA"/>
    <w:rsid w:val="0F2590ED"/>
    <w:rsid w:val="0F25C14C"/>
    <w:rsid w:val="0F25CE16"/>
    <w:rsid w:val="0F274416"/>
    <w:rsid w:val="0F28AF1E"/>
    <w:rsid w:val="0F2B2C3F"/>
    <w:rsid w:val="0F2B5F59"/>
    <w:rsid w:val="0F2D05E9"/>
    <w:rsid w:val="0F2DBBD0"/>
    <w:rsid w:val="0F303496"/>
    <w:rsid w:val="0F304A0F"/>
    <w:rsid w:val="0F31114C"/>
    <w:rsid w:val="0F326ABD"/>
    <w:rsid w:val="0F3312E6"/>
    <w:rsid w:val="0F35DE20"/>
    <w:rsid w:val="0F3E0851"/>
    <w:rsid w:val="0F3F8E8C"/>
    <w:rsid w:val="0F40661A"/>
    <w:rsid w:val="0F40B968"/>
    <w:rsid w:val="0F40E96E"/>
    <w:rsid w:val="0F4398CE"/>
    <w:rsid w:val="0F4710E8"/>
    <w:rsid w:val="0F482D05"/>
    <w:rsid w:val="0F485FA6"/>
    <w:rsid w:val="0F487E57"/>
    <w:rsid w:val="0F4A0053"/>
    <w:rsid w:val="0F4C69F3"/>
    <w:rsid w:val="0F4CE690"/>
    <w:rsid w:val="0F4D70F3"/>
    <w:rsid w:val="0F4DC7FE"/>
    <w:rsid w:val="0F4E5122"/>
    <w:rsid w:val="0F4EB99B"/>
    <w:rsid w:val="0F4F2BC0"/>
    <w:rsid w:val="0F51B067"/>
    <w:rsid w:val="0F53C6C7"/>
    <w:rsid w:val="0F54914C"/>
    <w:rsid w:val="0F5860FE"/>
    <w:rsid w:val="0F58E72B"/>
    <w:rsid w:val="0F5BA28B"/>
    <w:rsid w:val="0F5BF078"/>
    <w:rsid w:val="0F5C6254"/>
    <w:rsid w:val="0F5D63E2"/>
    <w:rsid w:val="0F5EA7A9"/>
    <w:rsid w:val="0F601522"/>
    <w:rsid w:val="0F60A334"/>
    <w:rsid w:val="0F614A8D"/>
    <w:rsid w:val="0F639BCE"/>
    <w:rsid w:val="0F6456CD"/>
    <w:rsid w:val="0F66C80B"/>
    <w:rsid w:val="0F67B8E3"/>
    <w:rsid w:val="0F69DBD8"/>
    <w:rsid w:val="0F6AEAA3"/>
    <w:rsid w:val="0F6B0595"/>
    <w:rsid w:val="0F6ED670"/>
    <w:rsid w:val="0F6FD212"/>
    <w:rsid w:val="0F7429D5"/>
    <w:rsid w:val="0F759DCA"/>
    <w:rsid w:val="0F7C34C7"/>
    <w:rsid w:val="0F7D3A94"/>
    <w:rsid w:val="0F7E9C84"/>
    <w:rsid w:val="0F82513C"/>
    <w:rsid w:val="0F88EC61"/>
    <w:rsid w:val="0F89B274"/>
    <w:rsid w:val="0F8C727F"/>
    <w:rsid w:val="0F8EA920"/>
    <w:rsid w:val="0F8F531A"/>
    <w:rsid w:val="0F9281C7"/>
    <w:rsid w:val="0F92E51B"/>
    <w:rsid w:val="0F971443"/>
    <w:rsid w:val="0F986F7B"/>
    <w:rsid w:val="0F9CA531"/>
    <w:rsid w:val="0F9E5C3B"/>
    <w:rsid w:val="0F9EE1C6"/>
    <w:rsid w:val="0FA64CB1"/>
    <w:rsid w:val="0FA9B5C5"/>
    <w:rsid w:val="0FAA31C7"/>
    <w:rsid w:val="0FAAB6F9"/>
    <w:rsid w:val="0FAB0592"/>
    <w:rsid w:val="0FAD0396"/>
    <w:rsid w:val="0FAD1FCD"/>
    <w:rsid w:val="0FAEFA7F"/>
    <w:rsid w:val="0FAF37E7"/>
    <w:rsid w:val="0FB02128"/>
    <w:rsid w:val="0FB3140A"/>
    <w:rsid w:val="0FB34A8C"/>
    <w:rsid w:val="0FB65EF7"/>
    <w:rsid w:val="0FB896DC"/>
    <w:rsid w:val="0FB8DDD1"/>
    <w:rsid w:val="0FB8E264"/>
    <w:rsid w:val="0FB9EA92"/>
    <w:rsid w:val="0FB9F80A"/>
    <w:rsid w:val="0FBA522B"/>
    <w:rsid w:val="0FBA7883"/>
    <w:rsid w:val="0FBE5D40"/>
    <w:rsid w:val="0FC3078F"/>
    <w:rsid w:val="0FC58302"/>
    <w:rsid w:val="0FC6A37E"/>
    <w:rsid w:val="0FC75E79"/>
    <w:rsid w:val="0FC99353"/>
    <w:rsid w:val="0FCA061C"/>
    <w:rsid w:val="0FCC3EE7"/>
    <w:rsid w:val="0FCC5D23"/>
    <w:rsid w:val="0FCDA66A"/>
    <w:rsid w:val="0FCF9743"/>
    <w:rsid w:val="0FD215FC"/>
    <w:rsid w:val="0FD540F7"/>
    <w:rsid w:val="0FD54296"/>
    <w:rsid w:val="0FD5607F"/>
    <w:rsid w:val="0FD63C95"/>
    <w:rsid w:val="0FD73B2C"/>
    <w:rsid w:val="0FD83A02"/>
    <w:rsid w:val="0FD899D6"/>
    <w:rsid w:val="0FD8D153"/>
    <w:rsid w:val="0FDB7106"/>
    <w:rsid w:val="0FDCD192"/>
    <w:rsid w:val="0FDCE30C"/>
    <w:rsid w:val="0FE1AA31"/>
    <w:rsid w:val="0FE2F652"/>
    <w:rsid w:val="0FE356F7"/>
    <w:rsid w:val="0FE5BBE8"/>
    <w:rsid w:val="0FE5E610"/>
    <w:rsid w:val="0FEA0F8F"/>
    <w:rsid w:val="0FEB11F8"/>
    <w:rsid w:val="0FEB195F"/>
    <w:rsid w:val="0FECDCC0"/>
    <w:rsid w:val="0FED24BE"/>
    <w:rsid w:val="0FEDA65E"/>
    <w:rsid w:val="0FEE9F4B"/>
    <w:rsid w:val="0FEF7E2E"/>
    <w:rsid w:val="0FF50A2A"/>
    <w:rsid w:val="0FF7CE1E"/>
    <w:rsid w:val="0FF8CF75"/>
    <w:rsid w:val="0FF99999"/>
    <w:rsid w:val="0FFC0C59"/>
    <w:rsid w:val="0FFF5096"/>
    <w:rsid w:val="10004920"/>
    <w:rsid w:val="1002B68F"/>
    <w:rsid w:val="1005E86B"/>
    <w:rsid w:val="100893FB"/>
    <w:rsid w:val="1008ABA8"/>
    <w:rsid w:val="100A1C64"/>
    <w:rsid w:val="100B9CD5"/>
    <w:rsid w:val="10105A7E"/>
    <w:rsid w:val="1011ADBE"/>
    <w:rsid w:val="1012DB42"/>
    <w:rsid w:val="1014FD51"/>
    <w:rsid w:val="10175B54"/>
    <w:rsid w:val="101AD625"/>
    <w:rsid w:val="1023C647"/>
    <w:rsid w:val="10257F93"/>
    <w:rsid w:val="10259069"/>
    <w:rsid w:val="102979B8"/>
    <w:rsid w:val="1029F13E"/>
    <w:rsid w:val="102E337D"/>
    <w:rsid w:val="102EA65B"/>
    <w:rsid w:val="102FBFD9"/>
    <w:rsid w:val="10310D21"/>
    <w:rsid w:val="10368689"/>
    <w:rsid w:val="1038610D"/>
    <w:rsid w:val="103C3219"/>
    <w:rsid w:val="103E7821"/>
    <w:rsid w:val="1042C17C"/>
    <w:rsid w:val="1042C550"/>
    <w:rsid w:val="10467E41"/>
    <w:rsid w:val="1047191F"/>
    <w:rsid w:val="10476BE1"/>
    <w:rsid w:val="1049FCB1"/>
    <w:rsid w:val="104A2998"/>
    <w:rsid w:val="104F7E30"/>
    <w:rsid w:val="1050442C"/>
    <w:rsid w:val="1050733B"/>
    <w:rsid w:val="10535A92"/>
    <w:rsid w:val="1053A691"/>
    <w:rsid w:val="10541028"/>
    <w:rsid w:val="1055CE0B"/>
    <w:rsid w:val="1057AD3F"/>
    <w:rsid w:val="105C5BAC"/>
    <w:rsid w:val="105C61FB"/>
    <w:rsid w:val="105D8C2C"/>
    <w:rsid w:val="105D8CF8"/>
    <w:rsid w:val="105EB725"/>
    <w:rsid w:val="105F3DDD"/>
    <w:rsid w:val="10615628"/>
    <w:rsid w:val="10615ECF"/>
    <w:rsid w:val="1061A0FB"/>
    <w:rsid w:val="10621B2D"/>
    <w:rsid w:val="1062F5E0"/>
    <w:rsid w:val="10634E74"/>
    <w:rsid w:val="10697AA4"/>
    <w:rsid w:val="106D67FD"/>
    <w:rsid w:val="107091F8"/>
    <w:rsid w:val="107372F2"/>
    <w:rsid w:val="1076C400"/>
    <w:rsid w:val="107719A6"/>
    <w:rsid w:val="10794748"/>
    <w:rsid w:val="1079E036"/>
    <w:rsid w:val="107B1F25"/>
    <w:rsid w:val="107C27A4"/>
    <w:rsid w:val="10802BA6"/>
    <w:rsid w:val="10807961"/>
    <w:rsid w:val="1082AFDD"/>
    <w:rsid w:val="1084FF5C"/>
    <w:rsid w:val="1087319E"/>
    <w:rsid w:val="1087BE20"/>
    <w:rsid w:val="108B6117"/>
    <w:rsid w:val="108BAAEA"/>
    <w:rsid w:val="108CE8A2"/>
    <w:rsid w:val="108CF60B"/>
    <w:rsid w:val="108D7FFB"/>
    <w:rsid w:val="108EE781"/>
    <w:rsid w:val="1091FA93"/>
    <w:rsid w:val="10920F51"/>
    <w:rsid w:val="1097A8AB"/>
    <w:rsid w:val="1098D734"/>
    <w:rsid w:val="109BF32D"/>
    <w:rsid w:val="109DBE67"/>
    <w:rsid w:val="109DF505"/>
    <w:rsid w:val="109E6178"/>
    <w:rsid w:val="10A025B0"/>
    <w:rsid w:val="10A17B2E"/>
    <w:rsid w:val="10A3766E"/>
    <w:rsid w:val="10A42E09"/>
    <w:rsid w:val="10A4C4A4"/>
    <w:rsid w:val="10A4FE53"/>
    <w:rsid w:val="10A65761"/>
    <w:rsid w:val="10A7B427"/>
    <w:rsid w:val="10A8438A"/>
    <w:rsid w:val="10A97B20"/>
    <w:rsid w:val="10ACE1F3"/>
    <w:rsid w:val="10B1CF7C"/>
    <w:rsid w:val="10B2AD0E"/>
    <w:rsid w:val="10B6432A"/>
    <w:rsid w:val="10B7E9E3"/>
    <w:rsid w:val="10B84BAD"/>
    <w:rsid w:val="10B89036"/>
    <w:rsid w:val="10B99D78"/>
    <w:rsid w:val="10BB9C3E"/>
    <w:rsid w:val="10BBDC22"/>
    <w:rsid w:val="10BEF335"/>
    <w:rsid w:val="10BEFF56"/>
    <w:rsid w:val="10C0D71C"/>
    <w:rsid w:val="10C17F9B"/>
    <w:rsid w:val="10C6F896"/>
    <w:rsid w:val="10CCE1AD"/>
    <w:rsid w:val="10CE2987"/>
    <w:rsid w:val="10D0D7FF"/>
    <w:rsid w:val="10D0E5CA"/>
    <w:rsid w:val="10D1A32A"/>
    <w:rsid w:val="10D4C2F7"/>
    <w:rsid w:val="10D58F7F"/>
    <w:rsid w:val="10D5CFEF"/>
    <w:rsid w:val="10D69DE3"/>
    <w:rsid w:val="10D74680"/>
    <w:rsid w:val="10D94B16"/>
    <w:rsid w:val="10DC85B6"/>
    <w:rsid w:val="10DD5603"/>
    <w:rsid w:val="10DD5C4F"/>
    <w:rsid w:val="10DF0ECF"/>
    <w:rsid w:val="10E05009"/>
    <w:rsid w:val="10E0AD20"/>
    <w:rsid w:val="10E401FE"/>
    <w:rsid w:val="10E4CA93"/>
    <w:rsid w:val="10E72A4A"/>
    <w:rsid w:val="10EB41E0"/>
    <w:rsid w:val="10EC9294"/>
    <w:rsid w:val="10F0B314"/>
    <w:rsid w:val="10F1ACBE"/>
    <w:rsid w:val="10F22200"/>
    <w:rsid w:val="10F63A34"/>
    <w:rsid w:val="10F69972"/>
    <w:rsid w:val="10F6E474"/>
    <w:rsid w:val="10FC4AE9"/>
    <w:rsid w:val="10FC89E5"/>
    <w:rsid w:val="10FFF12E"/>
    <w:rsid w:val="1100AD81"/>
    <w:rsid w:val="1105F2B1"/>
    <w:rsid w:val="110B6B2C"/>
    <w:rsid w:val="110CC830"/>
    <w:rsid w:val="1112075E"/>
    <w:rsid w:val="1113F847"/>
    <w:rsid w:val="1115A21D"/>
    <w:rsid w:val="111656A2"/>
    <w:rsid w:val="1118AFB6"/>
    <w:rsid w:val="1118CF9B"/>
    <w:rsid w:val="1118F916"/>
    <w:rsid w:val="11197A94"/>
    <w:rsid w:val="1121A98A"/>
    <w:rsid w:val="11222352"/>
    <w:rsid w:val="1122848E"/>
    <w:rsid w:val="1123E481"/>
    <w:rsid w:val="11272051"/>
    <w:rsid w:val="1127A410"/>
    <w:rsid w:val="1127FB08"/>
    <w:rsid w:val="11281140"/>
    <w:rsid w:val="112A7EE0"/>
    <w:rsid w:val="112B2959"/>
    <w:rsid w:val="112BB087"/>
    <w:rsid w:val="112DC1FC"/>
    <w:rsid w:val="112F5073"/>
    <w:rsid w:val="112F85F2"/>
    <w:rsid w:val="1131C809"/>
    <w:rsid w:val="11366498"/>
    <w:rsid w:val="11383759"/>
    <w:rsid w:val="113AF861"/>
    <w:rsid w:val="113BA693"/>
    <w:rsid w:val="113C8140"/>
    <w:rsid w:val="11416FD5"/>
    <w:rsid w:val="1141E6B6"/>
    <w:rsid w:val="11435E92"/>
    <w:rsid w:val="114448BF"/>
    <w:rsid w:val="114507C8"/>
    <w:rsid w:val="1145D476"/>
    <w:rsid w:val="1145DEEF"/>
    <w:rsid w:val="114EC898"/>
    <w:rsid w:val="114F7778"/>
    <w:rsid w:val="115011F0"/>
    <w:rsid w:val="11561E0D"/>
    <w:rsid w:val="11569245"/>
    <w:rsid w:val="1156BBB7"/>
    <w:rsid w:val="1158943F"/>
    <w:rsid w:val="115E73A6"/>
    <w:rsid w:val="11637520"/>
    <w:rsid w:val="116A5814"/>
    <w:rsid w:val="116AD72E"/>
    <w:rsid w:val="116C202D"/>
    <w:rsid w:val="116EAA64"/>
    <w:rsid w:val="1170E268"/>
    <w:rsid w:val="1171523B"/>
    <w:rsid w:val="11718F57"/>
    <w:rsid w:val="11731112"/>
    <w:rsid w:val="1176601A"/>
    <w:rsid w:val="117992CB"/>
    <w:rsid w:val="117C066B"/>
    <w:rsid w:val="117C9642"/>
    <w:rsid w:val="117D4337"/>
    <w:rsid w:val="117F4485"/>
    <w:rsid w:val="117FCBE8"/>
    <w:rsid w:val="11801475"/>
    <w:rsid w:val="1182D462"/>
    <w:rsid w:val="1182F9A2"/>
    <w:rsid w:val="11878DB1"/>
    <w:rsid w:val="1188C204"/>
    <w:rsid w:val="118CBFFB"/>
    <w:rsid w:val="118CD8CC"/>
    <w:rsid w:val="119081A9"/>
    <w:rsid w:val="11938C2C"/>
    <w:rsid w:val="1195B0BB"/>
    <w:rsid w:val="1195BDC4"/>
    <w:rsid w:val="11984E9E"/>
    <w:rsid w:val="119B9527"/>
    <w:rsid w:val="119EDF07"/>
    <w:rsid w:val="11A16D18"/>
    <w:rsid w:val="11A74EB1"/>
    <w:rsid w:val="11A87147"/>
    <w:rsid w:val="11A9BA6F"/>
    <w:rsid w:val="11AACA62"/>
    <w:rsid w:val="11ADD2C8"/>
    <w:rsid w:val="11AF1606"/>
    <w:rsid w:val="11AF3D54"/>
    <w:rsid w:val="11B11EE6"/>
    <w:rsid w:val="11B4BABB"/>
    <w:rsid w:val="11B7F383"/>
    <w:rsid w:val="11B8F3C9"/>
    <w:rsid w:val="11B97573"/>
    <w:rsid w:val="11B9B828"/>
    <w:rsid w:val="11BC4A53"/>
    <w:rsid w:val="11BF7219"/>
    <w:rsid w:val="11C3553F"/>
    <w:rsid w:val="11C6DBE3"/>
    <w:rsid w:val="11C7466D"/>
    <w:rsid w:val="11CC3DC0"/>
    <w:rsid w:val="11CC8F67"/>
    <w:rsid w:val="11D34A14"/>
    <w:rsid w:val="11D38D50"/>
    <w:rsid w:val="11D8D3DF"/>
    <w:rsid w:val="11D92635"/>
    <w:rsid w:val="11DB1A28"/>
    <w:rsid w:val="11DF4128"/>
    <w:rsid w:val="11DF7F8E"/>
    <w:rsid w:val="11DFCDC4"/>
    <w:rsid w:val="11E39F51"/>
    <w:rsid w:val="11E6058F"/>
    <w:rsid w:val="11E860EC"/>
    <w:rsid w:val="11E8884C"/>
    <w:rsid w:val="11EBE34F"/>
    <w:rsid w:val="11EBFDE8"/>
    <w:rsid w:val="11ECE14A"/>
    <w:rsid w:val="11F277E1"/>
    <w:rsid w:val="11F4FD54"/>
    <w:rsid w:val="11F80D24"/>
    <w:rsid w:val="11F81767"/>
    <w:rsid w:val="11FDB64C"/>
    <w:rsid w:val="11FE4376"/>
    <w:rsid w:val="11FF2246"/>
    <w:rsid w:val="12001F48"/>
    <w:rsid w:val="1203AC7B"/>
    <w:rsid w:val="1206AC75"/>
    <w:rsid w:val="120C465B"/>
    <w:rsid w:val="120C46FF"/>
    <w:rsid w:val="120DAA8D"/>
    <w:rsid w:val="1211B90A"/>
    <w:rsid w:val="12154F50"/>
    <w:rsid w:val="12163A0B"/>
    <w:rsid w:val="12168698"/>
    <w:rsid w:val="121835EA"/>
    <w:rsid w:val="121EB4B0"/>
    <w:rsid w:val="1221B2F8"/>
    <w:rsid w:val="1224CE20"/>
    <w:rsid w:val="12257870"/>
    <w:rsid w:val="12274547"/>
    <w:rsid w:val="12287A1D"/>
    <w:rsid w:val="12292FC0"/>
    <w:rsid w:val="122DF723"/>
    <w:rsid w:val="122F59F0"/>
    <w:rsid w:val="123003C7"/>
    <w:rsid w:val="1230CEB1"/>
    <w:rsid w:val="1230F6C8"/>
    <w:rsid w:val="123102E3"/>
    <w:rsid w:val="12316ECD"/>
    <w:rsid w:val="123214EE"/>
    <w:rsid w:val="12373C18"/>
    <w:rsid w:val="12374548"/>
    <w:rsid w:val="12384CAA"/>
    <w:rsid w:val="123A38FB"/>
    <w:rsid w:val="123CA5DE"/>
    <w:rsid w:val="123ECB24"/>
    <w:rsid w:val="123F9AF2"/>
    <w:rsid w:val="1240DDC0"/>
    <w:rsid w:val="1240F625"/>
    <w:rsid w:val="12433501"/>
    <w:rsid w:val="124473C2"/>
    <w:rsid w:val="12448FA3"/>
    <w:rsid w:val="124872A4"/>
    <w:rsid w:val="1248909B"/>
    <w:rsid w:val="1248BEDC"/>
    <w:rsid w:val="124EB3F0"/>
    <w:rsid w:val="125206E8"/>
    <w:rsid w:val="12543B88"/>
    <w:rsid w:val="12547D47"/>
    <w:rsid w:val="125530A9"/>
    <w:rsid w:val="125918B1"/>
    <w:rsid w:val="12596D86"/>
    <w:rsid w:val="1268593C"/>
    <w:rsid w:val="126A0C2E"/>
    <w:rsid w:val="126D86C7"/>
    <w:rsid w:val="126DF3E8"/>
    <w:rsid w:val="1270D75E"/>
    <w:rsid w:val="12714CF2"/>
    <w:rsid w:val="12726EC4"/>
    <w:rsid w:val="127368D5"/>
    <w:rsid w:val="12737458"/>
    <w:rsid w:val="1275F5F0"/>
    <w:rsid w:val="12773561"/>
    <w:rsid w:val="127BF2A2"/>
    <w:rsid w:val="127BFBFB"/>
    <w:rsid w:val="127F14E1"/>
    <w:rsid w:val="12808468"/>
    <w:rsid w:val="12819A73"/>
    <w:rsid w:val="12851181"/>
    <w:rsid w:val="1288018B"/>
    <w:rsid w:val="128B6F71"/>
    <w:rsid w:val="128C0A6A"/>
    <w:rsid w:val="128DD060"/>
    <w:rsid w:val="128DDFEC"/>
    <w:rsid w:val="128E2967"/>
    <w:rsid w:val="128FA289"/>
    <w:rsid w:val="12918242"/>
    <w:rsid w:val="12976E0D"/>
    <w:rsid w:val="1298BCF5"/>
    <w:rsid w:val="1298D45A"/>
    <w:rsid w:val="1299796E"/>
    <w:rsid w:val="129A1FCC"/>
    <w:rsid w:val="129B214B"/>
    <w:rsid w:val="129CAE5A"/>
    <w:rsid w:val="12A055AE"/>
    <w:rsid w:val="12A3DEDB"/>
    <w:rsid w:val="12A6EA91"/>
    <w:rsid w:val="12A89640"/>
    <w:rsid w:val="12A8F360"/>
    <w:rsid w:val="12A99590"/>
    <w:rsid w:val="12AB501A"/>
    <w:rsid w:val="12ACD9B7"/>
    <w:rsid w:val="12AEEF20"/>
    <w:rsid w:val="12AF03E3"/>
    <w:rsid w:val="12B0D741"/>
    <w:rsid w:val="12B0E6DF"/>
    <w:rsid w:val="12B1DBB5"/>
    <w:rsid w:val="12B4AE34"/>
    <w:rsid w:val="12B6C6F9"/>
    <w:rsid w:val="12B84F4D"/>
    <w:rsid w:val="12B87991"/>
    <w:rsid w:val="12B8CA2E"/>
    <w:rsid w:val="12B9720B"/>
    <w:rsid w:val="12B9D69E"/>
    <w:rsid w:val="12BA44C6"/>
    <w:rsid w:val="12BBDAED"/>
    <w:rsid w:val="12C06CB1"/>
    <w:rsid w:val="12C2D136"/>
    <w:rsid w:val="12C37972"/>
    <w:rsid w:val="12C62745"/>
    <w:rsid w:val="12C6B810"/>
    <w:rsid w:val="12C7D8F4"/>
    <w:rsid w:val="12C910DF"/>
    <w:rsid w:val="12CB3677"/>
    <w:rsid w:val="12CC0D15"/>
    <w:rsid w:val="12CC63DA"/>
    <w:rsid w:val="12CCC3FD"/>
    <w:rsid w:val="12CEB543"/>
    <w:rsid w:val="12D0A32A"/>
    <w:rsid w:val="12D19330"/>
    <w:rsid w:val="12D54EB7"/>
    <w:rsid w:val="12D85327"/>
    <w:rsid w:val="12D9DBBC"/>
    <w:rsid w:val="12DD75CD"/>
    <w:rsid w:val="12DD96CE"/>
    <w:rsid w:val="12DF5DF9"/>
    <w:rsid w:val="12DFED06"/>
    <w:rsid w:val="12E0F072"/>
    <w:rsid w:val="12E10343"/>
    <w:rsid w:val="12E34B2D"/>
    <w:rsid w:val="12E5C300"/>
    <w:rsid w:val="12E7A133"/>
    <w:rsid w:val="12E8680C"/>
    <w:rsid w:val="12E8BE1A"/>
    <w:rsid w:val="12E8E60C"/>
    <w:rsid w:val="12E9983D"/>
    <w:rsid w:val="12EBEC74"/>
    <w:rsid w:val="12F6F19F"/>
    <w:rsid w:val="12F72F85"/>
    <w:rsid w:val="12FA5D1E"/>
    <w:rsid w:val="12FAB631"/>
    <w:rsid w:val="1300FA30"/>
    <w:rsid w:val="13016CA2"/>
    <w:rsid w:val="13025862"/>
    <w:rsid w:val="1302D242"/>
    <w:rsid w:val="1303DF3E"/>
    <w:rsid w:val="1308D382"/>
    <w:rsid w:val="130976C8"/>
    <w:rsid w:val="130A3D99"/>
    <w:rsid w:val="130A6474"/>
    <w:rsid w:val="13104A8B"/>
    <w:rsid w:val="13113DD0"/>
    <w:rsid w:val="13121AF2"/>
    <w:rsid w:val="13129747"/>
    <w:rsid w:val="13148D4B"/>
    <w:rsid w:val="131A24B3"/>
    <w:rsid w:val="131E9205"/>
    <w:rsid w:val="131FC4F0"/>
    <w:rsid w:val="13206353"/>
    <w:rsid w:val="1320EADD"/>
    <w:rsid w:val="13228440"/>
    <w:rsid w:val="13234CCF"/>
    <w:rsid w:val="1326E461"/>
    <w:rsid w:val="132B71CA"/>
    <w:rsid w:val="132C6A62"/>
    <w:rsid w:val="132CF5FF"/>
    <w:rsid w:val="132F08D0"/>
    <w:rsid w:val="132F3893"/>
    <w:rsid w:val="132F98CA"/>
    <w:rsid w:val="132FDBA1"/>
    <w:rsid w:val="1333FC8A"/>
    <w:rsid w:val="13348275"/>
    <w:rsid w:val="1338F40D"/>
    <w:rsid w:val="1339A677"/>
    <w:rsid w:val="133B785A"/>
    <w:rsid w:val="133B8F8A"/>
    <w:rsid w:val="133BD0F2"/>
    <w:rsid w:val="133C7FDB"/>
    <w:rsid w:val="1343026B"/>
    <w:rsid w:val="1347F08C"/>
    <w:rsid w:val="1349560A"/>
    <w:rsid w:val="134ABAA6"/>
    <w:rsid w:val="134D58A6"/>
    <w:rsid w:val="134EAF0E"/>
    <w:rsid w:val="1353CED0"/>
    <w:rsid w:val="1356CDA9"/>
    <w:rsid w:val="135963E6"/>
    <w:rsid w:val="1360023B"/>
    <w:rsid w:val="1361E983"/>
    <w:rsid w:val="1362195B"/>
    <w:rsid w:val="13638D61"/>
    <w:rsid w:val="136568C7"/>
    <w:rsid w:val="13670C81"/>
    <w:rsid w:val="13684962"/>
    <w:rsid w:val="136AB419"/>
    <w:rsid w:val="136CAB7F"/>
    <w:rsid w:val="136DAD0F"/>
    <w:rsid w:val="136E0DD6"/>
    <w:rsid w:val="1370B834"/>
    <w:rsid w:val="137175F3"/>
    <w:rsid w:val="1372518E"/>
    <w:rsid w:val="1372ED68"/>
    <w:rsid w:val="13738F52"/>
    <w:rsid w:val="13745347"/>
    <w:rsid w:val="1375122D"/>
    <w:rsid w:val="1375882E"/>
    <w:rsid w:val="1375F254"/>
    <w:rsid w:val="13769642"/>
    <w:rsid w:val="137B0463"/>
    <w:rsid w:val="137CFFA8"/>
    <w:rsid w:val="137E36D8"/>
    <w:rsid w:val="137E59C0"/>
    <w:rsid w:val="137EADD4"/>
    <w:rsid w:val="1380E0D1"/>
    <w:rsid w:val="1381EB7A"/>
    <w:rsid w:val="138479D0"/>
    <w:rsid w:val="1389C997"/>
    <w:rsid w:val="1389FC42"/>
    <w:rsid w:val="138AB920"/>
    <w:rsid w:val="138E4713"/>
    <w:rsid w:val="138FB7FA"/>
    <w:rsid w:val="139580D3"/>
    <w:rsid w:val="13963727"/>
    <w:rsid w:val="13984E9E"/>
    <w:rsid w:val="13996342"/>
    <w:rsid w:val="139B403D"/>
    <w:rsid w:val="139F620D"/>
    <w:rsid w:val="139FA00C"/>
    <w:rsid w:val="13A038AC"/>
    <w:rsid w:val="13A4BCFF"/>
    <w:rsid w:val="13A5FE1A"/>
    <w:rsid w:val="13A93539"/>
    <w:rsid w:val="13A99A87"/>
    <w:rsid w:val="13AA62C3"/>
    <w:rsid w:val="13AC4466"/>
    <w:rsid w:val="13ADB4F4"/>
    <w:rsid w:val="13AEF475"/>
    <w:rsid w:val="13B30B84"/>
    <w:rsid w:val="13B3B6A3"/>
    <w:rsid w:val="13B5DE22"/>
    <w:rsid w:val="13B6F871"/>
    <w:rsid w:val="13B9726E"/>
    <w:rsid w:val="13B9FF8E"/>
    <w:rsid w:val="13BCF0F9"/>
    <w:rsid w:val="13BE3523"/>
    <w:rsid w:val="13C09F40"/>
    <w:rsid w:val="13C238D7"/>
    <w:rsid w:val="13C41804"/>
    <w:rsid w:val="13C46D1C"/>
    <w:rsid w:val="13C7CAD6"/>
    <w:rsid w:val="13C88A41"/>
    <w:rsid w:val="13CB1FED"/>
    <w:rsid w:val="13CD2605"/>
    <w:rsid w:val="13D11DA6"/>
    <w:rsid w:val="13D1C67D"/>
    <w:rsid w:val="13D5D56A"/>
    <w:rsid w:val="13DABCCC"/>
    <w:rsid w:val="13DB6223"/>
    <w:rsid w:val="13DB8FA1"/>
    <w:rsid w:val="13DE69AD"/>
    <w:rsid w:val="13E02389"/>
    <w:rsid w:val="13E12BA9"/>
    <w:rsid w:val="13E3C0D5"/>
    <w:rsid w:val="13E6E06C"/>
    <w:rsid w:val="13E8AC58"/>
    <w:rsid w:val="13E95F4E"/>
    <w:rsid w:val="13EB8770"/>
    <w:rsid w:val="13EBA062"/>
    <w:rsid w:val="13EBEDA6"/>
    <w:rsid w:val="13EF5161"/>
    <w:rsid w:val="13F10D9A"/>
    <w:rsid w:val="13F2BF5B"/>
    <w:rsid w:val="13F4F372"/>
    <w:rsid w:val="13F5FCB7"/>
    <w:rsid w:val="13F6F6F9"/>
    <w:rsid w:val="13F92718"/>
    <w:rsid w:val="13FADF82"/>
    <w:rsid w:val="13FBB31F"/>
    <w:rsid w:val="13FDD030"/>
    <w:rsid w:val="13FEE139"/>
    <w:rsid w:val="13FF9205"/>
    <w:rsid w:val="140034B7"/>
    <w:rsid w:val="1400AFA3"/>
    <w:rsid w:val="1401DD94"/>
    <w:rsid w:val="1402B57F"/>
    <w:rsid w:val="1404A6B2"/>
    <w:rsid w:val="14082EEF"/>
    <w:rsid w:val="1409E4B5"/>
    <w:rsid w:val="140A9F8A"/>
    <w:rsid w:val="140AF82E"/>
    <w:rsid w:val="140B1CC8"/>
    <w:rsid w:val="140B28FF"/>
    <w:rsid w:val="140BBCBC"/>
    <w:rsid w:val="140C114E"/>
    <w:rsid w:val="14120AA5"/>
    <w:rsid w:val="1413D5CB"/>
    <w:rsid w:val="14152A68"/>
    <w:rsid w:val="1416DDD3"/>
    <w:rsid w:val="14187B26"/>
    <w:rsid w:val="141991AD"/>
    <w:rsid w:val="141C658C"/>
    <w:rsid w:val="141CE6C2"/>
    <w:rsid w:val="141D8705"/>
    <w:rsid w:val="141DA09E"/>
    <w:rsid w:val="141EAEDF"/>
    <w:rsid w:val="141FAD2B"/>
    <w:rsid w:val="141FE80B"/>
    <w:rsid w:val="14210347"/>
    <w:rsid w:val="14212007"/>
    <w:rsid w:val="14241FCB"/>
    <w:rsid w:val="142454B3"/>
    <w:rsid w:val="14262B3B"/>
    <w:rsid w:val="14269E80"/>
    <w:rsid w:val="14289982"/>
    <w:rsid w:val="142C1DAD"/>
    <w:rsid w:val="143261B0"/>
    <w:rsid w:val="143604C2"/>
    <w:rsid w:val="1437E64D"/>
    <w:rsid w:val="1438C664"/>
    <w:rsid w:val="143CB6A3"/>
    <w:rsid w:val="143D0574"/>
    <w:rsid w:val="143D30D7"/>
    <w:rsid w:val="143FA47F"/>
    <w:rsid w:val="143FA4A5"/>
    <w:rsid w:val="14401668"/>
    <w:rsid w:val="144076EB"/>
    <w:rsid w:val="1444BB18"/>
    <w:rsid w:val="14453629"/>
    <w:rsid w:val="14458B04"/>
    <w:rsid w:val="1446A33B"/>
    <w:rsid w:val="14481E93"/>
    <w:rsid w:val="144932ED"/>
    <w:rsid w:val="144A8D44"/>
    <w:rsid w:val="144BB20A"/>
    <w:rsid w:val="144CC329"/>
    <w:rsid w:val="144D8257"/>
    <w:rsid w:val="1456B4C1"/>
    <w:rsid w:val="1458D4E0"/>
    <w:rsid w:val="145B45E2"/>
    <w:rsid w:val="145E9BEF"/>
    <w:rsid w:val="145EC051"/>
    <w:rsid w:val="1460B8BA"/>
    <w:rsid w:val="14623A25"/>
    <w:rsid w:val="1462B1D9"/>
    <w:rsid w:val="1463EC78"/>
    <w:rsid w:val="146407FA"/>
    <w:rsid w:val="146B4BA2"/>
    <w:rsid w:val="146C8F4B"/>
    <w:rsid w:val="146DAD15"/>
    <w:rsid w:val="146E72AB"/>
    <w:rsid w:val="14733881"/>
    <w:rsid w:val="147643AB"/>
    <w:rsid w:val="1476D381"/>
    <w:rsid w:val="147B6FB1"/>
    <w:rsid w:val="147BFA55"/>
    <w:rsid w:val="147C852D"/>
    <w:rsid w:val="147D5661"/>
    <w:rsid w:val="147FB0B3"/>
    <w:rsid w:val="148072A1"/>
    <w:rsid w:val="14809B40"/>
    <w:rsid w:val="1481582F"/>
    <w:rsid w:val="1481C394"/>
    <w:rsid w:val="148277D1"/>
    <w:rsid w:val="14827BC6"/>
    <w:rsid w:val="1483B5D4"/>
    <w:rsid w:val="1486F97B"/>
    <w:rsid w:val="14879272"/>
    <w:rsid w:val="149158C5"/>
    <w:rsid w:val="14920C11"/>
    <w:rsid w:val="1494B76E"/>
    <w:rsid w:val="14978529"/>
    <w:rsid w:val="1498C508"/>
    <w:rsid w:val="149BE1DE"/>
    <w:rsid w:val="149F1607"/>
    <w:rsid w:val="14A1A60F"/>
    <w:rsid w:val="14A2F035"/>
    <w:rsid w:val="14A5B8D7"/>
    <w:rsid w:val="14A99FA6"/>
    <w:rsid w:val="14AED50C"/>
    <w:rsid w:val="14AF77E8"/>
    <w:rsid w:val="14B1A759"/>
    <w:rsid w:val="14B275BE"/>
    <w:rsid w:val="14B40DC3"/>
    <w:rsid w:val="14B4FE1F"/>
    <w:rsid w:val="14B71054"/>
    <w:rsid w:val="14BBF6AC"/>
    <w:rsid w:val="14C04DE3"/>
    <w:rsid w:val="14C0CC1A"/>
    <w:rsid w:val="14C1234F"/>
    <w:rsid w:val="14C211FE"/>
    <w:rsid w:val="14C47036"/>
    <w:rsid w:val="14C611AB"/>
    <w:rsid w:val="14C8D9BD"/>
    <w:rsid w:val="14C99A5D"/>
    <w:rsid w:val="14CC21EB"/>
    <w:rsid w:val="14D1AD05"/>
    <w:rsid w:val="14D223D4"/>
    <w:rsid w:val="14D2B47C"/>
    <w:rsid w:val="14D32AF2"/>
    <w:rsid w:val="14D3B576"/>
    <w:rsid w:val="14D47874"/>
    <w:rsid w:val="14DA5440"/>
    <w:rsid w:val="14DAFE16"/>
    <w:rsid w:val="14DBC172"/>
    <w:rsid w:val="14DBF002"/>
    <w:rsid w:val="14DCFD12"/>
    <w:rsid w:val="14DFB34B"/>
    <w:rsid w:val="14E00F63"/>
    <w:rsid w:val="14E15742"/>
    <w:rsid w:val="14E3560F"/>
    <w:rsid w:val="14E3D815"/>
    <w:rsid w:val="14E3E3C9"/>
    <w:rsid w:val="14E45458"/>
    <w:rsid w:val="14E485B3"/>
    <w:rsid w:val="14E7434F"/>
    <w:rsid w:val="14E88E20"/>
    <w:rsid w:val="14E97A32"/>
    <w:rsid w:val="14EAAE02"/>
    <w:rsid w:val="14EB8CD5"/>
    <w:rsid w:val="14EBD8B2"/>
    <w:rsid w:val="14EBDBB0"/>
    <w:rsid w:val="14EBE82A"/>
    <w:rsid w:val="14EDC43F"/>
    <w:rsid w:val="14F02DF9"/>
    <w:rsid w:val="14F1510A"/>
    <w:rsid w:val="14F1841E"/>
    <w:rsid w:val="14F25D18"/>
    <w:rsid w:val="14F2D400"/>
    <w:rsid w:val="14F46C1E"/>
    <w:rsid w:val="14F6B995"/>
    <w:rsid w:val="14FA3C0A"/>
    <w:rsid w:val="14FB60B6"/>
    <w:rsid w:val="14FE280E"/>
    <w:rsid w:val="15009253"/>
    <w:rsid w:val="15013719"/>
    <w:rsid w:val="1501DC80"/>
    <w:rsid w:val="15021A5D"/>
    <w:rsid w:val="1504F863"/>
    <w:rsid w:val="1505525E"/>
    <w:rsid w:val="15059698"/>
    <w:rsid w:val="1505DD3D"/>
    <w:rsid w:val="1509BBD3"/>
    <w:rsid w:val="150A2AE8"/>
    <w:rsid w:val="150E7734"/>
    <w:rsid w:val="150F3800"/>
    <w:rsid w:val="1510D273"/>
    <w:rsid w:val="1510EA55"/>
    <w:rsid w:val="1512A4E9"/>
    <w:rsid w:val="15138F0C"/>
    <w:rsid w:val="15197AD1"/>
    <w:rsid w:val="151AD7B6"/>
    <w:rsid w:val="151D1289"/>
    <w:rsid w:val="151E6605"/>
    <w:rsid w:val="15246458"/>
    <w:rsid w:val="15268C86"/>
    <w:rsid w:val="15275CED"/>
    <w:rsid w:val="152A53F4"/>
    <w:rsid w:val="152AC456"/>
    <w:rsid w:val="152BF569"/>
    <w:rsid w:val="152C77F5"/>
    <w:rsid w:val="152D037B"/>
    <w:rsid w:val="152D8AE3"/>
    <w:rsid w:val="152F36F4"/>
    <w:rsid w:val="153033BE"/>
    <w:rsid w:val="1530D4C0"/>
    <w:rsid w:val="153416A7"/>
    <w:rsid w:val="15346D46"/>
    <w:rsid w:val="1535C228"/>
    <w:rsid w:val="1537C13D"/>
    <w:rsid w:val="15393F46"/>
    <w:rsid w:val="15395250"/>
    <w:rsid w:val="153B6E87"/>
    <w:rsid w:val="153C0808"/>
    <w:rsid w:val="15403BB1"/>
    <w:rsid w:val="1541117C"/>
    <w:rsid w:val="154393AE"/>
    <w:rsid w:val="15471020"/>
    <w:rsid w:val="154A62FF"/>
    <w:rsid w:val="154C3312"/>
    <w:rsid w:val="154C4564"/>
    <w:rsid w:val="154EE20B"/>
    <w:rsid w:val="1550B0D8"/>
    <w:rsid w:val="15510148"/>
    <w:rsid w:val="15511E9F"/>
    <w:rsid w:val="15547D36"/>
    <w:rsid w:val="1556365C"/>
    <w:rsid w:val="1557DC48"/>
    <w:rsid w:val="155C9DE8"/>
    <w:rsid w:val="155CEC4B"/>
    <w:rsid w:val="155D43CF"/>
    <w:rsid w:val="1560C580"/>
    <w:rsid w:val="1561A0B3"/>
    <w:rsid w:val="1562C0E8"/>
    <w:rsid w:val="15658F4A"/>
    <w:rsid w:val="1565C969"/>
    <w:rsid w:val="15673B78"/>
    <w:rsid w:val="156950B2"/>
    <w:rsid w:val="156B0EB4"/>
    <w:rsid w:val="156B3391"/>
    <w:rsid w:val="156C0BAA"/>
    <w:rsid w:val="1571AFA0"/>
    <w:rsid w:val="1572C4BA"/>
    <w:rsid w:val="1574BFA5"/>
    <w:rsid w:val="1575C560"/>
    <w:rsid w:val="157678BC"/>
    <w:rsid w:val="157ACBF1"/>
    <w:rsid w:val="157BEB2F"/>
    <w:rsid w:val="1580742B"/>
    <w:rsid w:val="15819973"/>
    <w:rsid w:val="1582EDAE"/>
    <w:rsid w:val="15835D9C"/>
    <w:rsid w:val="1587AB9C"/>
    <w:rsid w:val="1589AD62"/>
    <w:rsid w:val="158CBBF7"/>
    <w:rsid w:val="158E000A"/>
    <w:rsid w:val="158E02B4"/>
    <w:rsid w:val="158ED677"/>
    <w:rsid w:val="159250DF"/>
    <w:rsid w:val="1592B4B2"/>
    <w:rsid w:val="1592BC6A"/>
    <w:rsid w:val="1594B460"/>
    <w:rsid w:val="15966759"/>
    <w:rsid w:val="159C8731"/>
    <w:rsid w:val="159CCD32"/>
    <w:rsid w:val="159E066E"/>
    <w:rsid w:val="159E2FBF"/>
    <w:rsid w:val="159E7E4B"/>
    <w:rsid w:val="15A0294D"/>
    <w:rsid w:val="15A4AD0D"/>
    <w:rsid w:val="15A93AE4"/>
    <w:rsid w:val="15A95EF7"/>
    <w:rsid w:val="15AC8306"/>
    <w:rsid w:val="15ACC424"/>
    <w:rsid w:val="15AD6096"/>
    <w:rsid w:val="15B315AC"/>
    <w:rsid w:val="15B43F76"/>
    <w:rsid w:val="15B528DA"/>
    <w:rsid w:val="15B58D22"/>
    <w:rsid w:val="15B80B80"/>
    <w:rsid w:val="15BB8C9F"/>
    <w:rsid w:val="15BCB022"/>
    <w:rsid w:val="15BCC49D"/>
    <w:rsid w:val="15BE12A3"/>
    <w:rsid w:val="15BF120F"/>
    <w:rsid w:val="15C12AFA"/>
    <w:rsid w:val="15C6D9CB"/>
    <w:rsid w:val="15C840AF"/>
    <w:rsid w:val="15CAA60B"/>
    <w:rsid w:val="15CB659F"/>
    <w:rsid w:val="15CC310D"/>
    <w:rsid w:val="15CD1631"/>
    <w:rsid w:val="15D1C651"/>
    <w:rsid w:val="15D46EAF"/>
    <w:rsid w:val="15D484BE"/>
    <w:rsid w:val="15D4859D"/>
    <w:rsid w:val="15D4B29B"/>
    <w:rsid w:val="15D5296B"/>
    <w:rsid w:val="15D8DE20"/>
    <w:rsid w:val="15DCE253"/>
    <w:rsid w:val="15E02B38"/>
    <w:rsid w:val="15E2113E"/>
    <w:rsid w:val="15E2F56B"/>
    <w:rsid w:val="15E5721F"/>
    <w:rsid w:val="15E5794C"/>
    <w:rsid w:val="15E594F4"/>
    <w:rsid w:val="15E9BA2F"/>
    <w:rsid w:val="15EFAC92"/>
    <w:rsid w:val="15F30DF0"/>
    <w:rsid w:val="15F4D5DC"/>
    <w:rsid w:val="15FD0AEA"/>
    <w:rsid w:val="15FDB27A"/>
    <w:rsid w:val="15FE773D"/>
    <w:rsid w:val="15FEDA79"/>
    <w:rsid w:val="15FF4116"/>
    <w:rsid w:val="1601E61C"/>
    <w:rsid w:val="16021C82"/>
    <w:rsid w:val="16030BEA"/>
    <w:rsid w:val="1603662F"/>
    <w:rsid w:val="1605B7CA"/>
    <w:rsid w:val="160689FC"/>
    <w:rsid w:val="1606DD4A"/>
    <w:rsid w:val="1608D5EE"/>
    <w:rsid w:val="1609762C"/>
    <w:rsid w:val="160F4CEE"/>
    <w:rsid w:val="16106682"/>
    <w:rsid w:val="1611053B"/>
    <w:rsid w:val="1611FB5C"/>
    <w:rsid w:val="161513D0"/>
    <w:rsid w:val="16156BB5"/>
    <w:rsid w:val="161605B3"/>
    <w:rsid w:val="161C5F34"/>
    <w:rsid w:val="161F4FFC"/>
    <w:rsid w:val="16224674"/>
    <w:rsid w:val="162254A0"/>
    <w:rsid w:val="16225716"/>
    <w:rsid w:val="16251F54"/>
    <w:rsid w:val="162B9AF8"/>
    <w:rsid w:val="162BDC52"/>
    <w:rsid w:val="162EBE9C"/>
    <w:rsid w:val="162F8B02"/>
    <w:rsid w:val="16305E21"/>
    <w:rsid w:val="16328D59"/>
    <w:rsid w:val="16337263"/>
    <w:rsid w:val="163586F8"/>
    <w:rsid w:val="1635A186"/>
    <w:rsid w:val="16371E26"/>
    <w:rsid w:val="1637FFED"/>
    <w:rsid w:val="16386EBE"/>
    <w:rsid w:val="1639A4D3"/>
    <w:rsid w:val="163A44D9"/>
    <w:rsid w:val="163B1BA1"/>
    <w:rsid w:val="163B21D7"/>
    <w:rsid w:val="163BC1BA"/>
    <w:rsid w:val="163BD299"/>
    <w:rsid w:val="163C9D2C"/>
    <w:rsid w:val="163EDE03"/>
    <w:rsid w:val="16412A22"/>
    <w:rsid w:val="1641DE3C"/>
    <w:rsid w:val="164350A6"/>
    <w:rsid w:val="1643E3AF"/>
    <w:rsid w:val="1644F7A7"/>
    <w:rsid w:val="1645DFE1"/>
    <w:rsid w:val="164901A7"/>
    <w:rsid w:val="164920C9"/>
    <w:rsid w:val="1649A25E"/>
    <w:rsid w:val="1649E374"/>
    <w:rsid w:val="164A0AAE"/>
    <w:rsid w:val="164A4602"/>
    <w:rsid w:val="1652FA19"/>
    <w:rsid w:val="1653A628"/>
    <w:rsid w:val="16555C11"/>
    <w:rsid w:val="1655E35D"/>
    <w:rsid w:val="1656FDCD"/>
    <w:rsid w:val="16590DEC"/>
    <w:rsid w:val="165AF6F0"/>
    <w:rsid w:val="165C1E86"/>
    <w:rsid w:val="165C4D65"/>
    <w:rsid w:val="165D8935"/>
    <w:rsid w:val="1660F381"/>
    <w:rsid w:val="1661E169"/>
    <w:rsid w:val="16629F33"/>
    <w:rsid w:val="1662CB3E"/>
    <w:rsid w:val="166385CE"/>
    <w:rsid w:val="16642790"/>
    <w:rsid w:val="166A4E94"/>
    <w:rsid w:val="166B573D"/>
    <w:rsid w:val="166DBEEC"/>
    <w:rsid w:val="166DC1CD"/>
    <w:rsid w:val="1672DD08"/>
    <w:rsid w:val="1674DC0E"/>
    <w:rsid w:val="167604CE"/>
    <w:rsid w:val="16769100"/>
    <w:rsid w:val="1677704C"/>
    <w:rsid w:val="16791201"/>
    <w:rsid w:val="167D4A60"/>
    <w:rsid w:val="167DF598"/>
    <w:rsid w:val="167E2E9D"/>
    <w:rsid w:val="167ECA6B"/>
    <w:rsid w:val="16814838"/>
    <w:rsid w:val="16825A7D"/>
    <w:rsid w:val="16836BEB"/>
    <w:rsid w:val="16869FF0"/>
    <w:rsid w:val="1686CE5E"/>
    <w:rsid w:val="1687A70B"/>
    <w:rsid w:val="168842F1"/>
    <w:rsid w:val="168A4EA0"/>
    <w:rsid w:val="168BB57B"/>
    <w:rsid w:val="168E0270"/>
    <w:rsid w:val="16922683"/>
    <w:rsid w:val="16989178"/>
    <w:rsid w:val="169B8956"/>
    <w:rsid w:val="16A51C1F"/>
    <w:rsid w:val="16A579D1"/>
    <w:rsid w:val="16A74A53"/>
    <w:rsid w:val="16A83BC9"/>
    <w:rsid w:val="16AA659A"/>
    <w:rsid w:val="16AAD082"/>
    <w:rsid w:val="16AB739D"/>
    <w:rsid w:val="16B2BE11"/>
    <w:rsid w:val="16B2DFE9"/>
    <w:rsid w:val="16B43CC8"/>
    <w:rsid w:val="16B4F6F8"/>
    <w:rsid w:val="16B6DED0"/>
    <w:rsid w:val="16B83C1A"/>
    <w:rsid w:val="16B9D983"/>
    <w:rsid w:val="16B9FC43"/>
    <w:rsid w:val="16BA1112"/>
    <w:rsid w:val="16C07A17"/>
    <w:rsid w:val="16C22E20"/>
    <w:rsid w:val="16C57547"/>
    <w:rsid w:val="16C5C571"/>
    <w:rsid w:val="16C72428"/>
    <w:rsid w:val="16CACD14"/>
    <w:rsid w:val="16CEDD3B"/>
    <w:rsid w:val="16CFF271"/>
    <w:rsid w:val="16D10404"/>
    <w:rsid w:val="16D60213"/>
    <w:rsid w:val="16D98D66"/>
    <w:rsid w:val="16DA8E38"/>
    <w:rsid w:val="16E0C6E1"/>
    <w:rsid w:val="16E1F92D"/>
    <w:rsid w:val="16E22830"/>
    <w:rsid w:val="16E25FF5"/>
    <w:rsid w:val="16E28427"/>
    <w:rsid w:val="16E2DA60"/>
    <w:rsid w:val="16E617BC"/>
    <w:rsid w:val="16E834CE"/>
    <w:rsid w:val="16EAC47F"/>
    <w:rsid w:val="16EEC0E5"/>
    <w:rsid w:val="16F7E01E"/>
    <w:rsid w:val="16F7E990"/>
    <w:rsid w:val="16FA7AE1"/>
    <w:rsid w:val="16FC532F"/>
    <w:rsid w:val="16FD5F5B"/>
    <w:rsid w:val="16FDC63E"/>
    <w:rsid w:val="16FFB7D9"/>
    <w:rsid w:val="1701296F"/>
    <w:rsid w:val="170165D2"/>
    <w:rsid w:val="17046075"/>
    <w:rsid w:val="17050B85"/>
    <w:rsid w:val="170619DD"/>
    <w:rsid w:val="1707A7FF"/>
    <w:rsid w:val="1707C5F6"/>
    <w:rsid w:val="1708FAB1"/>
    <w:rsid w:val="170BDF0B"/>
    <w:rsid w:val="170DE1FC"/>
    <w:rsid w:val="170F7266"/>
    <w:rsid w:val="1713B888"/>
    <w:rsid w:val="1717AAD4"/>
    <w:rsid w:val="171861FA"/>
    <w:rsid w:val="171B54A8"/>
    <w:rsid w:val="171DB211"/>
    <w:rsid w:val="171DC761"/>
    <w:rsid w:val="171FC598"/>
    <w:rsid w:val="17222AF9"/>
    <w:rsid w:val="1723614B"/>
    <w:rsid w:val="17242EF9"/>
    <w:rsid w:val="17245137"/>
    <w:rsid w:val="1724998B"/>
    <w:rsid w:val="17254705"/>
    <w:rsid w:val="1726CFBC"/>
    <w:rsid w:val="1728E0E0"/>
    <w:rsid w:val="172A2B7C"/>
    <w:rsid w:val="172A3420"/>
    <w:rsid w:val="172DBE95"/>
    <w:rsid w:val="172DBF5A"/>
    <w:rsid w:val="172E7AEE"/>
    <w:rsid w:val="172F63D8"/>
    <w:rsid w:val="172FFF21"/>
    <w:rsid w:val="1733062C"/>
    <w:rsid w:val="17358B05"/>
    <w:rsid w:val="1736F16B"/>
    <w:rsid w:val="1737B141"/>
    <w:rsid w:val="1739B759"/>
    <w:rsid w:val="173A0CD8"/>
    <w:rsid w:val="173B5B7D"/>
    <w:rsid w:val="173BFA1E"/>
    <w:rsid w:val="173D5A45"/>
    <w:rsid w:val="173D9283"/>
    <w:rsid w:val="173DDDB4"/>
    <w:rsid w:val="173E993B"/>
    <w:rsid w:val="1741DE21"/>
    <w:rsid w:val="174356A6"/>
    <w:rsid w:val="1744429B"/>
    <w:rsid w:val="17480B16"/>
    <w:rsid w:val="174914EF"/>
    <w:rsid w:val="1749736C"/>
    <w:rsid w:val="174B6F90"/>
    <w:rsid w:val="174D095F"/>
    <w:rsid w:val="174E767D"/>
    <w:rsid w:val="17503D14"/>
    <w:rsid w:val="175053B3"/>
    <w:rsid w:val="1751A570"/>
    <w:rsid w:val="17521BCF"/>
    <w:rsid w:val="1753389A"/>
    <w:rsid w:val="17536711"/>
    <w:rsid w:val="175430D9"/>
    <w:rsid w:val="1756FE9E"/>
    <w:rsid w:val="17582AE5"/>
    <w:rsid w:val="175A9420"/>
    <w:rsid w:val="175BEF90"/>
    <w:rsid w:val="175E12BC"/>
    <w:rsid w:val="175E2A2C"/>
    <w:rsid w:val="1760A01F"/>
    <w:rsid w:val="17632FD5"/>
    <w:rsid w:val="17670F86"/>
    <w:rsid w:val="176A7BBF"/>
    <w:rsid w:val="176AEFEA"/>
    <w:rsid w:val="176AFCC9"/>
    <w:rsid w:val="176B5F60"/>
    <w:rsid w:val="176B9D09"/>
    <w:rsid w:val="176C22D2"/>
    <w:rsid w:val="176CB849"/>
    <w:rsid w:val="176DFA8F"/>
    <w:rsid w:val="176E66DF"/>
    <w:rsid w:val="17706FED"/>
    <w:rsid w:val="17711A83"/>
    <w:rsid w:val="17737C14"/>
    <w:rsid w:val="1774FFE9"/>
    <w:rsid w:val="177698A0"/>
    <w:rsid w:val="177915AA"/>
    <w:rsid w:val="17793995"/>
    <w:rsid w:val="177A59A8"/>
    <w:rsid w:val="177B410B"/>
    <w:rsid w:val="177C8E3D"/>
    <w:rsid w:val="177D5BEB"/>
    <w:rsid w:val="177DAFC3"/>
    <w:rsid w:val="177F890B"/>
    <w:rsid w:val="17854424"/>
    <w:rsid w:val="17868D6E"/>
    <w:rsid w:val="178716BA"/>
    <w:rsid w:val="1789B259"/>
    <w:rsid w:val="178A5BD6"/>
    <w:rsid w:val="178AF9C9"/>
    <w:rsid w:val="178BC132"/>
    <w:rsid w:val="178D39BC"/>
    <w:rsid w:val="178E3FE2"/>
    <w:rsid w:val="178F8303"/>
    <w:rsid w:val="178FD7F7"/>
    <w:rsid w:val="17948CAF"/>
    <w:rsid w:val="1798837F"/>
    <w:rsid w:val="179A301A"/>
    <w:rsid w:val="179A3FCB"/>
    <w:rsid w:val="179A4AB7"/>
    <w:rsid w:val="179A5C6D"/>
    <w:rsid w:val="17A258DD"/>
    <w:rsid w:val="17A58EAB"/>
    <w:rsid w:val="17A5C8C5"/>
    <w:rsid w:val="17A70F69"/>
    <w:rsid w:val="17A7E09C"/>
    <w:rsid w:val="17A90EE0"/>
    <w:rsid w:val="17A92727"/>
    <w:rsid w:val="17A9998F"/>
    <w:rsid w:val="17AABE42"/>
    <w:rsid w:val="17AC3E0E"/>
    <w:rsid w:val="17ADFA63"/>
    <w:rsid w:val="17AF6095"/>
    <w:rsid w:val="17AFC0B9"/>
    <w:rsid w:val="17B18E82"/>
    <w:rsid w:val="17B24ED4"/>
    <w:rsid w:val="17B48F65"/>
    <w:rsid w:val="17B6DFCA"/>
    <w:rsid w:val="17B7BEBE"/>
    <w:rsid w:val="17BCC3CF"/>
    <w:rsid w:val="17BD228E"/>
    <w:rsid w:val="17BDD09E"/>
    <w:rsid w:val="17BE9598"/>
    <w:rsid w:val="17BF464C"/>
    <w:rsid w:val="17C06FCA"/>
    <w:rsid w:val="17C12601"/>
    <w:rsid w:val="17C20834"/>
    <w:rsid w:val="17C32B92"/>
    <w:rsid w:val="17C4F07B"/>
    <w:rsid w:val="17C50D80"/>
    <w:rsid w:val="17C55E02"/>
    <w:rsid w:val="17C893EC"/>
    <w:rsid w:val="17C92C4B"/>
    <w:rsid w:val="17CA746B"/>
    <w:rsid w:val="17CC1374"/>
    <w:rsid w:val="17CD8DBC"/>
    <w:rsid w:val="17D0D4F4"/>
    <w:rsid w:val="17D2209A"/>
    <w:rsid w:val="17D23ED3"/>
    <w:rsid w:val="17D3E9FA"/>
    <w:rsid w:val="17D5254D"/>
    <w:rsid w:val="17DA82FA"/>
    <w:rsid w:val="17DA879A"/>
    <w:rsid w:val="17E216A8"/>
    <w:rsid w:val="17E3EEEB"/>
    <w:rsid w:val="17E45D51"/>
    <w:rsid w:val="17E52B59"/>
    <w:rsid w:val="17E54BBD"/>
    <w:rsid w:val="17E567C8"/>
    <w:rsid w:val="17E5CBF2"/>
    <w:rsid w:val="17E5E8E6"/>
    <w:rsid w:val="17E83E0D"/>
    <w:rsid w:val="17E8DED8"/>
    <w:rsid w:val="17EAD855"/>
    <w:rsid w:val="17EB978D"/>
    <w:rsid w:val="17ED8DF9"/>
    <w:rsid w:val="17EDFEFE"/>
    <w:rsid w:val="17F0CAA5"/>
    <w:rsid w:val="17F303C3"/>
    <w:rsid w:val="17F48413"/>
    <w:rsid w:val="17F54E08"/>
    <w:rsid w:val="17F6605D"/>
    <w:rsid w:val="17F9605C"/>
    <w:rsid w:val="17F9CC93"/>
    <w:rsid w:val="17FAD480"/>
    <w:rsid w:val="17FC3D7D"/>
    <w:rsid w:val="17FD7986"/>
    <w:rsid w:val="17FDEACB"/>
    <w:rsid w:val="17FEF3CC"/>
    <w:rsid w:val="17FFADFE"/>
    <w:rsid w:val="17FFB387"/>
    <w:rsid w:val="1800723D"/>
    <w:rsid w:val="1800C200"/>
    <w:rsid w:val="18054763"/>
    <w:rsid w:val="18068B21"/>
    <w:rsid w:val="18071A00"/>
    <w:rsid w:val="1807B8AD"/>
    <w:rsid w:val="180CBA63"/>
    <w:rsid w:val="180D8410"/>
    <w:rsid w:val="1811BCB0"/>
    <w:rsid w:val="1812795D"/>
    <w:rsid w:val="1816ED64"/>
    <w:rsid w:val="181C6F59"/>
    <w:rsid w:val="18238A0B"/>
    <w:rsid w:val="182891AF"/>
    <w:rsid w:val="1828DA72"/>
    <w:rsid w:val="18296508"/>
    <w:rsid w:val="1829F79D"/>
    <w:rsid w:val="182B1A5E"/>
    <w:rsid w:val="182B7FC2"/>
    <w:rsid w:val="18304F76"/>
    <w:rsid w:val="1831767F"/>
    <w:rsid w:val="1831A1A3"/>
    <w:rsid w:val="18328146"/>
    <w:rsid w:val="1832D62E"/>
    <w:rsid w:val="1835D646"/>
    <w:rsid w:val="18366440"/>
    <w:rsid w:val="18376EA5"/>
    <w:rsid w:val="1837D390"/>
    <w:rsid w:val="183A209F"/>
    <w:rsid w:val="183A6102"/>
    <w:rsid w:val="183CB32F"/>
    <w:rsid w:val="1840AC08"/>
    <w:rsid w:val="18423046"/>
    <w:rsid w:val="18452CF0"/>
    <w:rsid w:val="184743FE"/>
    <w:rsid w:val="184A699C"/>
    <w:rsid w:val="184B3B37"/>
    <w:rsid w:val="184B6C3F"/>
    <w:rsid w:val="184E4B83"/>
    <w:rsid w:val="184FFED9"/>
    <w:rsid w:val="18505306"/>
    <w:rsid w:val="1852B6E2"/>
    <w:rsid w:val="1853B376"/>
    <w:rsid w:val="1854BCA5"/>
    <w:rsid w:val="18574F8B"/>
    <w:rsid w:val="1859D598"/>
    <w:rsid w:val="185A266F"/>
    <w:rsid w:val="185A456F"/>
    <w:rsid w:val="185D094D"/>
    <w:rsid w:val="185DB8B9"/>
    <w:rsid w:val="1860A569"/>
    <w:rsid w:val="1860DF8F"/>
    <w:rsid w:val="18611808"/>
    <w:rsid w:val="18634F84"/>
    <w:rsid w:val="1864B3FE"/>
    <w:rsid w:val="186610F5"/>
    <w:rsid w:val="18688A7C"/>
    <w:rsid w:val="186C972A"/>
    <w:rsid w:val="186CD465"/>
    <w:rsid w:val="186DDC0A"/>
    <w:rsid w:val="186E8689"/>
    <w:rsid w:val="1871D0DD"/>
    <w:rsid w:val="187216B6"/>
    <w:rsid w:val="1872B5D7"/>
    <w:rsid w:val="1872CE16"/>
    <w:rsid w:val="18733D62"/>
    <w:rsid w:val="1874A913"/>
    <w:rsid w:val="18755A0E"/>
    <w:rsid w:val="1876748E"/>
    <w:rsid w:val="1876AE08"/>
    <w:rsid w:val="18777A9E"/>
    <w:rsid w:val="1877824D"/>
    <w:rsid w:val="187A1AA2"/>
    <w:rsid w:val="187AF59D"/>
    <w:rsid w:val="187BF854"/>
    <w:rsid w:val="187D4C28"/>
    <w:rsid w:val="1881B7AA"/>
    <w:rsid w:val="188360FB"/>
    <w:rsid w:val="1883AAB3"/>
    <w:rsid w:val="18844206"/>
    <w:rsid w:val="1886CF33"/>
    <w:rsid w:val="188BC4F8"/>
    <w:rsid w:val="188BD3CB"/>
    <w:rsid w:val="188CE94B"/>
    <w:rsid w:val="188D1D38"/>
    <w:rsid w:val="188D3619"/>
    <w:rsid w:val="188DEEBB"/>
    <w:rsid w:val="188EAB95"/>
    <w:rsid w:val="18910C4C"/>
    <w:rsid w:val="1896751C"/>
    <w:rsid w:val="18997E0E"/>
    <w:rsid w:val="1899AECA"/>
    <w:rsid w:val="1899B365"/>
    <w:rsid w:val="189BF8A8"/>
    <w:rsid w:val="18A04B10"/>
    <w:rsid w:val="18A2E682"/>
    <w:rsid w:val="18A35DEC"/>
    <w:rsid w:val="18A4194B"/>
    <w:rsid w:val="18A622E0"/>
    <w:rsid w:val="18AB5060"/>
    <w:rsid w:val="18AE1DB0"/>
    <w:rsid w:val="18AE925A"/>
    <w:rsid w:val="18B029BF"/>
    <w:rsid w:val="18B2585B"/>
    <w:rsid w:val="18B37B35"/>
    <w:rsid w:val="18B3EE8C"/>
    <w:rsid w:val="18B5002D"/>
    <w:rsid w:val="18B5D1A1"/>
    <w:rsid w:val="18B6056E"/>
    <w:rsid w:val="18B72F1F"/>
    <w:rsid w:val="18BA4B07"/>
    <w:rsid w:val="18BDF31B"/>
    <w:rsid w:val="18C187ED"/>
    <w:rsid w:val="18C4CFCF"/>
    <w:rsid w:val="18C5FFCB"/>
    <w:rsid w:val="18C7B583"/>
    <w:rsid w:val="18C87B1B"/>
    <w:rsid w:val="18CA7FE6"/>
    <w:rsid w:val="18CAD095"/>
    <w:rsid w:val="18CBCC23"/>
    <w:rsid w:val="18CBEE07"/>
    <w:rsid w:val="18CC30C8"/>
    <w:rsid w:val="18CD1C16"/>
    <w:rsid w:val="18CE3D38"/>
    <w:rsid w:val="18D08C1D"/>
    <w:rsid w:val="18D54CA9"/>
    <w:rsid w:val="18DDC96F"/>
    <w:rsid w:val="18DE7B5C"/>
    <w:rsid w:val="18DF72BB"/>
    <w:rsid w:val="18E13A46"/>
    <w:rsid w:val="18E19363"/>
    <w:rsid w:val="18E1A0F8"/>
    <w:rsid w:val="18E1E562"/>
    <w:rsid w:val="18E2E601"/>
    <w:rsid w:val="18E7CCBD"/>
    <w:rsid w:val="18EAAE9B"/>
    <w:rsid w:val="18ECE0D4"/>
    <w:rsid w:val="18EDC04F"/>
    <w:rsid w:val="18EDF47D"/>
    <w:rsid w:val="18EE599A"/>
    <w:rsid w:val="18EF339F"/>
    <w:rsid w:val="18F1B96B"/>
    <w:rsid w:val="18F1CDC4"/>
    <w:rsid w:val="18F447D0"/>
    <w:rsid w:val="18F58AF8"/>
    <w:rsid w:val="18F69DB9"/>
    <w:rsid w:val="18FA0188"/>
    <w:rsid w:val="18FB8D87"/>
    <w:rsid w:val="18FD2FFB"/>
    <w:rsid w:val="1900F80F"/>
    <w:rsid w:val="1903CC2F"/>
    <w:rsid w:val="19053F51"/>
    <w:rsid w:val="1907C706"/>
    <w:rsid w:val="1908D293"/>
    <w:rsid w:val="190C4F67"/>
    <w:rsid w:val="190E9FA6"/>
    <w:rsid w:val="191172EE"/>
    <w:rsid w:val="19133AE7"/>
    <w:rsid w:val="191A7BD2"/>
    <w:rsid w:val="191B8229"/>
    <w:rsid w:val="191BA73E"/>
    <w:rsid w:val="191F83AB"/>
    <w:rsid w:val="191FAEA6"/>
    <w:rsid w:val="1921863A"/>
    <w:rsid w:val="1924A6BC"/>
    <w:rsid w:val="19273AF8"/>
    <w:rsid w:val="192B98C6"/>
    <w:rsid w:val="192CFB03"/>
    <w:rsid w:val="192D05E7"/>
    <w:rsid w:val="19312645"/>
    <w:rsid w:val="19317525"/>
    <w:rsid w:val="1931AA11"/>
    <w:rsid w:val="1932462F"/>
    <w:rsid w:val="1936069D"/>
    <w:rsid w:val="193821E9"/>
    <w:rsid w:val="193AA069"/>
    <w:rsid w:val="193AC591"/>
    <w:rsid w:val="193B30AD"/>
    <w:rsid w:val="193BCD9E"/>
    <w:rsid w:val="19402767"/>
    <w:rsid w:val="19429D2D"/>
    <w:rsid w:val="19448D66"/>
    <w:rsid w:val="1945BE0F"/>
    <w:rsid w:val="1945FEAD"/>
    <w:rsid w:val="1948BEF8"/>
    <w:rsid w:val="194A0775"/>
    <w:rsid w:val="194AF8A4"/>
    <w:rsid w:val="194AFFD4"/>
    <w:rsid w:val="194C9ECD"/>
    <w:rsid w:val="194CD7E3"/>
    <w:rsid w:val="194D50E6"/>
    <w:rsid w:val="194F1FFC"/>
    <w:rsid w:val="195068EC"/>
    <w:rsid w:val="19533405"/>
    <w:rsid w:val="195430DD"/>
    <w:rsid w:val="1954B7AF"/>
    <w:rsid w:val="1955092F"/>
    <w:rsid w:val="19557FAE"/>
    <w:rsid w:val="19577F44"/>
    <w:rsid w:val="195C4936"/>
    <w:rsid w:val="195C4F9A"/>
    <w:rsid w:val="196285FD"/>
    <w:rsid w:val="1963A7FF"/>
    <w:rsid w:val="19652F65"/>
    <w:rsid w:val="196A153F"/>
    <w:rsid w:val="196B9007"/>
    <w:rsid w:val="196C0E62"/>
    <w:rsid w:val="196E1C2B"/>
    <w:rsid w:val="196EBC14"/>
    <w:rsid w:val="19715636"/>
    <w:rsid w:val="1972199D"/>
    <w:rsid w:val="197488F4"/>
    <w:rsid w:val="19760E43"/>
    <w:rsid w:val="1976B233"/>
    <w:rsid w:val="19791E6F"/>
    <w:rsid w:val="1979D974"/>
    <w:rsid w:val="197AA60E"/>
    <w:rsid w:val="197AD3B2"/>
    <w:rsid w:val="197C0674"/>
    <w:rsid w:val="197DA49C"/>
    <w:rsid w:val="197EE6AD"/>
    <w:rsid w:val="19801CB7"/>
    <w:rsid w:val="198278F1"/>
    <w:rsid w:val="1982ACE1"/>
    <w:rsid w:val="19832757"/>
    <w:rsid w:val="1983B7D7"/>
    <w:rsid w:val="1987FAD6"/>
    <w:rsid w:val="198A22B1"/>
    <w:rsid w:val="198EEBF9"/>
    <w:rsid w:val="19973837"/>
    <w:rsid w:val="199756BF"/>
    <w:rsid w:val="19998EF7"/>
    <w:rsid w:val="199D0B80"/>
    <w:rsid w:val="199D1A5A"/>
    <w:rsid w:val="199F7439"/>
    <w:rsid w:val="199F7C99"/>
    <w:rsid w:val="19A19FE8"/>
    <w:rsid w:val="19A31A7F"/>
    <w:rsid w:val="19A4EEA0"/>
    <w:rsid w:val="19A6FC04"/>
    <w:rsid w:val="19A85620"/>
    <w:rsid w:val="19A8D90B"/>
    <w:rsid w:val="19A9CC9E"/>
    <w:rsid w:val="19AA28F9"/>
    <w:rsid w:val="19ACEC0D"/>
    <w:rsid w:val="19ACF035"/>
    <w:rsid w:val="19AD53B3"/>
    <w:rsid w:val="19B52907"/>
    <w:rsid w:val="19B5E296"/>
    <w:rsid w:val="19B5FB48"/>
    <w:rsid w:val="19B640A4"/>
    <w:rsid w:val="19B93577"/>
    <w:rsid w:val="19B94140"/>
    <w:rsid w:val="19BB27C3"/>
    <w:rsid w:val="19BB92D3"/>
    <w:rsid w:val="19BC7019"/>
    <w:rsid w:val="19BEA376"/>
    <w:rsid w:val="19BF0106"/>
    <w:rsid w:val="19BFCE8B"/>
    <w:rsid w:val="19C0F8F9"/>
    <w:rsid w:val="19C3099A"/>
    <w:rsid w:val="19C38980"/>
    <w:rsid w:val="19C3D747"/>
    <w:rsid w:val="19C4F9BF"/>
    <w:rsid w:val="19CB2771"/>
    <w:rsid w:val="19CB4E32"/>
    <w:rsid w:val="19CCA178"/>
    <w:rsid w:val="19CD07F7"/>
    <w:rsid w:val="19CEEE7C"/>
    <w:rsid w:val="19D4C5D6"/>
    <w:rsid w:val="19D5FCC5"/>
    <w:rsid w:val="19D68DF5"/>
    <w:rsid w:val="19DB1446"/>
    <w:rsid w:val="19DCA68F"/>
    <w:rsid w:val="19DD8A3C"/>
    <w:rsid w:val="19DE3295"/>
    <w:rsid w:val="19DFB0B7"/>
    <w:rsid w:val="19E0A3C2"/>
    <w:rsid w:val="19E37DFF"/>
    <w:rsid w:val="19EB3D8F"/>
    <w:rsid w:val="19EF9973"/>
    <w:rsid w:val="19EFBD5F"/>
    <w:rsid w:val="19F2EE1F"/>
    <w:rsid w:val="19F4A7D5"/>
    <w:rsid w:val="19F57E6F"/>
    <w:rsid w:val="19F9FFB8"/>
    <w:rsid w:val="19FA2D3C"/>
    <w:rsid w:val="19FC17EC"/>
    <w:rsid w:val="19FC4F5C"/>
    <w:rsid w:val="19FCE411"/>
    <w:rsid w:val="19FF4C33"/>
    <w:rsid w:val="19FFF896"/>
    <w:rsid w:val="1A00255B"/>
    <w:rsid w:val="1A04CF72"/>
    <w:rsid w:val="1A062DB2"/>
    <w:rsid w:val="1A067734"/>
    <w:rsid w:val="1A06D16E"/>
    <w:rsid w:val="1A0813FA"/>
    <w:rsid w:val="1A0853D2"/>
    <w:rsid w:val="1A0AAA7E"/>
    <w:rsid w:val="1A0B9CE1"/>
    <w:rsid w:val="1A0E09B2"/>
    <w:rsid w:val="1A0E4EAC"/>
    <w:rsid w:val="1A0FA643"/>
    <w:rsid w:val="1A10536E"/>
    <w:rsid w:val="1A117617"/>
    <w:rsid w:val="1A11CE6C"/>
    <w:rsid w:val="1A122758"/>
    <w:rsid w:val="1A14272E"/>
    <w:rsid w:val="1A1568BC"/>
    <w:rsid w:val="1A1659C3"/>
    <w:rsid w:val="1A1955D2"/>
    <w:rsid w:val="1A1D4DC9"/>
    <w:rsid w:val="1A1E4A06"/>
    <w:rsid w:val="1A218A92"/>
    <w:rsid w:val="1A25BBF7"/>
    <w:rsid w:val="1A28096F"/>
    <w:rsid w:val="1A2AA556"/>
    <w:rsid w:val="1A2E01BC"/>
    <w:rsid w:val="1A2E15D2"/>
    <w:rsid w:val="1A2E623E"/>
    <w:rsid w:val="1A31A93F"/>
    <w:rsid w:val="1A31B7CA"/>
    <w:rsid w:val="1A3230D1"/>
    <w:rsid w:val="1A333ADE"/>
    <w:rsid w:val="1A336A80"/>
    <w:rsid w:val="1A3419A6"/>
    <w:rsid w:val="1A3587A0"/>
    <w:rsid w:val="1A3603B3"/>
    <w:rsid w:val="1A36240F"/>
    <w:rsid w:val="1A37754A"/>
    <w:rsid w:val="1A39787F"/>
    <w:rsid w:val="1A3BA35B"/>
    <w:rsid w:val="1A4071C5"/>
    <w:rsid w:val="1A459078"/>
    <w:rsid w:val="1A483745"/>
    <w:rsid w:val="1A492147"/>
    <w:rsid w:val="1A49978A"/>
    <w:rsid w:val="1A4B7BA0"/>
    <w:rsid w:val="1A4C175C"/>
    <w:rsid w:val="1A4C8DA3"/>
    <w:rsid w:val="1A4D3157"/>
    <w:rsid w:val="1A4FA0FA"/>
    <w:rsid w:val="1A51699A"/>
    <w:rsid w:val="1A53025B"/>
    <w:rsid w:val="1A54CD06"/>
    <w:rsid w:val="1A554A41"/>
    <w:rsid w:val="1A569C8C"/>
    <w:rsid w:val="1A57DD8C"/>
    <w:rsid w:val="1A58404C"/>
    <w:rsid w:val="1A594C27"/>
    <w:rsid w:val="1A5C9E2C"/>
    <w:rsid w:val="1A5E1037"/>
    <w:rsid w:val="1A5E1546"/>
    <w:rsid w:val="1A5EB8BB"/>
    <w:rsid w:val="1A5EC5A6"/>
    <w:rsid w:val="1A5FE668"/>
    <w:rsid w:val="1A609087"/>
    <w:rsid w:val="1A623DB1"/>
    <w:rsid w:val="1A63075F"/>
    <w:rsid w:val="1A68EDE7"/>
    <w:rsid w:val="1A69998C"/>
    <w:rsid w:val="1A69E892"/>
    <w:rsid w:val="1A6B2979"/>
    <w:rsid w:val="1A6B3FBF"/>
    <w:rsid w:val="1A6B9845"/>
    <w:rsid w:val="1A6D5D8C"/>
    <w:rsid w:val="1A6E90F2"/>
    <w:rsid w:val="1A6F7C62"/>
    <w:rsid w:val="1A7210D6"/>
    <w:rsid w:val="1A781700"/>
    <w:rsid w:val="1A7860E6"/>
    <w:rsid w:val="1A7BE6E5"/>
    <w:rsid w:val="1A7D0420"/>
    <w:rsid w:val="1A7D47DF"/>
    <w:rsid w:val="1A80499E"/>
    <w:rsid w:val="1A805C82"/>
    <w:rsid w:val="1A80826C"/>
    <w:rsid w:val="1A81B570"/>
    <w:rsid w:val="1A841600"/>
    <w:rsid w:val="1A850732"/>
    <w:rsid w:val="1A871C10"/>
    <w:rsid w:val="1A8878AD"/>
    <w:rsid w:val="1A89E49F"/>
    <w:rsid w:val="1A8A59E9"/>
    <w:rsid w:val="1A8D55A3"/>
    <w:rsid w:val="1A8D81CD"/>
    <w:rsid w:val="1A8E0BC9"/>
    <w:rsid w:val="1A8F7409"/>
    <w:rsid w:val="1A8F8E7C"/>
    <w:rsid w:val="1A9464BF"/>
    <w:rsid w:val="1A9524C9"/>
    <w:rsid w:val="1A96F6D6"/>
    <w:rsid w:val="1A980B98"/>
    <w:rsid w:val="1A98B172"/>
    <w:rsid w:val="1A9A4334"/>
    <w:rsid w:val="1A9B8A6A"/>
    <w:rsid w:val="1A9F26E4"/>
    <w:rsid w:val="1AA01A86"/>
    <w:rsid w:val="1AA1828E"/>
    <w:rsid w:val="1AA19EDC"/>
    <w:rsid w:val="1AA31298"/>
    <w:rsid w:val="1AADAD93"/>
    <w:rsid w:val="1AADE038"/>
    <w:rsid w:val="1AB02271"/>
    <w:rsid w:val="1AB09BF1"/>
    <w:rsid w:val="1AB10D17"/>
    <w:rsid w:val="1AB2C8CB"/>
    <w:rsid w:val="1AB823DD"/>
    <w:rsid w:val="1ABA4AF9"/>
    <w:rsid w:val="1ABEDCEE"/>
    <w:rsid w:val="1ABF48B5"/>
    <w:rsid w:val="1AC078FF"/>
    <w:rsid w:val="1AC4C72B"/>
    <w:rsid w:val="1AC4EE8A"/>
    <w:rsid w:val="1AC5E5E7"/>
    <w:rsid w:val="1AC630F9"/>
    <w:rsid w:val="1AC7E360"/>
    <w:rsid w:val="1AC88597"/>
    <w:rsid w:val="1AC9D43B"/>
    <w:rsid w:val="1ACB3069"/>
    <w:rsid w:val="1ACD0730"/>
    <w:rsid w:val="1ACF0391"/>
    <w:rsid w:val="1ACF9D9B"/>
    <w:rsid w:val="1AD136E3"/>
    <w:rsid w:val="1AD1878B"/>
    <w:rsid w:val="1AD47FE5"/>
    <w:rsid w:val="1AD48607"/>
    <w:rsid w:val="1AD4A37A"/>
    <w:rsid w:val="1AD54BD0"/>
    <w:rsid w:val="1AD58013"/>
    <w:rsid w:val="1AD7C671"/>
    <w:rsid w:val="1AD93A58"/>
    <w:rsid w:val="1ADA4056"/>
    <w:rsid w:val="1ADC1637"/>
    <w:rsid w:val="1ADE0B58"/>
    <w:rsid w:val="1AE1850F"/>
    <w:rsid w:val="1AE4FA2B"/>
    <w:rsid w:val="1AE9B742"/>
    <w:rsid w:val="1AECBC26"/>
    <w:rsid w:val="1AECBD28"/>
    <w:rsid w:val="1AEF1D7E"/>
    <w:rsid w:val="1AEFC28C"/>
    <w:rsid w:val="1AF00454"/>
    <w:rsid w:val="1AF18B06"/>
    <w:rsid w:val="1AF2442E"/>
    <w:rsid w:val="1AF4A274"/>
    <w:rsid w:val="1AFACB74"/>
    <w:rsid w:val="1AFC3D33"/>
    <w:rsid w:val="1AFE93B6"/>
    <w:rsid w:val="1AFFADAB"/>
    <w:rsid w:val="1B02937D"/>
    <w:rsid w:val="1B047C43"/>
    <w:rsid w:val="1B04C1C6"/>
    <w:rsid w:val="1B058111"/>
    <w:rsid w:val="1B0C2B1C"/>
    <w:rsid w:val="1B0C3A7B"/>
    <w:rsid w:val="1B0C8495"/>
    <w:rsid w:val="1B0D79EC"/>
    <w:rsid w:val="1B0F588E"/>
    <w:rsid w:val="1B120A77"/>
    <w:rsid w:val="1B12CD6C"/>
    <w:rsid w:val="1B13CC79"/>
    <w:rsid w:val="1B13D714"/>
    <w:rsid w:val="1B144647"/>
    <w:rsid w:val="1B151E58"/>
    <w:rsid w:val="1B1584F2"/>
    <w:rsid w:val="1B161898"/>
    <w:rsid w:val="1B17D6D5"/>
    <w:rsid w:val="1B18E7CE"/>
    <w:rsid w:val="1B1D4DAB"/>
    <w:rsid w:val="1B1F23B0"/>
    <w:rsid w:val="1B1F5BCA"/>
    <w:rsid w:val="1B20A739"/>
    <w:rsid w:val="1B214640"/>
    <w:rsid w:val="1B21C024"/>
    <w:rsid w:val="1B235742"/>
    <w:rsid w:val="1B27F7E9"/>
    <w:rsid w:val="1B2AFF0B"/>
    <w:rsid w:val="1B2CD033"/>
    <w:rsid w:val="1B2D392C"/>
    <w:rsid w:val="1B2F8F67"/>
    <w:rsid w:val="1B317FE5"/>
    <w:rsid w:val="1B3387B2"/>
    <w:rsid w:val="1B3438AA"/>
    <w:rsid w:val="1B36BE00"/>
    <w:rsid w:val="1B3793E5"/>
    <w:rsid w:val="1B3A77C7"/>
    <w:rsid w:val="1B3B83D0"/>
    <w:rsid w:val="1B3F2D6D"/>
    <w:rsid w:val="1B3F935B"/>
    <w:rsid w:val="1B3FF2BB"/>
    <w:rsid w:val="1B463272"/>
    <w:rsid w:val="1B48D665"/>
    <w:rsid w:val="1B49695D"/>
    <w:rsid w:val="1B4C2DCF"/>
    <w:rsid w:val="1B56DC59"/>
    <w:rsid w:val="1B57E5A2"/>
    <w:rsid w:val="1B5816A8"/>
    <w:rsid w:val="1B5C84C6"/>
    <w:rsid w:val="1B61D81A"/>
    <w:rsid w:val="1B626411"/>
    <w:rsid w:val="1B62FE2B"/>
    <w:rsid w:val="1B6414FE"/>
    <w:rsid w:val="1B64DDB0"/>
    <w:rsid w:val="1B65C05A"/>
    <w:rsid w:val="1B664F07"/>
    <w:rsid w:val="1B66578C"/>
    <w:rsid w:val="1B66AA04"/>
    <w:rsid w:val="1B690202"/>
    <w:rsid w:val="1B6AB640"/>
    <w:rsid w:val="1B6B59E7"/>
    <w:rsid w:val="1B6C6D7E"/>
    <w:rsid w:val="1B6FB5FE"/>
    <w:rsid w:val="1B7168C9"/>
    <w:rsid w:val="1B72225A"/>
    <w:rsid w:val="1B734D3D"/>
    <w:rsid w:val="1B759D4E"/>
    <w:rsid w:val="1B75B9C4"/>
    <w:rsid w:val="1B7644FD"/>
    <w:rsid w:val="1B77BFEA"/>
    <w:rsid w:val="1B77F9E5"/>
    <w:rsid w:val="1B782FF9"/>
    <w:rsid w:val="1B798598"/>
    <w:rsid w:val="1B7A298D"/>
    <w:rsid w:val="1B7C47CC"/>
    <w:rsid w:val="1B7FC832"/>
    <w:rsid w:val="1B8169CE"/>
    <w:rsid w:val="1B825A3B"/>
    <w:rsid w:val="1B8276F8"/>
    <w:rsid w:val="1B83279E"/>
    <w:rsid w:val="1B83C3F0"/>
    <w:rsid w:val="1B863F6C"/>
    <w:rsid w:val="1B865C82"/>
    <w:rsid w:val="1B88FEC8"/>
    <w:rsid w:val="1B894DAB"/>
    <w:rsid w:val="1B89D000"/>
    <w:rsid w:val="1B8B2B20"/>
    <w:rsid w:val="1B8DB11F"/>
    <w:rsid w:val="1B91F582"/>
    <w:rsid w:val="1B938B29"/>
    <w:rsid w:val="1B93A332"/>
    <w:rsid w:val="1B98D9C9"/>
    <w:rsid w:val="1B99375D"/>
    <w:rsid w:val="1B994974"/>
    <w:rsid w:val="1B99A037"/>
    <w:rsid w:val="1B99A065"/>
    <w:rsid w:val="1B9AFC11"/>
    <w:rsid w:val="1B9B936E"/>
    <w:rsid w:val="1B9CC1CA"/>
    <w:rsid w:val="1B9D1A9C"/>
    <w:rsid w:val="1BA1EB08"/>
    <w:rsid w:val="1BA1F153"/>
    <w:rsid w:val="1BA33AE6"/>
    <w:rsid w:val="1BA4EEA0"/>
    <w:rsid w:val="1BA51297"/>
    <w:rsid w:val="1BA6DCB0"/>
    <w:rsid w:val="1BA7245E"/>
    <w:rsid w:val="1BAAD488"/>
    <w:rsid w:val="1BAB728C"/>
    <w:rsid w:val="1BABF146"/>
    <w:rsid w:val="1BADA14C"/>
    <w:rsid w:val="1BAF269F"/>
    <w:rsid w:val="1BB1A745"/>
    <w:rsid w:val="1BB22307"/>
    <w:rsid w:val="1BB2A6EC"/>
    <w:rsid w:val="1BB4D92E"/>
    <w:rsid w:val="1BB651B5"/>
    <w:rsid w:val="1BBE7EAB"/>
    <w:rsid w:val="1BC1320E"/>
    <w:rsid w:val="1BC28E88"/>
    <w:rsid w:val="1BC3651D"/>
    <w:rsid w:val="1BC3D0F2"/>
    <w:rsid w:val="1BC6B1F2"/>
    <w:rsid w:val="1BC8124D"/>
    <w:rsid w:val="1BCBCBE3"/>
    <w:rsid w:val="1BCC4E41"/>
    <w:rsid w:val="1BCCAF0E"/>
    <w:rsid w:val="1BCF30EC"/>
    <w:rsid w:val="1BD01342"/>
    <w:rsid w:val="1BD302B8"/>
    <w:rsid w:val="1BD3379F"/>
    <w:rsid w:val="1BD3DF44"/>
    <w:rsid w:val="1BD5C344"/>
    <w:rsid w:val="1BD95A30"/>
    <w:rsid w:val="1BDB40EA"/>
    <w:rsid w:val="1BDBD6FE"/>
    <w:rsid w:val="1BE0260D"/>
    <w:rsid w:val="1BE0E133"/>
    <w:rsid w:val="1BE11F47"/>
    <w:rsid w:val="1BE17851"/>
    <w:rsid w:val="1BE1FF9D"/>
    <w:rsid w:val="1BE46E63"/>
    <w:rsid w:val="1BE52D3D"/>
    <w:rsid w:val="1BE7E7BD"/>
    <w:rsid w:val="1BEAE9E7"/>
    <w:rsid w:val="1BEAF4F8"/>
    <w:rsid w:val="1BEB5DAB"/>
    <w:rsid w:val="1BEE7939"/>
    <w:rsid w:val="1BEF6B20"/>
    <w:rsid w:val="1BF021D3"/>
    <w:rsid w:val="1BF072D1"/>
    <w:rsid w:val="1BF19907"/>
    <w:rsid w:val="1BF22E98"/>
    <w:rsid w:val="1BF2B456"/>
    <w:rsid w:val="1BF35A3A"/>
    <w:rsid w:val="1BF48BF9"/>
    <w:rsid w:val="1BF753F7"/>
    <w:rsid w:val="1BF86896"/>
    <w:rsid w:val="1BF8E0D0"/>
    <w:rsid w:val="1BFAECF3"/>
    <w:rsid w:val="1BFB2E80"/>
    <w:rsid w:val="1BFEB2CE"/>
    <w:rsid w:val="1C017963"/>
    <w:rsid w:val="1C02A4B0"/>
    <w:rsid w:val="1C04063C"/>
    <w:rsid w:val="1C0415AC"/>
    <w:rsid w:val="1C05E782"/>
    <w:rsid w:val="1C0D684A"/>
    <w:rsid w:val="1C0DFDB3"/>
    <w:rsid w:val="1C0E3CA0"/>
    <w:rsid w:val="1C119AB8"/>
    <w:rsid w:val="1C12B6E2"/>
    <w:rsid w:val="1C1492AF"/>
    <w:rsid w:val="1C169DB7"/>
    <w:rsid w:val="1C17A950"/>
    <w:rsid w:val="1C18C669"/>
    <w:rsid w:val="1C1B4945"/>
    <w:rsid w:val="1C1CD852"/>
    <w:rsid w:val="1C209EA4"/>
    <w:rsid w:val="1C2672B5"/>
    <w:rsid w:val="1C268177"/>
    <w:rsid w:val="1C27E42D"/>
    <w:rsid w:val="1C28A84C"/>
    <w:rsid w:val="1C2A0575"/>
    <w:rsid w:val="1C2CCC30"/>
    <w:rsid w:val="1C2D2CB5"/>
    <w:rsid w:val="1C2E1F9E"/>
    <w:rsid w:val="1C2F22D3"/>
    <w:rsid w:val="1C316F1F"/>
    <w:rsid w:val="1C32FC43"/>
    <w:rsid w:val="1C3AA9F1"/>
    <w:rsid w:val="1C3D84C2"/>
    <w:rsid w:val="1C3FAE0F"/>
    <w:rsid w:val="1C3FC734"/>
    <w:rsid w:val="1C4006EC"/>
    <w:rsid w:val="1C43CBFC"/>
    <w:rsid w:val="1C4432DE"/>
    <w:rsid w:val="1C4510BC"/>
    <w:rsid w:val="1C456129"/>
    <w:rsid w:val="1C4CC67E"/>
    <w:rsid w:val="1C4DF64B"/>
    <w:rsid w:val="1C4F59E2"/>
    <w:rsid w:val="1C4F7E6E"/>
    <w:rsid w:val="1C50559F"/>
    <w:rsid w:val="1C530AAA"/>
    <w:rsid w:val="1C5522B1"/>
    <w:rsid w:val="1C55B457"/>
    <w:rsid w:val="1C560EB7"/>
    <w:rsid w:val="1C5734D2"/>
    <w:rsid w:val="1C5A53F1"/>
    <w:rsid w:val="1C5A9060"/>
    <w:rsid w:val="1C5BE5C3"/>
    <w:rsid w:val="1C5CB6C7"/>
    <w:rsid w:val="1C65EFBE"/>
    <w:rsid w:val="1C661744"/>
    <w:rsid w:val="1C664AA8"/>
    <w:rsid w:val="1C67D479"/>
    <w:rsid w:val="1C693A0D"/>
    <w:rsid w:val="1C6BB52F"/>
    <w:rsid w:val="1C71F918"/>
    <w:rsid w:val="1C734F32"/>
    <w:rsid w:val="1C746468"/>
    <w:rsid w:val="1C74E46B"/>
    <w:rsid w:val="1C7516AB"/>
    <w:rsid w:val="1C768CDF"/>
    <w:rsid w:val="1C76CAFE"/>
    <w:rsid w:val="1C7A97BE"/>
    <w:rsid w:val="1C7AAF07"/>
    <w:rsid w:val="1C7B4A69"/>
    <w:rsid w:val="1C831AD7"/>
    <w:rsid w:val="1C87BCD6"/>
    <w:rsid w:val="1C88AD0D"/>
    <w:rsid w:val="1C8CAB4B"/>
    <w:rsid w:val="1C8EA460"/>
    <w:rsid w:val="1C8F9809"/>
    <w:rsid w:val="1C920B75"/>
    <w:rsid w:val="1C95EE98"/>
    <w:rsid w:val="1C99A4C2"/>
    <w:rsid w:val="1C9AC393"/>
    <w:rsid w:val="1C9B63BE"/>
    <w:rsid w:val="1C9CCB07"/>
    <w:rsid w:val="1C9CF0CA"/>
    <w:rsid w:val="1C9F88EC"/>
    <w:rsid w:val="1CA3E96E"/>
    <w:rsid w:val="1CA6AE5D"/>
    <w:rsid w:val="1CA7396F"/>
    <w:rsid w:val="1CA7EFA6"/>
    <w:rsid w:val="1CA9545E"/>
    <w:rsid w:val="1CA978C0"/>
    <w:rsid w:val="1CAAA4EB"/>
    <w:rsid w:val="1CAB7EAA"/>
    <w:rsid w:val="1CACFCE5"/>
    <w:rsid w:val="1CAF7554"/>
    <w:rsid w:val="1CB2E404"/>
    <w:rsid w:val="1CB31D9D"/>
    <w:rsid w:val="1CB3A736"/>
    <w:rsid w:val="1CB5368A"/>
    <w:rsid w:val="1CB85303"/>
    <w:rsid w:val="1CBB679A"/>
    <w:rsid w:val="1CBEF328"/>
    <w:rsid w:val="1CBF3C2E"/>
    <w:rsid w:val="1CC44706"/>
    <w:rsid w:val="1CC562A0"/>
    <w:rsid w:val="1CC6ACE3"/>
    <w:rsid w:val="1CC79AAF"/>
    <w:rsid w:val="1CCA44C3"/>
    <w:rsid w:val="1CCF8466"/>
    <w:rsid w:val="1CD20198"/>
    <w:rsid w:val="1CD2113A"/>
    <w:rsid w:val="1CD3571D"/>
    <w:rsid w:val="1CD3970F"/>
    <w:rsid w:val="1CD67113"/>
    <w:rsid w:val="1CD835CF"/>
    <w:rsid w:val="1CD9E99D"/>
    <w:rsid w:val="1CDA4CF7"/>
    <w:rsid w:val="1CDDBCB9"/>
    <w:rsid w:val="1CDE5C25"/>
    <w:rsid w:val="1CDF7F31"/>
    <w:rsid w:val="1CDFE4EA"/>
    <w:rsid w:val="1CE08310"/>
    <w:rsid w:val="1CE70731"/>
    <w:rsid w:val="1CEB88CD"/>
    <w:rsid w:val="1CEF4A94"/>
    <w:rsid w:val="1CF00BAC"/>
    <w:rsid w:val="1CF30D46"/>
    <w:rsid w:val="1CF4CB27"/>
    <w:rsid w:val="1CF4F869"/>
    <w:rsid w:val="1CF71EAA"/>
    <w:rsid w:val="1CFAD384"/>
    <w:rsid w:val="1CFB566F"/>
    <w:rsid w:val="1CFF7871"/>
    <w:rsid w:val="1D029EE2"/>
    <w:rsid w:val="1D02D064"/>
    <w:rsid w:val="1D064B70"/>
    <w:rsid w:val="1D064E6D"/>
    <w:rsid w:val="1D081E55"/>
    <w:rsid w:val="1D09C08F"/>
    <w:rsid w:val="1D0C489B"/>
    <w:rsid w:val="1D0DC0F2"/>
    <w:rsid w:val="1D0DD225"/>
    <w:rsid w:val="1D12287E"/>
    <w:rsid w:val="1D14103C"/>
    <w:rsid w:val="1D1504D0"/>
    <w:rsid w:val="1D16E973"/>
    <w:rsid w:val="1D176608"/>
    <w:rsid w:val="1D1B4712"/>
    <w:rsid w:val="1D1E2606"/>
    <w:rsid w:val="1D2101C8"/>
    <w:rsid w:val="1D21755C"/>
    <w:rsid w:val="1D218FC5"/>
    <w:rsid w:val="1D22D84F"/>
    <w:rsid w:val="1D23C252"/>
    <w:rsid w:val="1D248DED"/>
    <w:rsid w:val="1D28A443"/>
    <w:rsid w:val="1D28EC8C"/>
    <w:rsid w:val="1D2EFFBD"/>
    <w:rsid w:val="1D2F06BF"/>
    <w:rsid w:val="1D317347"/>
    <w:rsid w:val="1D31F0F6"/>
    <w:rsid w:val="1D3200CE"/>
    <w:rsid w:val="1D33558F"/>
    <w:rsid w:val="1D340A20"/>
    <w:rsid w:val="1D348E49"/>
    <w:rsid w:val="1D36B2AA"/>
    <w:rsid w:val="1D36E91B"/>
    <w:rsid w:val="1D3900DD"/>
    <w:rsid w:val="1D39FDAF"/>
    <w:rsid w:val="1D3A468E"/>
    <w:rsid w:val="1D3A8F41"/>
    <w:rsid w:val="1D3B0528"/>
    <w:rsid w:val="1D3C719A"/>
    <w:rsid w:val="1D3CA2E3"/>
    <w:rsid w:val="1D3CF3A1"/>
    <w:rsid w:val="1D3EF040"/>
    <w:rsid w:val="1D3FACF0"/>
    <w:rsid w:val="1D411682"/>
    <w:rsid w:val="1D428501"/>
    <w:rsid w:val="1D446055"/>
    <w:rsid w:val="1D458EC9"/>
    <w:rsid w:val="1D47AA44"/>
    <w:rsid w:val="1D47E982"/>
    <w:rsid w:val="1D4A85D6"/>
    <w:rsid w:val="1D4B45CD"/>
    <w:rsid w:val="1D4FC1BC"/>
    <w:rsid w:val="1D4FF5AC"/>
    <w:rsid w:val="1D505869"/>
    <w:rsid w:val="1D505E3E"/>
    <w:rsid w:val="1D50EC18"/>
    <w:rsid w:val="1D513815"/>
    <w:rsid w:val="1D52B045"/>
    <w:rsid w:val="1D5A0100"/>
    <w:rsid w:val="1D5BDEC5"/>
    <w:rsid w:val="1D5CE3F8"/>
    <w:rsid w:val="1D5E6004"/>
    <w:rsid w:val="1D5E825A"/>
    <w:rsid w:val="1D5EBEF1"/>
    <w:rsid w:val="1D5F0A25"/>
    <w:rsid w:val="1D606EE7"/>
    <w:rsid w:val="1D60D26C"/>
    <w:rsid w:val="1D6147C8"/>
    <w:rsid w:val="1D62C9CD"/>
    <w:rsid w:val="1D63B263"/>
    <w:rsid w:val="1D6452E6"/>
    <w:rsid w:val="1D65E4E9"/>
    <w:rsid w:val="1D69C49A"/>
    <w:rsid w:val="1D6D0012"/>
    <w:rsid w:val="1D6DDC52"/>
    <w:rsid w:val="1D73C109"/>
    <w:rsid w:val="1D73F587"/>
    <w:rsid w:val="1D741190"/>
    <w:rsid w:val="1D75EF9A"/>
    <w:rsid w:val="1D7606A2"/>
    <w:rsid w:val="1D792A8B"/>
    <w:rsid w:val="1D7A58C2"/>
    <w:rsid w:val="1D7E62E7"/>
    <w:rsid w:val="1D7FFD3B"/>
    <w:rsid w:val="1D802063"/>
    <w:rsid w:val="1D810C7A"/>
    <w:rsid w:val="1D81D288"/>
    <w:rsid w:val="1D81FD5F"/>
    <w:rsid w:val="1D89663F"/>
    <w:rsid w:val="1D8CA1C0"/>
    <w:rsid w:val="1D8CF28B"/>
    <w:rsid w:val="1D8E15CC"/>
    <w:rsid w:val="1D8FA162"/>
    <w:rsid w:val="1D915B0A"/>
    <w:rsid w:val="1D92DF00"/>
    <w:rsid w:val="1D9648D4"/>
    <w:rsid w:val="1D98BE37"/>
    <w:rsid w:val="1D994510"/>
    <w:rsid w:val="1D99D6BB"/>
    <w:rsid w:val="1D9B1ABD"/>
    <w:rsid w:val="1DA0F937"/>
    <w:rsid w:val="1DA1ADAA"/>
    <w:rsid w:val="1DA53C9E"/>
    <w:rsid w:val="1DA675FC"/>
    <w:rsid w:val="1DA7A8E9"/>
    <w:rsid w:val="1DA89889"/>
    <w:rsid w:val="1DA940D1"/>
    <w:rsid w:val="1DAB3204"/>
    <w:rsid w:val="1DB03C3F"/>
    <w:rsid w:val="1DB39BE1"/>
    <w:rsid w:val="1DB4E5B1"/>
    <w:rsid w:val="1DB57F02"/>
    <w:rsid w:val="1DB8129F"/>
    <w:rsid w:val="1DBB72F2"/>
    <w:rsid w:val="1DBCF3C5"/>
    <w:rsid w:val="1DBFC22B"/>
    <w:rsid w:val="1DC1687B"/>
    <w:rsid w:val="1DC169E9"/>
    <w:rsid w:val="1DC37FBD"/>
    <w:rsid w:val="1DC5835E"/>
    <w:rsid w:val="1DC80EC6"/>
    <w:rsid w:val="1DCA4CB7"/>
    <w:rsid w:val="1DCADF87"/>
    <w:rsid w:val="1DD231A6"/>
    <w:rsid w:val="1DD48518"/>
    <w:rsid w:val="1DD58F83"/>
    <w:rsid w:val="1DD74F4D"/>
    <w:rsid w:val="1DDAB072"/>
    <w:rsid w:val="1DDB5374"/>
    <w:rsid w:val="1DDBEB58"/>
    <w:rsid w:val="1DDD33C1"/>
    <w:rsid w:val="1DDDBAA8"/>
    <w:rsid w:val="1DDEB09F"/>
    <w:rsid w:val="1DE649D7"/>
    <w:rsid w:val="1DE6AE2D"/>
    <w:rsid w:val="1DE6DC41"/>
    <w:rsid w:val="1DEBEA4F"/>
    <w:rsid w:val="1DEEF073"/>
    <w:rsid w:val="1DF1CC4A"/>
    <w:rsid w:val="1DF259F5"/>
    <w:rsid w:val="1DF3474F"/>
    <w:rsid w:val="1DF542EE"/>
    <w:rsid w:val="1DF5E3EE"/>
    <w:rsid w:val="1DFB001A"/>
    <w:rsid w:val="1DFD73B3"/>
    <w:rsid w:val="1DFF98BF"/>
    <w:rsid w:val="1E00F507"/>
    <w:rsid w:val="1E01B0F2"/>
    <w:rsid w:val="1E03E7E9"/>
    <w:rsid w:val="1E04D333"/>
    <w:rsid w:val="1E050F52"/>
    <w:rsid w:val="1E072E51"/>
    <w:rsid w:val="1E07A470"/>
    <w:rsid w:val="1E07DC26"/>
    <w:rsid w:val="1E080A90"/>
    <w:rsid w:val="1E0825F7"/>
    <w:rsid w:val="1E08ADF1"/>
    <w:rsid w:val="1E09668E"/>
    <w:rsid w:val="1E098EE9"/>
    <w:rsid w:val="1E0C0A47"/>
    <w:rsid w:val="1E0DB564"/>
    <w:rsid w:val="1E0E7A44"/>
    <w:rsid w:val="1E106FDD"/>
    <w:rsid w:val="1E1179C1"/>
    <w:rsid w:val="1E173989"/>
    <w:rsid w:val="1E17D710"/>
    <w:rsid w:val="1E1C2FDB"/>
    <w:rsid w:val="1E1EE65F"/>
    <w:rsid w:val="1E20ACDB"/>
    <w:rsid w:val="1E217EE4"/>
    <w:rsid w:val="1E2191A0"/>
    <w:rsid w:val="1E24E53F"/>
    <w:rsid w:val="1E253595"/>
    <w:rsid w:val="1E256CB3"/>
    <w:rsid w:val="1E279F45"/>
    <w:rsid w:val="1E28C783"/>
    <w:rsid w:val="1E2D3BFE"/>
    <w:rsid w:val="1E2DCD7E"/>
    <w:rsid w:val="1E2E1222"/>
    <w:rsid w:val="1E30C2BD"/>
    <w:rsid w:val="1E3135CB"/>
    <w:rsid w:val="1E317401"/>
    <w:rsid w:val="1E317BB3"/>
    <w:rsid w:val="1E32365B"/>
    <w:rsid w:val="1E346A48"/>
    <w:rsid w:val="1E34FA8F"/>
    <w:rsid w:val="1E354236"/>
    <w:rsid w:val="1E36143F"/>
    <w:rsid w:val="1E3718E8"/>
    <w:rsid w:val="1E373880"/>
    <w:rsid w:val="1E38F66F"/>
    <w:rsid w:val="1E3996FF"/>
    <w:rsid w:val="1E3A0FC9"/>
    <w:rsid w:val="1E3A9E0F"/>
    <w:rsid w:val="1E3AF0DE"/>
    <w:rsid w:val="1E3CEC1C"/>
    <w:rsid w:val="1E3E8166"/>
    <w:rsid w:val="1E4186BE"/>
    <w:rsid w:val="1E485A16"/>
    <w:rsid w:val="1E4DCE41"/>
    <w:rsid w:val="1E4E06AD"/>
    <w:rsid w:val="1E4F440E"/>
    <w:rsid w:val="1E5129E2"/>
    <w:rsid w:val="1E5156A4"/>
    <w:rsid w:val="1E5219B7"/>
    <w:rsid w:val="1E531F5C"/>
    <w:rsid w:val="1E5346A6"/>
    <w:rsid w:val="1E545DA9"/>
    <w:rsid w:val="1E558B69"/>
    <w:rsid w:val="1E578418"/>
    <w:rsid w:val="1E5850EE"/>
    <w:rsid w:val="1E599A3E"/>
    <w:rsid w:val="1E5DAF65"/>
    <w:rsid w:val="1E5EB26D"/>
    <w:rsid w:val="1E5EF0FB"/>
    <w:rsid w:val="1E605F4B"/>
    <w:rsid w:val="1E60E3B1"/>
    <w:rsid w:val="1E6870A6"/>
    <w:rsid w:val="1E69AC42"/>
    <w:rsid w:val="1E6A0598"/>
    <w:rsid w:val="1E6D3F88"/>
    <w:rsid w:val="1E6DA4A9"/>
    <w:rsid w:val="1E74B9DC"/>
    <w:rsid w:val="1E783C11"/>
    <w:rsid w:val="1E78A3FA"/>
    <w:rsid w:val="1E78DB91"/>
    <w:rsid w:val="1E79A328"/>
    <w:rsid w:val="1E79B38E"/>
    <w:rsid w:val="1E7AC377"/>
    <w:rsid w:val="1E7F0BE2"/>
    <w:rsid w:val="1E7F1D6F"/>
    <w:rsid w:val="1E83B42E"/>
    <w:rsid w:val="1E8470AA"/>
    <w:rsid w:val="1E848B51"/>
    <w:rsid w:val="1E858091"/>
    <w:rsid w:val="1E858D2B"/>
    <w:rsid w:val="1E8C1B38"/>
    <w:rsid w:val="1E8C8135"/>
    <w:rsid w:val="1E8EDB47"/>
    <w:rsid w:val="1E8F75E6"/>
    <w:rsid w:val="1E930AC4"/>
    <w:rsid w:val="1E94B569"/>
    <w:rsid w:val="1E9A49F2"/>
    <w:rsid w:val="1E9D02B9"/>
    <w:rsid w:val="1E9E0C9C"/>
    <w:rsid w:val="1E9E24E7"/>
    <w:rsid w:val="1E9FD5CA"/>
    <w:rsid w:val="1EA6C0BA"/>
    <w:rsid w:val="1EA88555"/>
    <w:rsid w:val="1EA9A1E8"/>
    <w:rsid w:val="1EA9A286"/>
    <w:rsid w:val="1EAE279F"/>
    <w:rsid w:val="1EB07D25"/>
    <w:rsid w:val="1EB0FD10"/>
    <w:rsid w:val="1EB2C7CF"/>
    <w:rsid w:val="1EB41A69"/>
    <w:rsid w:val="1EB4D660"/>
    <w:rsid w:val="1EB69E90"/>
    <w:rsid w:val="1EB7B38A"/>
    <w:rsid w:val="1EB7E766"/>
    <w:rsid w:val="1EB8036F"/>
    <w:rsid w:val="1EB8C10E"/>
    <w:rsid w:val="1EB96D20"/>
    <w:rsid w:val="1EBB5AD9"/>
    <w:rsid w:val="1EBBD60A"/>
    <w:rsid w:val="1EBD0333"/>
    <w:rsid w:val="1EBFFC87"/>
    <w:rsid w:val="1EC05F30"/>
    <w:rsid w:val="1EC082EE"/>
    <w:rsid w:val="1EC2F5AF"/>
    <w:rsid w:val="1EC3D9DF"/>
    <w:rsid w:val="1EC7263B"/>
    <w:rsid w:val="1EC8D23E"/>
    <w:rsid w:val="1EC928D6"/>
    <w:rsid w:val="1ECA4C19"/>
    <w:rsid w:val="1ECB6570"/>
    <w:rsid w:val="1ECCB1B8"/>
    <w:rsid w:val="1ECD516C"/>
    <w:rsid w:val="1ECF70FC"/>
    <w:rsid w:val="1ECF9B8E"/>
    <w:rsid w:val="1ECFFE84"/>
    <w:rsid w:val="1ED1CA3A"/>
    <w:rsid w:val="1ED2DCB5"/>
    <w:rsid w:val="1ED6A7A2"/>
    <w:rsid w:val="1ED6D8F7"/>
    <w:rsid w:val="1EE0808D"/>
    <w:rsid w:val="1EE3FBCA"/>
    <w:rsid w:val="1EE508B8"/>
    <w:rsid w:val="1EE7CF1E"/>
    <w:rsid w:val="1EED4793"/>
    <w:rsid w:val="1EEE3A06"/>
    <w:rsid w:val="1EEEAC4B"/>
    <w:rsid w:val="1EF40FA2"/>
    <w:rsid w:val="1EF63039"/>
    <w:rsid w:val="1EF6ECA8"/>
    <w:rsid w:val="1EFA2D4E"/>
    <w:rsid w:val="1F03D26B"/>
    <w:rsid w:val="1F04DA96"/>
    <w:rsid w:val="1F068A3C"/>
    <w:rsid w:val="1F071B2D"/>
    <w:rsid w:val="1F0A972A"/>
    <w:rsid w:val="1F0E4215"/>
    <w:rsid w:val="1F0FC07D"/>
    <w:rsid w:val="1F137ED6"/>
    <w:rsid w:val="1F15B7AA"/>
    <w:rsid w:val="1F191B90"/>
    <w:rsid w:val="1F1B725B"/>
    <w:rsid w:val="1F1D2976"/>
    <w:rsid w:val="1F1E25B6"/>
    <w:rsid w:val="1F1F887F"/>
    <w:rsid w:val="1F21B60D"/>
    <w:rsid w:val="1F225287"/>
    <w:rsid w:val="1F2288FF"/>
    <w:rsid w:val="1F228D4C"/>
    <w:rsid w:val="1F2291B5"/>
    <w:rsid w:val="1F231305"/>
    <w:rsid w:val="1F2415AD"/>
    <w:rsid w:val="1F249153"/>
    <w:rsid w:val="1F24B8ED"/>
    <w:rsid w:val="1F2502B3"/>
    <w:rsid w:val="1F278062"/>
    <w:rsid w:val="1F29D3C6"/>
    <w:rsid w:val="1F2D0F37"/>
    <w:rsid w:val="1F2FEA34"/>
    <w:rsid w:val="1F304310"/>
    <w:rsid w:val="1F327522"/>
    <w:rsid w:val="1F32AA9B"/>
    <w:rsid w:val="1F34BD44"/>
    <w:rsid w:val="1F34E8AE"/>
    <w:rsid w:val="1F36C46E"/>
    <w:rsid w:val="1F36D575"/>
    <w:rsid w:val="1F3BA513"/>
    <w:rsid w:val="1F3D350C"/>
    <w:rsid w:val="1F3EC185"/>
    <w:rsid w:val="1F40A42C"/>
    <w:rsid w:val="1F424455"/>
    <w:rsid w:val="1F439AEE"/>
    <w:rsid w:val="1F45BDBC"/>
    <w:rsid w:val="1F48F911"/>
    <w:rsid w:val="1F4B406E"/>
    <w:rsid w:val="1F4BF3B2"/>
    <w:rsid w:val="1F4D4EE7"/>
    <w:rsid w:val="1F4F2C56"/>
    <w:rsid w:val="1F4FDB6F"/>
    <w:rsid w:val="1F50D20D"/>
    <w:rsid w:val="1F52EE3F"/>
    <w:rsid w:val="1F568549"/>
    <w:rsid w:val="1F56F09A"/>
    <w:rsid w:val="1F56F284"/>
    <w:rsid w:val="1F57D87D"/>
    <w:rsid w:val="1F5900A4"/>
    <w:rsid w:val="1F59F4B6"/>
    <w:rsid w:val="1F5AF082"/>
    <w:rsid w:val="1F62C212"/>
    <w:rsid w:val="1F63EAAD"/>
    <w:rsid w:val="1F65A991"/>
    <w:rsid w:val="1F6741F6"/>
    <w:rsid w:val="1F6981F1"/>
    <w:rsid w:val="1F6B2359"/>
    <w:rsid w:val="1F6CFC28"/>
    <w:rsid w:val="1F6E317B"/>
    <w:rsid w:val="1F720AA6"/>
    <w:rsid w:val="1F728B87"/>
    <w:rsid w:val="1F73566D"/>
    <w:rsid w:val="1F737C06"/>
    <w:rsid w:val="1F73B503"/>
    <w:rsid w:val="1F750A9D"/>
    <w:rsid w:val="1F7611A3"/>
    <w:rsid w:val="1F777048"/>
    <w:rsid w:val="1F7907EC"/>
    <w:rsid w:val="1F7980CE"/>
    <w:rsid w:val="1F7BA57B"/>
    <w:rsid w:val="1F7BE0E4"/>
    <w:rsid w:val="1F7CEA97"/>
    <w:rsid w:val="1F8418D3"/>
    <w:rsid w:val="1F84896C"/>
    <w:rsid w:val="1F885F7D"/>
    <w:rsid w:val="1F8A3111"/>
    <w:rsid w:val="1F8ACBC9"/>
    <w:rsid w:val="1F8BD929"/>
    <w:rsid w:val="1F8BEA2C"/>
    <w:rsid w:val="1F8FFB86"/>
    <w:rsid w:val="1F91A1C0"/>
    <w:rsid w:val="1F91AD80"/>
    <w:rsid w:val="1F92063E"/>
    <w:rsid w:val="1F924FB4"/>
    <w:rsid w:val="1F927B5E"/>
    <w:rsid w:val="1F9292FD"/>
    <w:rsid w:val="1F93651E"/>
    <w:rsid w:val="1F9421C5"/>
    <w:rsid w:val="1F9451BC"/>
    <w:rsid w:val="1F9504C9"/>
    <w:rsid w:val="1F9542E9"/>
    <w:rsid w:val="1F95C935"/>
    <w:rsid w:val="1F978A16"/>
    <w:rsid w:val="1F98FA45"/>
    <w:rsid w:val="1F990456"/>
    <w:rsid w:val="1F99B046"/>
    <w:rsid w:val="1F9A0FEB"/>
    <w:rsid w:val="1F9A4B08"/>
    <w:rsid w:val="1F9AABA2"/>
    <w:rsid w:val="1F9F7BF5"/>
    <w:rsid w:val="1FA44503"/>
    <w:rsid w:val="1FA4C3A1"/>
    <w:rsid w:val="1FA50825"/>
    <w:rsid w:val="1FA5DBC9"/>
    <w:rsid w:val="1FA81511"/>
    <w:rsid w:val="1FA98098"/>
    <w:rsid w:val="1FAC3A0D"/>
    <w:rsid w:val="1FAE2FDF"/>
    <w:rsid w:val="1FAE6829"/>
    <w:rsid w:val="1FAF5C90"/>
    <w:rsid w:val="1FAF6A19"/>
    <w:rsid w:val="1FAF7200"/>
    <w:rsid w:val="1FB0F585"/>
    <w:rsid w:val="1FB2C7BE"/>
    <w:rsid w:val="1FB2D623"/>
    <w:rsid w:val="1FB41F28"/>
    <w:rsid w:val="1FB47B0B"/>
    <w:rsid w:val="1FB7BFED"/>
    <w:rsid w:val="1FB7C745"/>
    <w:rsid w:val="1FBA6EA5"/>
    <w:rsid w:val="1FBBC333"/>
    <w:rsid w:val="1FBC1509"/>
    <w:rsid w:val="1FBD6299"/>
    <w:rsid w:val="1FBEF75C"/>
    <w:rsid w:val="1FC0454B"/>
    <w:rsid w:val="1FC573AF"/>
    <w:rsid w:val="1FC5A76F"/>
    <w:rsid w:val="1FCB38A9"/>
    <w:rsid w:val="1FCD6110"/>
    <w:rsid w:val="1FCE6BF1"/>
    <w:rsid w:val="1FD12D25"/>
    <w:rsid w:val="1FD45BE6"/>
    <w:rsid w:val="1FD69D89"/>
    <w:rsid w:val="1FD7E9F0"/>
    <w:rsid w:val="1FD82E4D"/>
    <w:rsid w:val="1FD8A530"/>
    <w:rsid w:val="1FD9C2B8"/>
    <w:rsid w:val="1FDD41F5"/>
    <w:rsid w:val="1FE1FB13"/>
    <w:rsid w:val="1FE5FC88"/>
    <w:rsid w:val="1FEA5661"/>
    <w:rsid w:val="1FEAB6FA"/>
    <w:rsid w:val="1FEDD665"/>
    <w:rsid w:val="1FF27012"/>
    <w:rsid w:val="1FF41618"/>
    <w:rsid w:val="1FF451F1"/>
    <w:rsid w:val="1FF4597B"/>
    <w:rsid w:val="1FF46E77"/>
    <w:rsid w:val="1FF54C29"/>
    <w:rsid w:val="1FF62A9C"/>
    <w:rsid w:val="1FFA3667"/>
    <w:rsid w:val="1FFB3192"/>
    <w:rsid w:val="1FFBE660"/>
    <w:rsid w:val="1FFFB673"/>
    <w:rsid w:val="20009330"/>
    <w:rsid w:val="20012CD9"/>
    <w:rsid w:val="2002B9D6"/>
    <w:rsid w:val="20042B57"/>
    <w:rsid w:val="200435A0"/>
    <w:rsid w:val="20051FB5"/>
    <w:rsid w:val="2005E3D0"/>
    <w:rsid w:val="2006C228"/>
    <w:rsid w:val="200755EE"/>
    <w:rsid w:val="2008E217"/>
    <w:rsid w:val="200A6739"/>
    <w:rsid w:val="200EAA7D"/>
    <w:rsid w:val="200F5B56"/>
    <w:rsid w:val="201479BA"/>
    <w:rsid w:val="2014EE8C"/>
    <w:rsid w:val="20166180"/>
    <w:rsid w:val="201791AB"/>
    <w:rsid w:val="201F20F5"/>
    <w:rsid w:val="202264C0"/>
    <w:rsid w:val="20240EE2"/>
    <w:rsid w:val="20258E30"/>
    <w:rsid w:val="2025E1C1"/>
    <w:rsid w:val="2026DDE2"/>
    <w:rsid w:val="20271456"/>
    <w:rsid w:val="20275259"/>
    <w:rsid w:val="202C1189"/>
    <w:rsid w:val="202E6661"/>
    <w:rsid w:val="202F3257"/>
    <w:rsid w:val="202FA992"/>
    <w:rsid w:val="20330568"/>
    <w:rsid w:val="20335091"/>
    <w:rsid w:val="2039943C"/>
    <w:rsid w:val="203AADCC"/>
    <w:rsid w:val="203B5840"/>
    <w:rsid w:val="203C3945"/>
    <w:rsid w:val="2042C456"/>
    <w:rsid w:val="2043A9C8"/>
    <w:rsid w:val="20467117"/>
    <w:rsid w:val="204BEEEE"/>
    <w:rsid w:val="204EAE16"/>
    <w:rsid w:val="204ED5F0"/>
    <w:rsid w:val="204FBAB6"/>
    <w:rsid w:val="20528772"/>
    <w:rsid w:val="2052FE3F"/>
    <w:rsid w:val="205384E5"/>
    <w:rsid w:val="20567665"/>
    <w:rsid w:val="20573621"/>
    <w:rsid w:val="20577100"/>
    <w:rsid w:val="2058AB47"/>
    <w:rsid w:val="205986E5"/>
    <w:rsid w:val="2059B9ED"/>
    <w:rsid w:val="205A1C1B"/>
    <w:rsid w:val="2062B421"/>
    <w:rsid w:val="20631C07"/>
    <w:rsid w:val="2067644B"/>
    <w:rsid w:val="20696F93"/>
    <w:rsid w:val="2069F7E4"/>
    <w:rsid w:val="206A17D0"/>
    <w:rsid w:val="206C180C"/>
    <w:rsid w:val="206C51CF"/>
    <w:rsid w:val="206DC6D7"/>
    <w:rsid w:val="206DDCC5"/>
    <w:rsid w:val="206F3C2F"/>
    <w:rsid w:val="20703798"/>
    <w:rsid w:val="2070DE20"/>
    <w:rsid w:val="2071BF9F"/>
    <w:rsid w:val="2075FF25"/>
    <w:rsid w:val="20786FF0"/>
    <w:rsid w:val="2078A0E9"/>
    <w:rsid w:val="20792DA0"/>
    <w:rsid w:val="207CF5A7"/>
    <w:rsid w:val="2080C3DB"/>
    <w:rsid w:val="208147B0"/>
    <w:rsid w:val="2082140F"/>
    <w:rsid w:val="2084E026"/>
    <w:rsid w:val="20851F9F"/>
    <w:rsid w:val="208AA5F7"/>
    <w:rsid w:val="208BCBF8"/>
    <w:rsid w:val="208CDCDF"/>
    <w:rsid w:val="208D0860"/>
    <w:rsid w:val="208FDEA9"/>
    <w:rsid w:val="208FF067"/>
    <w:rsid w:val="2092E329"/>
    <w:rsid w:val="2095274D"/>
    <w:rsid w:val="20961EA4"/>
    <w:rsid w:val="2097416E"/>
    <w:rsid w:val="2099CA8B"/>
    <w:rsid w:val="2099DD8A"/>
    <w:rsid w:val="20A07576"/>
    <w:rsid w:val="20A0E368"/>
    <w:rsid w:val="20A348BA"/>
    <w:rsid w:val="20A4CD98"/>
    <w:rsid w:val="20A4CDD1"/>
    <w:rsid w:val="20A59A57"/>
    <w:rsid w:val="20A6CD8F"/>
    <w:rsid w:val="20A94515"/>
    <w:rsid w:val="20AAEEBD"/>
    <w:rsid w:val="20AC7FC1"/>
    <w:rsid w:val="20ADF125"/>
    <w:rsid w:val="20B0137D"/>
    <w:rsid w:val="20B1F3BC"/>
    <w:rsid w:val="20B37ED4"/>
    <w:rsid w:val="20B67A4D"/>
    <w:rsid w:val="20B6B967"/>
    <w:rsid w:val="20B6BC4B"/>
    <w:rsid w:val="20BF6DC0"/>
    <w:rsid w:val="20C243DD"/>
    <w:rsid w:val="20C3B3FF"/>
    <w:rsid w:val="20C6DCFB"/>
    <w:rsid w:val="20C70D3C"/>
    <w:rsid w:val="20CA51A4"/>
    <w:rsid w:val="20CB9FE3"/>
    <w:rsid w:val="20D269EC"/>
    <w:rsid w:val="20D26A43"/>
    <w:rsid w:val="20D2D7E0"/>
    <w:rsid w:val="20D40580"/>
    <w:rsid w:val="20D4E706"/>
    <w:rsid w:val="20D65B7A"/>
    <w:rsid w:val="20D7688A"/>
    <w:rsid w:val="20D7CE64"/>
    <w:rsid w:val="20DA5D47"/>
    <w:rsid w:val="20DB30C7"/>
    <w:rsid w:val="20DFCB97"/>
    <w:rsid w:val="20E18487"/>
    <w:rsid w:val="20E1C79A"/>
    <w:rsid w:val="20E1FB66"/>
    <w:rsid w:val="20E50664"/>
    <w:rsid w:val="20E742C6"/>
    <w:rsid w:val="20E8F1B1"/>
    <w:rsid w:val="20E9CEF3"/>
    <w:rsid w:val="20EA7469"/>
    <w:rsid w:val="20EABAB4"/>
    <w:rsid w:val="20EB8C9E"/>
    <w:rsid w:val="20ECEE54"/>
    <w:rsid w:val="20ED54DA"/>
    <w:rsid w:val="20EEAA63"/>
    <w:rsid w:val="20EEBAC9"/>
    <w:rsid w:val="20F51942"/>
    <w:rsid w:val="20F84935"/>
    <w:rsid w:val="20F8610D"/>
    <w:rsid w:val="20FA3358"/>
    <w:rsid w:val="20FB27C5"/>
    <w:rsid w:val="20FBE6D8"/>
    <w:rsid w:val="20FBF2BA"/>
    <w:rsid w:val="20FC2B22"/>
    <w:rsid w:val="20FE0B8E"/>
    <w:rsid w:val="21017EE1"/>
    <w:rsid w:val="210574A7"/>
    <w:rsid w:val="21080705"/>
    <w:rsid w:val="2108265D"/>
    <w:rsid w:val="210989A5"/>
    <w:rsid w:val="210A7FB8"/>
    <w:rsid w:val="210B70C8"/>
    <w:rsid w:val="210BEE04"/>
    <w:rsid w:val="210EF826"/>
    <w:rsid w:val="211293D1"/>
    <w:rsid w:val="21148BC2"/>
    <w:rsid w:val="2115B1A2"/>
    <w:rsid w:val="21182208"/>
    <w:rsid w:val="211894E7"/>
    <w:rsid w:val="2118A146"/>
    <w:rsid w:val="211A66B4"/>
    <w:rsid w:val="211C83D1"/>
    <w:rsid w:val="211EBA2C"/>
    <w:rsid w:val="21238E27"/>
    <w:rsid w:val="2124AF08"/>
    <w:rsid w:val="2129C518"/>
    <w:rsid w:val="212A9CDD"/>
    <w:rsid w:val="212DBBCD"/>
    <w:rsid w:val="212F0279"/>
    <w:rsid w:val="212F43E6"/>
    <w:rsid w:val="212FF177"/>
    <w:rsid w:val="212FF226"/>
    <w:rsid w:val="2130BBDE"/>
    <w:rsid w:val="21317EAC"/>
    <w:rsid w:val="2132F126"/>
    <w:rsid w:val="21357B6F"/>
    <w:rsid w:val="21361B81"/>
    <w:rsid w:val="2136CB3F"/>
    <w:rsid w:val="213723C3"/>
    <w:rsid w:val="21379443"/>
    <w:rsid w:val="21382C90"/>
    <w:rsid w:val="2138994A"/>
    <w:rsid w:val="213A601D"/>
    <w:rsid w:val="213AEA1E"/>
    <w:rsid w:val="213B0B8C"/>
    <w:rsid w:val="213E159D"/>
    <w:rsid w:val="213F04D0"/>
    <w:rsid w:val="21450CD7"/>
    <w:rsid w:val="214D0ECB"/>
    <w:rsid w:val="214DE2C1"/>
    <w:rsid w:val="214DE4AD"/>
    <w:rsid w:val="214F44C4"/>
    <w:rsid w:val="214FA6B8"/>
    <w:rsid w:val="21537D38"/>
    <w:rsid w:val="2157E2C4"/>
    <w:rsid w:val="215886FA"/>
    <w:rsid w:val="215B5B67"/>
    <w:rsid w:val="215C3CD3"/>
    <w:rsid w:val="215D0737"/>
    <w:rsid w:val="215D79CF"/>
    <w:rsid w:val="215D9611"/>
    <w:rsid w:val="215DB1A0"/>
    <w:rsid w:val="216AD862"/>
    <w:rsid w:val="216D637C"/>
    <w:rsid w:val="216E5A0D"/>
    <w:rsid w:val="217131F2"/>
    <w:rsid w:val="2171BD27"/>
    <w:rsid w:val="217274E1"/>
    <w:rsid w:val="2174F628"/>
    <w:rsid w:val="2175C756"/>
    <w:rsid w:val="2175E01E"/>
    <w:rsid w:val="21762047"/>
    <w:rsid w:val="2176E0E2"/>
    <w:rsid w:val="21772D15"/>
    <w:rsid w:val="2177C63F"/>
    <w:rsid w:val="2177CC2A"/>
    <w:rsid w:val="2179477A"/>
    <w:rsid w:val="2179ABBF"/>
    <w:rsid w:val="217B79EF"/>
    <w:rsid w:val="217C8AAC"/>
    <w:rsid w:val="217C91E4"/>
    <w:rsid w:val="217E72AE"/>
    <w:rsid w:val="21839D96"/>
    <w:rsid w:val="21861D35"/>
    <w:rsid w:val="2186C6C6"/>
    <w:rsid w:val="2187F78F"/>
    <w:rsid w:val="21884FE4"/>
    <w:rsid w:val="2188ECC2"/>
    <w:rsid w:val="21890310"/>
    <w:rsid w:val="21892D8B"/>
    <w:rsid w:val="2189ACF0"/>
    <w:rsid w:val="21912B6B"/>
    <w:rsid w:val="2191DBB0"/>
    <w:rsid w:val="21924529"/>
    <w:rsid w:val="2192971A"/>
    <w:rsid w:val="21943A66"/>
    <w:rsid w:val="219CAD98"/>
    <w:rsid w:val="219E2E60"/>
    <w:rsid w:val="21A290DE"/>
    <w:rsid w:val="21A429E1"/>
    <w:rsid w:val="21A45A07"/>
    <w:rsid w:val="21A73AD6"/>
    <w:rsid w:val="21A75364"/>
    <w:rsid w:val="21AA42AE"/>
    <w:rsid w:val="21AABF45"/>
    <w:rsid w:val="21AD1CDD"/>
    <w:rsid w:val="21AEE63E"/>
    <w:rsid w:val="21AFBE63"/>
    <w:rsid w:val="21B16E2C"/>
    <w:rsid w:val="21B40C57"/>
    <w:rsid w:val="21B425B5"/>
    <w:rsid w:val="21B5F476"/>
    <w:rsid w:val="21B87D8A"/>
    <w:rsid w:val="21BCCA5E"/>
    <w:rsid w:val="21BDF1AA"/>
    <w:rsid w:val="21BDFA9A"/>
    <w:rsid w:val="21BE492D"/>
    <w:rsid w:val="21C076C3"/>
    <w:rsid w:val="21C6DEC6"/>
    <w:rsid w:val="21C72409"/>
    <w:rsid w:val="21C779B6"/>
    <w:rsid w:val="21C7F803"/>
    <w:rsid w:val="21C85BBA"/>
    <w:rsid w:val="21CA19BF"/>
    <w:rsid w:val="21CA94AF"/>
    <w:rsid w:val="21CB5697"/>
    <w:rsid w:val="21CB689B"/>
    <w:rsid w:val="21CB99CC"/>
    <w:rsid w:val="21CCBDA4"/>
    <w:rsid w:val="21CF9C2D"/>
    <w:rsid w:val="21D12D9B"/>
    <w:rsid w:val="21D3772C"/>
    <w:rsid w:val="21D37DB1"/>
    <w:rsid w:val="21D3A6AB"/>
    <w:rsid w:val="21D6AEAA"/>
    <w:rsid w:val="21D6B6CB"/>
    <w:rsid w:val="21D7488F"/>
    <w:rsid w:val="21D8CFB9"/>
    <w:rsid w:val="21DA3C4F"/>
    <w:rsid w:val="21DC4D16"/>
    <w:rsid w:val="21DC5822"/>
    <w:rsid w:val="21DCA8C9"/>
    <w:rsid w:val="21DF7540"/>
    <w:rsid w:val="21DFBF63"/>
    <w:rsid w:val="21E26531"/>
    <w:rsid w:val="21E3CE5B"/>
    <w:rsid w:val="21E495DE"/>
    <w:rsid w:val="21E5DCC4"/>
    <w:rsid w:val="21F127F1"/>
    <w:rsid w:val="21F40677"/>
    <w:rsid w:val="21FA0E7C"/>
    <w:rsid w:val="21FA5122"/>
    <w:rsid w:val="21FA8BF6"/>
    <w:rsid w:val="21FBAF97"/>
    <w:rsid w:val="21FC33E5"/>
    <w:rsid w:val="21FD8A12"/>
    <w:rsid w:val="21FE4E44"/>
    <w:rsid w:val="2201FBAD"/>
    <w:rsid w:val="220238F7"/>
    <w:rsid w:val="220258C1"/>
    <w:rsid w:val="22034E86"/>
    <w:rsid w:val="22094FE1"/>
    <w:rsid w:val="2209CF65"/>
    <w:rsid w:val="220ABAA4"/>
    <w:rsid w:val="220D2D53"/>
    <w:rsid w:val="220DAE76"/>
    <w:rsid w:val="220F882D"/>
    <w:rsid w:val="221474AB"/>
    <w:rsid w:val="22156040"/>
    <w:rsid w:val="2216591F"/>
    <w:rsid w:val="2218D694"/>
    <w:rsid w:val="221A5329"/>
    <w:rsid w:val="221AABF0"/>
    <w:rsid w:val="221B4EAC"/>
    <w:rsid w:val="221C7898"/>
    <w:rsid w:val="221F2C8C"/>
    <w:rsid w:val="22200D48"/>
    <w:rsid w:val="22207B3B"/>
    <w:rsid w:val="2223BB0D"/>
    <w:rsid w:val="2227B243"/>
    <w:rsid w:val="2227D267"/>
    <w:rsid w:val="2228C5C7"/>
    <w:rsid w:val="2228EAC7"/>
    <w:rsid w:val="2229E758"/>
    <w:rsid w:val="222B492E"/>
    <w:rsid w:val="222D92D3"/>
    <w:rsid w:val="2232E793"/>
    <w:rsid w:val="2234E3DE"/>
    <w:rsid w:val="22350D0B"/>
    <w:rsid w:val="22377522"/>
    <w:rsid w:val="2238C96E"/>
    <w:rsid w:val="2239DEE7"/>
    <w:rsid w:val="223B3557"/>
    <w:rsid w:val="223DCE2F"/>
    <w:rsid w:val="223E3A2A"/>
    <w:rsid w:val="223F4808"/>
    <w:rsid w:val="223F6E01"/>
    <w:rsid w:val="224192DE"/>
    <w:rsid w:val="2241961B"/>
    <w:rsid w:val="22430BD3"/>
    <w:rsid w:val="2243435D"/>
    <w:rsid w:val="22456D27"/>
    <w:rsid w:val="224A2C7E"/>
    <w:rsid w:val="224C3831"/>
    <w:rsid w:val="2250D379"/>
    <w:rsid w:val="2250DECC"/>
    <w:rsid w:val="22511D20"/>
    <w:rsid w:val="22552ADD"/>
    <w:rsid w:val="2255E27F"/>
    <w:rsid w:val="2256C7C4"/>
    <w:rsid w:val="22573A50"/>
    <w:rsid w:val="2257542D"/>
    <w:rsid w:val="225AFA5D"/>
    <w:rsid w:val="225B1503"/>
    <w:rsid w:val="225B199B"/>
    <w:rsid w:val="225D5673"/>
    <w:rsid w:val="225EB9EF"/>
    <w:rsid w:val="225F1CF5"/>
    <w:rsid w:val="225F23DD"/>
    <w:rsid w:val="2265070A"/>
    <w:rsid w:val="226715AC"/>
    <w:rsid w:val="22674936"/>
    <w:rsid w:val="22695D82"/>
    <w:rsid w:val="2269847B"/>
    <w:rsid w:val="226AA7B3"/>
    <w:rsid w:val="226C5105"/>
    <w:rsid w:val="226DA9E3"/>
    <w:rsid w:val="227110EA"/>
    <w:rsid w:val="22716544"/>
    <w:rsid w:val="2271AE5C"/>
    <w:rsid w:val="2272C435"/>
    <w:rsid w:val="2275232F"/>
    <w:rsid w:val="22766215"/>
    <w:rsid w:val="22767A7E"/>
    <w:rsid w:val="2276B29B"/>
    <w:rsid w:val="227D3095"/>
    <w:rsid w:val="227F47CB"/>
    <w:rsid w:val="2280DEB7"/>
    <w:rsid w:val="22818641"/>
    <w:rsid w:val="2281BD9A"/>
    <w:rsid w:val="2282B7FB"/>
    <w:rsid w:val="2284C4B5"/>
    <w:rsid w:val="22863C5D"/>
    <w:rsid w:val="2287802D"/>
    <w:rsid w:val="2289051F"/>
    <w:rsid w:val="228B917D"/>
    <w:rsid w:val="228EC2EC"/>
    <w:rsid w:val="229292BB"/>
    <w:rsid w:val="2294D575"/>
    <w:rsid w:val="2294EA97"/>
    <w:rsid w:val="2297F5D6"/>
    <w:rsid w:val="2299E048"/>
    <w:rsid w:val="229DA438"/>
    <w:rsid w:val="229F587E"/>
    <w:rsid w:val="22A032D9"/>
    <w:rsid w:val="22A22BD2"/>
    <w:rsid w:val="22AA03DD"/>
    <w:rsid w:val="22AA4459"/>
    <w:rsid w:val="22AAF09B"/>
    <w:rsid w:val="22AB8B22"/>
    <w:rsid w:val="22AE6432"/>
    <w:rsid w:val="22B34CA1"/>
    <w:rsid w:val="22B64131"/>
    <w:rsid w:val="22B671EF"/>
    <w:rsid w:val="22B8639F"/>
    <w:rsid w:val="22B9E185"/>
    <w:rsid w:val="22BA2350"/>
    <w:rsid w:val="22BB85F9"/>
    <w:rsid w:val="22BE511A"/>
    <w:rsid w:val="22BE78B6"/>
    <w:rsid w:val="22BFC573"/>
    <w:rsid w:val="22C11388"/>
    <w:rsid w:val="22C12C5A"/>
    <w:rsid w:val="22C1E71A"/>
    <w:rsid w:val="22C46151"/>
    <w:rsid w:val="22C74A03"/>
    <w:rsid w:val="22C91716"/>
    <w:rsid w:val="22CB3DE3"/>
    <w:rsid w:val="22D38779"/>
    <w:rsid w:val="22D42C22"/>
    <w:rsid w:val="22DCB5DA"/>
    <w:rsid w:val="22DDB90C"/>
    <w:rsid w:val="22DE49FD"/>
    <w:rsid w:val="22DEF2F0"/>
    <w:rsid w:val="22E0B0FF"/>
    <w:rsid w:val="22E2726D"/>
    <w:rsid w:val="22E33C9B"/>
    <w:rsid w:val="22EB728C"/>
    <w:rsid w:val="22EBF7FF"/>
    <w:rsid w:val="22EDD873"/>
    <w:rsid w:val="22EE2693"/>
    <w:rsid w:val="22EE3651"/>
    <w:rsid w:val="22EE9C18"/>
    <w:rsid w:val="22EEAA92"/>
    <w:rsid w:val="22F18F4F"/>
    <w:rsid w:val="22F5CD81"/>
    <w:rsid w:val="22F69B1F"/>
    <w:rsid w:val="22F73AB1"/>
    <w:rsid w:val="22F9E23B"/>
    <w:rsid w:val="22FAABAB"/>
    <w:rsid w:val="22FF395C"/>
    <w:rsid w:val="230067D6"/>
    <w:rsid w:val="23007326"/>
    <w:rsid w:val="230296B2"/>
    <w:rsid w:val="230317A0"/>
    <w:rsid w:val="23036AF5"/>
    <w:rsid w:val="230457AA"/>
    <w:rsid w:val="2307DC08"/>
    <w:rsid w:val="2307F916"/>
    <w:rsid w:val="2307FDCE"/>
    <w:rsid w:val="23093C17"/>
    <w:rsid w:val="2309B9CF"/>
    <w:rsid w:val="230AFBBD"/>
    <w:rsid w:val="230DB8CC"/>
    <w:rsid w:val="230E0F32"/>
    <w:rsid w:val="2310EF2A"/>
    <w:rsid w:val="23115469"/>
    <w:rsid w:val="2312FC40"/>
    <w:rsid w:val="2313F9CD"/>
    <w:rsid w:val="231428A3"/>
    <w:rsid w:val="2315CA83"/>
    <w:rsid w:val="23165AFA"/>
    <w:rsid w:val="23170749"/>
    <w:rsid w:val="231A9C98"/>
    <w:rsid w:val="231B9D7F"/>
    <w:rsid w:val="231C1935"/>
    <w:rsid w:val="231C9E48"/>
    <w:rsid w:val="231CFE5D"/>
    <w:rsid w:val="23206807"/>
    <w:rsid w:val="23284614"/>
    <w:rsid w:val="23296B1E"/>
    <w:rsid w:val="23299D92"/>
    <w:rsid w:val="232A3193"/>
    <w:rsid w:val="232BA62C"/>
    <w:rsid w:val="232C6423"/>
    <w:rsid w:val="232DD858"/>
    <w:rsid w:val="232EBB5F"/>
    <w:rsid w:val="233273AF"/>
    <w:rsid w:val="233478AB"/>
    <w:rsid w:val="233547B6"/>
    <w:rsid w:val="2337E2E2"/>
    <w:rsid w:val="233D0021"/>
    <w:rsid w:val="233E60FE"/>
    <w:rsid w:val="233EFD66"/>
    <w:rsid w:val="233FC792"/>
    <w:rsid w:val="2341D0FF"/>
    <w:rsid w:val="2345FB6C"/>
    <w:rsid w:val="2346575A"/>
    <w:rsid w:val="2346D246"/>
    <w:rsid w:val="2349FD46"/>
    <w:rsid w:val="234AC9FE"/>
    <w:rsid w:val="234B534F"/>
    <w:rsid w:val="234BBAD5"/>
    <w:rsid w:val="234F1D63"/>
    <w:rsid w:val="23524272"/>
    <w:rsid w:val="23560A08"/>
    <w:rsid w:val="235735EF"/>
    <w:rsid w:val="2358BE1F"/>
    <w:rsid w:val="23599F2B"/>
    <w:rsid w:val="2359DE99"/>
    <w:rsid w:val="235B8BD4"/>
    <w:rsid w:val="235B8ECD"/>
    <w:rsid w:val="235CBFA7"/>
    <w:rsid w:val="235CCEB8"/>
    <w:rsid w:val="235CDA29"/>
    <w:rsid w:val="235D00E8"/>
    <w:rsid w:val="235EA1BD"/>
    <w:rsid w:val="2360277F"/>
    <w:rsid w:val="236153B3"/>
    <w:rsid w:val="2362C121"/>
    <w:rsid w:val="2362EEF5"/>
    <w:rsid w:val="2363108C"/>
    <w:rsid w:val="2364454F"/>
    <w:rsid w:val="2366E3C4"/>
    <w:rsid w:val="23698FD5"/>
    <w:rsid w:val="236A0CF8"/>
    <w:rsid w:val="236C53C4"/>
    <w:rsid w:val="236D7DFE"/>
    <w:rsid w:val="236E7C82"/>
    <w:rsid w:val="23713513"/>
    <w:rsid w:val="23734A3A"/>
    <w:rsid w:val="2373645B"/>
    <w:rsid w:val="2374AD55"/>
    <w:rsid w:val="2374E6D0"/>
    <w:rsid w:val="2374EB88"/>
    <w:rsid w:val="2376712B"/>
    <w:rsid w:val="23783B7A"/>
    <w:rsid w:val="23796458"/>
    <w:rsid w:val="237B7B57"/>
    <w:rsid w:val="237CC7E2"/>
    <w:rsid w:val="237CE308"/>
    <w:rsid w:val="237CE678"/>
    <w:rsid w:val="237D0DDC"/>
    <w:rsid w:val="237D50F5"/>
    <w:rsid w:val="237E34A7"/>
    <w:rsid w:val="237F1224"/>
    <w:rsid w:val="23803698"/>
    <w:rsid w:val="2381B700"/>
    <w:rsid w:val="238344FA"/>
    <w:rsid w:val="238367DF"/>
    <w:rsid w:val="238398F6"/>
    <w:rsid w:val="23857776"/>
    <w:rsid w:val="2388B4A5"/>
    <w:rsid w:val="238B3E66"/>
    <w:rsid w:val="238CBA3F"/>
    <w:rsid w:val="238E4DF4"/>
    <w:rsid w:val="238F53DF"/>
    <w:rsid w:val="23919836"/>
    <w:rsid w:val="23928CAC"/>
    <w:rsid w:val="2393983F"/>
    <w:rsid w:val="23947ACA"/>
    <w:rsid w:val="2396346F"/>
    <w:rsid w:val="2396D375"/>
    <w:rsid w:val="2398D805"/>
    <w:rsid w:val="23999161"/>
    <w:rsid w:val="2399A849"/>
    <w:rsid w:val="239B477C"/>
    <w:rsid w:val="239BE4E7"/>
    <w:rsid w:val="239CFBE8"/>
    <w:rsid w:val="239DA230"/>
    <w:rsid w:val="239DB890"/>
    <w:rsid w:val="23A3BDF5"/>
    <w:rsid w:val="23A78BB9"/>
    <w:rsid w:val="23AA56D3"/>
    <w:rsid w:val="23AB6E89"/>
    <w:rsid w:val="23AEA1FE"/>
    <w:rsid w:val="23AED979"/>
    <w:rsid w:val="23B04C0C"/>
    <w:rsid w:val="23B1D0EB"/>
    <w:rsid w:val="23B4DD88"/>
    <w:rsid w:val="23B543D9"/>
    <w:rsid w:val="23B5DEDD"/>
    <w:rsid w:val="23B768BA"/>
    <w:rsid w:val="23B903C0"/>
    <w:rsid w:val="23BA73C9"/>
    <w:rsid w:val="23BDC8F4"/>
    <w:rsid w:val="23BE0288"/>
    <w:rsid w:val="23BEBCC9"/>
    <w:rsid w:val="23BF9FC2"/>
    <w:rsid w:val="23C0EE82"/>
    <w:rsid w:val="23C1BDDE"/>
    <w:rsid w:val="23C3C802"/>
    <w:rsid w:val="23C54A68"/>
    <w:rsid w:val="23C6B699"/>
    <w:rsid w:val="23C7DB01"/>
    <w:rsid w:val="23C84A75"/>
    <w:rsid w:val="23C9EF71"/>
    <w:rsid w:val="23CA04AB"/>
    <w:rsid w:val="23CF46D5"/>
    <w:rsid w:val="23D51B64"/>
    <w:rsid w:val="23D97760"/>
    <w:rsid w:val="23D9FA38"/>
    <w:rsid w:val="23DA41E5"/>
    <w:rsid w:val="23DC452F"/>
    <w:rsid w:val="23DDFA2F"/>
    <w:rsid w:val="23DF13BE"/>
    <w:rsid w:val="23E08F8A"/>
    <w:rsid w:val="23E14E34"/>
    <w:rsid w:val="23E1FED0"/>
    <w:rsid w:val="23E22A08"/>
    <w:rsid w:val="23E22E44"/>
    <w:rsid w:val="23E34D94"/>
    <w:rsid w:val="23E47F48"/>
    <w:rsid w:val="23E6786F"/>
    <w:rsid w:val="23E93D1D"/>
    <w:rsid w:val="23E9A78F"/>
    <w:rsid w:val="23EB0AD2"/>
    <w:rsid w:val="23EC6E93"/>
    <w:rsid w:val="23EDB88C"/>
    <w:rsid w:val="23EE86E7"/>
    <w:rsid w:val="23EF1B05"/>
    <w:rsid w:val="23EF79C6"/>
    <w:rsid w:val="23EFA466"/>
    <w:rsid w:val="23F07860"/>
    <w:rsid w:val="23F08518"/>
    <w:rsid w:val="23F0E0A7"/>
    <w:rsid w:val="23F11B91"/>
    <w:rsid w:val="23F26D69"/>
    <w:rsid w:val="23F80CB3"/>
    <w:rsid w:val="23F93434"/>
    <w:rsid w:val="23F99AE5"/>
    <w:rsid w:val="23FA685E"/>
    <w:rsid w:val="23FDB052"/>
    <w:rsid w:val="23FE0E56"/>
    <w:rsid w:val="24053F99"/>
    <w:rsid w:val="24062B96"/>
    <w:rsid w:val="24065F57"/>
    <w:rsid w:val="240C4A38"/>
    <w:rsid w:val="240CA4A2"/>
    <w:rsid w:val="240E9A22"/>
    <w:rsid w:val="240EC097"/>
    <w:rsid w:val="241231B5"/>
    <w:rsid w:val="24140C09"/>
    <w:rsid w:val="241411B8"/>
    <w:rsid w:val="2414D2F6"/>
    <w:rsid w:val="24156C1D"/>
    <w:rsid w:val="2417C737"/>
    <w:rsid w:val="2417D491"/>
    <w:rsid w:val="241898A9"/>
    <w:rsid w:val="241C5CFF"/>
    <w:rsid w:val="241CCB5D"/>
    <w:rsid w:val="24229989"/>
    <w:rsid w:val="24243B79"/>
    <w:rsid w:val="242949CB"/>
    <w:rsid w:val="242A6486"/>
    <w:rsid w:val="242AB308"/>
    <w:rsid w:val="24303AE8"/>
    <w:rsid w:val="24342B6D"/>
    <w:rsid w:val="243508D2"/>
    <w:rsid w:val="2435DEFD"/>
    <w:rsid w:val="24375BD0"/>
    <w:rsid w:val="243A7E4A"/>
    <w:rsid w:val="243CFD64"/>
    <w:rsid w:val="243D1C9C"/>
    <w:rsid w:val="243F41B6"/>
    <w:rsid w:val="2440957F"/>
    <w:rsid w:val="2443854B"/>
    <w:rsid w:val="2446BA96"/>
    <w:rsid w:val="2446FF00"/>
    <w:rsid w:val="2447481F"/>
    <w:rsid w:val="244790CD"/>
    <w:rsid w:val="2448B882"/>
    <w:rsid w:val="2448BED9"/>
    <w:rsid w:val="2449D796"/>
    <w:rsid w:val="244AF344"/>
    <w:rsid w:val="244E276A"/>
    <w:rsid w:val="2451BC00"/>
    <w:rsid w:val="2452827E"/>
    <w:rsid w:val="245550D8"/>
    <w:rsid w:val="245607A4"/>
    <w:rsid w:val="24582691"/>
    <w:rsid w:val="24584746"/>
    <w:rsid w:val="245C4455"/>
    <w:rsid w:val="245E16B2"/>
    <w:rsid w:val="245FB471"/>
    <w:rsid w:val="246057D6"/>
    <w:rsid w:val="24628757"/>
    <w:rsid w:val="2467D0B4"/>
    <w:rsid w:val="2467F74C"/>
    <w:rsid w:val="246BF815"/>
    <w:rsid w:val="2472050D"/>
    <w:rsid w:val="24765996"/>
    <w:rsid w:val="24767E72"/>
    <w:rsid w:val="2478714A"/>
    <w:rsid w:val="2478CDEB"/>
    <w:rsid w:val="2479189D"/>
    <w:rsid w:val="2479DC08"/>
    <w:rsid w:val="2481D41A"/>
    <w:rsid w:val="248270B8"/>
    <w:rsid w:val="24847DF1"/>
    <w:rsid w:val="24853E76"/>
    <w:rsid w:val="248597FC"/>
    <w:rsid w:val="2485D772"/>
    <w:rsid w:val="248AFDA9"/>
    <w:rsid w:val="248B5AC5"/>
    <w:rsid w:val="248D4374"/>
    <w:rsid w:val="248E2DB3"/>
    <w:rsid w:val="248F1DB1"/>
    <w:rsid w:val="248F470D"/>
    <w:rsid w:val="249037F6"/>
    <w:rsid w:val="2493DA9A"/>
    <w:rsid w:val="2495384A"/>
    <w:rsid w:val="24970EDB"/>
    <w:rsid w:val="24980E59"/>
    <w:rsid w:val="249B8E24"/>
    <w:rsid w:val="249C55E3"/>
    <w:rsid w:val="24A336CF"/>
    <w:rsid w:val="24A53B88"/>
    <w:rsid w:val="24A779ED"/>
    <w:rsid w:val="24A7B180"/>
    <w:rsid w:val="24A9DF93"/>
    <w:rsid w:val="24AB108B"/>
    <w:rsid w:val="24AB8953"/>
    <w:rsid w:val="24ABA3A9"/>
    <w:rsid w:val="24ACD7F1"/>
    <w:rsid w:val="24AE7F41"/>
    <w:rsid w:val="24B01705"/>
    <w:rsid w:val="24B0959E"/>
    <w:rsid w:val="24B0B7A0"/>
    <w:rsid w:val="24B1C383"/>
    <w:rsid w:val="24B1F87D"/>
    <w:rsid w:val="24B205AC"/>
    <w:rsid w:val="24B26B72"/>
    <w:rsid w:val="24B2D88F"/>
    <w:rsid w:val="24B523E9"/>
    <w:rsid w:val="24B5ADA2"/>
    <w:rsid w:val="24B5F6AD"/>
    <w:rsid w:val="24BCFD26"/>
    <w:rsid w:val="24BEF5D6"/>
    <w:rsid w:val="24BF3499"/>
    <w:rsid w:val="24BF690F"/>
    <w:rsid w:val="24C049D4"/>
    <w:rsid w:val="24C1E9B7"/>
    <w:rsid w:val="24C1F36D"/>
    <w:rsid w:val="24C5E856"/>
    <w:rsid w:val="24C5ED1A"/>
    <w:rsid w:val="24CAE9BD"/>
    <w:rsid w:val="24CDE56C"/>
    <w:rsid w:val="24CEFE78"/>
    <w:rsid w:val="24D0586D"/>
    <w:rsid w:val="24D2182A"/>
    <w:rsid w:val="24D25E45"/>
    <w:rsid w:val="24D43746"/>
    <w:rsid w:val="24D50BE1"/>
    <w:rsid w:val="24D5A60F"/>
    <w:rsid w:val="24D66BFC"/>
    <w:rsid w:val="24D6DFA2"/>
    <w:rsid w:val="24D8F4DD"/>
    <w:rsid w:val="24D9372A"/>
    <w:rsid w:val="24D99A70"/>
    <w:rsid w:val="24DC7AEE"/>
    <w:rsid w:val="24DCFE21"/>
    <w:rsid w:val="24E05935"/>
    <w:rsid w:val="24E20E74"/>
    <w:rsid w:val="24E21080"/>
    <w:rsid w:val="24E35435"/>
    <w:rsid w:val="24E68E83"/>
    <w:rsid w:val="24E836F4"/>
    <w:rsid w:val="24E84DFA"/>
    <w:rsid w:val="24E93C50"/>
    <w:rsid w:val="24EA9355"/>
    <w:rsid w:val="24EBB772"/>
    <w:rsid w:val="24ED10B4"/>
    <w:rsid w:val="24ED663D"/>
    <w:rsid w:val="24EED94D"/>
    <w:rsid w:val="24F1B0D6"/>
    <w:rsid w:val="24F3B396"/>
    <w:rsid w:val="24F498BF"/>
    <w:rsid w:val="24F6A26B"/>
    <w:rsid w:val="24FEF24A"/>
    <w:rsid w:val="25007435"/>
    <w:rsid w:val="25037160"/>
    <w:rsid w:val="25044F32"/>
    <w:rsid w:val="2504C25F"/>
    <w:rsid w:val="25079CEC"/>
    <w:rsid w:val="2507AECE"/>
    <w:rsid w:val="250A3C52"/>
    <w:rsid w:val="250A7977"/>
    <w:rsid w:val="250AF83B"/>
    <w:rsid w:val="250C371C"/>
    <w:rsid w:val="250F7E77"/>
    <w:rsid w:val="25134065"/>
    <w:rsid w:val="2515D032"/>
    <w:rsid w:val="251AA963"/>
    <w:rsid w:val="251C8871"/>
    <w:rsid w:val="251F1AB3"/>
    <w:rsid w:val="25228982"/>
    <w:rsid w:val="2523792E"/>
    <w:rsid w:val="2525511F"/>
    <w:rsid w:val="252672F5"/>
    <w:rsid w:val="2527EA70"/>
    <w:rsid w:val="25283F24"/>
    <w:rsid w:val="252C0659"/>
    <w:rsid w:val="252E9551"/>
    <w:rsid w:val="2530BB7A"/>
    <w:rsid w:val="2531D4DE"/>
    <w:rsid w:val="2533A711"/>
    <w:rsid w:val="2538AB3F"/>
    <w:rsid w:val="253AFED1"/>
    <w:rsid w:val="253F2938"/>
    <w:rsid w:val="2541CF26"/>
    <w:rsid w:val="25430B25"/>
    <w:rsid w:val="25439AC7"/>
    <w:rsid w:val="2545720D"/>
    <w:rsid w:val="2545FFCE"/>
    <w:rsid w:val="25465B44"/>
    <w:rsid w:val="25473EEA"/>
    <w:rsid w:val="254BEB79"/>
    <w:rsid w:val="254C0023"/>
    <w:rsid w:val="254C9DB9"/>
    <w:rsid w:val="254CEDD5"/>
    <w:rsid w:val="254D4AE3"/>
    <w:rsid w:val="2555503D"/>
    <w:rsid w:val="25565935"/>
    <w:rsid w:val="2557F064"/>
    <w:rsid w:val="2558C1C7"/>
    <w:rsid w:val="2558E30E"/>
    <w:rsid w:val="2559AD22"/>
    <w:rsid w:val="255A38D7"/>
    <w:rsid w:val="25603F58"/>
    <w:rsid w:val="2561FD92"/>
    <w:rsid w:val="2562B466"/>
    <w:rsid w:val="25638E8F"/>
    <w:rsid w:val="25664545"/>
    <w:rsid w:val="25664E64"/>
    <w:rsid w:val="256AC8B2"/>
    <w:rsid w:val="256DEE4D"/>
    <w:rsid w:val="2571A06B"/>
    <w:rsid w:val="25725417"/>
    <w:rsid w:val="2576DE10"/>
    <w:rsid w:val="257E9393"/>
    <w:rsid w:val="25805C62"/>
    <w:rsid w:val="2580EE9A"/>
    <w:rsid w:val="2582A8AD"/>
    <w:rsid w:val="2583DF1E"/>
    <w:rsid w:val="2585AC2E"/>
    <w:rsid w:val="25861168"/>
    <w:rsid w:val="2589BA51"/>
    <w:rsid w:val="258A515F"/>
    <w:rsid w:val="258F02C9"/>
    <w:rsid w:val="258F92EE"/>
    <w:rsid w:val="2594FED9"/>
    <w:rsid w:val="2595BA0A"/>
    <w:rsid w:val="25965AB1"/>
    <w:rsid w:val="2598734E"/>
    <w:rsid w:val="259892EA"/>
    <w:rsid w:val="25990A70"/>
    <w:rsid w:val="259943F4"/>
    <w:rsid w:val="2599B39F"/>
    <w:rsid w:val="259A30DD"/>
    <w:rsid w:val="259A5AC8"/>
    <w:rsid w:val="259F1E27"/>
    <w:rsid w:val="259F6353"/>
    <w:rsid w:val="25A02E5E"/>
    <w:rsid w:val="25A49B4B"/>
    <w:rsid w:val="25A62A0A"/>
    <w:rsid w:val="25A66A0D"/>
    <w:rsid w:val="25A87C11"/>
    <w:rsid w:val="25A9AB8F"/>
    <w:rsid w:val="25AB6BA4"/>
    <w:rsid w:val="25AF4638"/>
    <w:rsid w:val="25B7BB03"/>
    <w:rsid w:val="25B81176"/>
    <w:rsid w:val="25B8EA4F"/>
    <w:rsid w:val="25B93A23"/>
    <w:rsid w:val="25B942D9"/>
    <w:rsid w:val="25BA838E"/>
    <w:rsid w:val="25BA96E5"/>
    <w:rsid w:val="25BB22C9"/>
    <w:rsid w:val="25BC8CA7"/>
    <w:rsid w:val="25BF0187"/>
    <w:rsid w:val="25BF85A8"/>
    <w:rsid w:val="25C14704"/>
    <w:rsid w:val="25C5BFE4"/>
    <w:rsid w:val="25C6748C"/>
    <w:rsid w:val="25C6FABC"/>
    <w:rsid w:val="25CAC1D6"/>
    <w:rsid w:val="25CB5C8F"/>
    <w:rsid w:val="25CBE66C"/>
    <w:rsid w:val="25D0E439"/>
    <w:rsid w:val="25D130D2"/>
    <w:rsid w:val="25D1A876"/>
    <w:rsid w:val="25D39EF4"/>
    <w:rsid w:val="25D78AC9"/>
    <w:rsid w:val="25DE54B0"/>
    <w:rsid w:val="25DE9433"/>
    <w:rsid w:val="25DF7908"/>
    <w:rsid w:val="25E0AFCA"/>
    <w:rsid w:val="25E0C81D"/>
    <w:rsid w:val="25E33358"/>
    <w:rsid w:val="25E43BD5"/>
    <w:rsid w:val="25E5CE63"/>
    <w:rsid w:val="25E5F2B5"/>
    <w:rsid w:val="25E8602C"/>
    <w:rsid w:val="25E8FC02"/>
    <w:rsid w:val="25EA3D68"/>
    <w:rsid w:val="25EADA1C"/>
    <w:rsid w:val="25ED9E04"/>
    <w:rsid w:val="25EE7A0B"/>
    <w:rsid w:val="25EECD1E"/>
    <w:rsid w:val="25F5AA32"/>
    <w:rsid w:val="25F5C068"/>
    <w:rsid w:val="25F91D63"/>
    <w:rsid w:val="25FA088B"/>
    <w:rsid w:val="25FA60C9"/>
    <w:rsid w:val="25FB0D64"/>
    <w:rsid w:val="25FB6DF1"/>
    <w:rsid w:val="25FC46E4"/>
    <w:rsid w:val="25FE4838"/>
    <w:rsid w:val="260A8981"/>
    <w:rsid w:val="260BBD31"/>
    <w:rsid w:val="260DA075"/>
    <w:rsid w:val="26109CE4"/>
    <w:rsid w:val="26149E4C"/>
    <w:rsid w:val="261C7E73"/>
    <w:rsid w:val="261D7E80"/>
    <w:rsid w:val="2621B499"/>
    <w:rsid w:val="26221DCC"/>
    <w:rsid w:val="2625ED16"/>
    <w:rsid w:val="262705F6"/>
    <w:rsid w:val="26275406"/>
    <w:rsid w:val="2627FE04"/>
    <w:rsid w:val="262800EC"/>
    <w:rsid w:val="2628121F"/>
    <w:rsid w:val="2629E682"/>
    <w:rsid w:val="262DF625"/>
    <w:rsid w:val="262DFD22"/>
    <w:rsid w:val="262E99FF"/>
    <w:rsid w:val="26301145"/>
    <w:rsid w:val="2632B159"/>
    <w:rsid w:val="26331A18"/>
    <w:rsid w:val="2635EE94"/>
    <w:rsid w:val="26367E43"/>
    <w:rsid w:val="263C90F8"/>
    <w:rsid w:val="2641DD69"/>
    <w:rsid w:val="2643B5C9"/>
    <w:rsid w:val="2643E0F7"/>
    <w:rsid w:val="26480DB5"/>
    <w:rsid w:val="264811B6"/>
    <w:rsid w:val="264CDB14"/>
    <w:rsid w:val="264D82C2"/>
    <w:rsid w:val="26519B21"/>
    <w:rsid w:val="2653F106"/>
    <w:rsid w:val="2654B79A"/>
    <w:rsid w:val="26557A49"/>
    <w:rsid w:val="265689DC"/>
    <w:rsid w:val="2656E4B7"/>
    <w:rsid w:val="2657DA2D"/>
    <w:rsid w:val="2659BDB9"/>
    <w:rsid w:val="265B5582"/>
    <w:rsid w:val="265BE4A0"/>
    <w:rsid w:val="26603712"/>
    <w:rsid w:val="2662D148"/>
    <w:rsid w:val="2663E1EC"/>
    <w:rsid w:val="2664F3FC"/>
    <w:rsid w:val="266709CB"/>
    <w:rsid w:val="266763E4"/>
    <w:rsid w:val="26677D84"/>
    <w:rsid w:val="2667A13B"/>
    <w:rsid w:val="2667DE25"/>
    <w:rsid w:val="266941C7"/>
    <w:rsid w:val="2669A058"/>
    <w:rsid w:val="266B9308"/>
    <w:rsid w:val="266C2CC2"/>
    <w:rsid w:val="266D0F1D"/>
    <w:rsid w:val="266DDBB5"/>
    <w:rsid w:val="266FFB8F"/>
    <w:rsid w:val="2675B7C3"/>
    <w:rsid w:val="267D7428"/>
    <w:rsid w:val="267F314E"/>
    <w:rsid w:val="2681B29E"/>
    <w:rsid w:val="268337CC"/>
    <w:rsid w:val="2683612B"/>
    <w:rsid w:val="2683D874"/>
    <w:rsid w:val="2686A322"/>
    <w:rsid w:val="2687DF21"/>
    <w:rsid w:val="268A12EF"/>
    <w:rsid w:val="268E5AAA"/>
    <w:rsid w:val="269061EC"/>
    <w:rsid w:val="2695725A"/>
    <w:rsid w:val="269BD585"/>
    <w:rsid w:val="269D29E8"/>
    <w:rsid w:val="26A3D2FC"/>
    <w:rsid w:val="26A4E26B"/>
    <w:rsid w:val="26A66509"/>
    <w:rsid w:val="26A79B10"/>
    <w:rsid w:val="26AA7927"/>
    <w:rsid w:val="26AB2174"/>
    <w:rsid w:val="26AB4B8E"/>
    <w:rsid w:val="26ABB4BA"/>
    <w:rsid w:val="26AC043A"/>
    <w:rsid w:val="26ACF5A1"/>
    <w:rsid w:val="26AD2024"/>
    <w:rsid w:val="26AF43B9"/>
    <w:rsid w:val="26AF6CB6"/>
    <w:rsid w:val="26AF719A"/>
    <w:rsid w:val="26B642F5"/>
    <w:rsid w:val="26BAA5F8"/>
    <w:rsid w:val="26BBA12E"/>
    <w:rsid w:val="26BBBCFE"/>
    <w:rsid w:val="26C1A498"/>
    <w:rsid w:val="26C1C409"/>
    <w:rsid w:val="26C5619E"/>
    <w:rsid w:val="26C70D32"/>
    <w:rsid w:val="26C7EDA5"/>
    <w:rsid w:val="26C9A4D6"/>
    <w:rsid w:val="26CA543C"/>
    <w:rsid w:val="26CAB3B4"/>
    <w:rsid w:val="26CEB761"/>
    <w:rsid w:val="26CF9727"/>
    <w:rsid w:val="26D0A133"/>
    <w:rsid w:val="26D1D9EF"/>
    <w:rsid w:val="26D62997"/>
    <w:rsid w:val="26D746CD"/>
    <w:rsid w:val="26D8913A"/>
    <w:rsid w:val="26DA950D"/>
    <w:rsid w:val="26DB57AA"/>
    <w:rsid w:val="26DCFAF9"/>
    <w:rsid w:val="26DD1367"/>
    <w:rsid w:val="26E1E3A9"/>
    <w:rsid w:val="26E23414"/>
    <w:rsid w:val="26E6E751"/>
    <w:rsid w:val="26E72679"/>
    <w:rsid w:val="26E74B5C"/>
    <w:rsid w:val="26E78C4E"/>
    <w:rsid w:val="26E840D2"/>
    <w:rsid w:val="26E87C5B"/>
    <w:rsid w:val="26E902CA"/>
    <w:rsid w:val="26E92784"/>
    <w:rsid w:val="26EE29F7"/>
    <w:rsid w:val="26EEB420"/>
    <w:rsid w:val="26EEFBBC"/>
    <w:rsid w:val="26F0F54F"/>
    <w:rsid w:val="26F6B993"/>
    <w:rsid w:val="26F737D5"/>
    <w:rsid w:val="26FA8134"/>
    <w:rsid w:val="26FB44CD"/>
    <w:rsid w:val="26FB7EBA"/>
    <w:rsid w:val="26FBBE4B"/>
    <w:rsid w:val="26FD4F27"/>
    <w:rsid w:val="26FF9214"/>
    <w:rsid w:val="2700BAA5"/>
    <w:rsid w:val="27087CB3"/>
    <w:rsid w:val="27088C86"/>
    <w:rsid w:val="270A468E"/>
    <w:rsid w:val="270A659B"/>
    <w:rsid w:val="270B604D"/>
    <w:rsid w:val="270FC39B"/>
    <w:rsid w:val="27108410"/>
    <w:rsid w:val="2713BCAF"/>
    <w:rsid w:val="2713D0D9"/>
    <w:rsid w:val="2715924F"/>
    <w:rsid w:val="2715BB38"/>
    <w:rsid w:val="27192D31"/>
    <w:rsid w:val="271A5BA9"/>
    <w:rsid w:val="271C0BF5"/>
    <w:rsid w:val="2721AFD9"/>
    <w:rsid w:val="27247067"/>
    <w:rsid w:val="2729AB3A"/>
    <w:rsid w:val="272CDC0F"/>
    <w:rsid w:val="272D26E9"/>
    <w:rsid w:val="272E387E"/>
    <w:rsid w:val="272E4E37"/>
    <w:rsid w:val="2730FEC4"/>
    <w:rsid w:val="2731A6BB"/>
    <w:rsid w:val="273511EB"/>
    <w:rsid w:val="2736439B"/>
    <w:rsid w:val="2736CF3E"/>
    <w:rsid w:val="273DB54B"/>
    <w:rsid w:val="273E8EB8"/>
    <w:rsid w:val="2740032A"/>
    <w:rsid w:val="2741504C"/>
    <w:rsid w:val="27416C61"/>
    <w:rsid w:val="2741937E"/>
    <w:rsid w:val="274458F7"/>
    <w:rsid w:val="2744A009"/>
    <w:rsid w:val="2745A09E"/>
    <w:rsid w:val="274650E8"/>
    <w:rsid w:val="2746BFB0"/>
    <w:rsid w:val="2746F843"/>
    <w:rsid w:val="274A1CD7"/>
    <w:rsid w:val="274C1571"/>
    <w:rsid w:val="274DE0A8"/>
    <w:rsid w:val="274E5306"/>
    <w:rsid w:val="274EF89C"/>
    <w:rsid w:val="275046D2"/>
    <w:rsid w:val="2750C50A"/>
    <w:rsid w:val="2750EE1E"/>
    <w:rsid w:val="275232B6"/>
    <w:rsid w:val="27525C2D"/>
    <w:rsid w:val="2753633A"/>
    <w:rsid w:val="27543BBC"/>
    <w:rsid w:val="27550E6D"/>
    <w:rsid w:val="27570D3B"/>
    <w:rsid w:val="27581A9B"/>
    <w:rsid w:val="2758C4F9"/>
    <w:rsid w:val="27595E6D"/>
    <w:rsid w:val="275A3481"/>
    <w:rsid w:val="275A4F15"/>
    <w:rsid w:val="275CDB54"/>
    <w:rsid w:val="275D617C"/>
    <w:rsid w:val="275E8531"/>
    <w:rsid w:val="275F2173"/>
    <w:rsid w:val="2760242E"/>
    <w:rsid w:val="27611605"/>
    <w:rsid w:val="27631665"/>
    <w:rsid w:val="27672A6F"/>
    <w:rsid w:val="2767F400"/>
    <w:rsid w:val="276AD9FA"/>
    <w:rsid w:val="276B9F28"/>
    <w:rsid w:val="276CDC38"/>
    <w:rsid w:val="276EBD92"/>
    <w:rsid w:val="276FAFC7"/>
    <w:rsid w:val="27704EDA"/>
    <w:rsid w:val="27710A6A"/>
    <w:rsid w:val="2772F048"/>
    <w:rsid w:val="2773B6E5"/>
    <w:rsid w:val="277410EB"/>
    <w:rsid w:val="27796A0E"/>
    <w:rsid w:val="277A2511"/>
    <w:rsid w:val="277ADCC0"/>
    <w:rsid w:val="277C151E"/>
    <w:rsid w:val="277C1AD4"/>
    <w:rsid w:val="27804B70"/>
    <w:rsid w:val="2780B12A"/>
    <w:rsid w:val="2780F11E"/>
    <w:rsid w:val="2781C336"/>
    <w:rsid w:val="278524FB"/>
    <w:rsid w:val="2785259A"/>
    <w:rsid w:val="2785596D"/>
    <w:rsid w:val="2786B41F"/>
    <w:rsid w:val="27890E42"/>
    <w:rsid w:val="27899A21"/>
    <w:rsid w:val="278A2340"/>
    <w:rsid w:val="278B3415"/>
    <w:rsid w:val="278B9FD1"/>
    <w:rsid w:val="278C8C51"/>
    <w:rsid w:val="278D0595"/>
    <w:rsid w:val="278D52A8"/>
    <w:rsid w:val="278DC2E7"/>
    <w:rsid w:val="278E9594"/>
    <w:rsid w:val="278EEA44"/>
    <w:rsid w:val="2791360A"/>
    <w:rsid w:val="2792F7EF"/>
    <w:rsid w:val="27976B8E"/>
    <w:rsid w:val="279845F6"/>
    <w:rsid w:val="2798E0C5"/>
    <w:rsid w:val="2799B78E"/>
    <w:rsid w:val="279C0CBD"/>
    <w:rsid w:val="279C5F3E"/>
    <w:rsid w:val="279C8F0F"/>
    <w:rsid w:val="279ECA30"/>
    <w:rsid w:val="279EDDF8"/>
    <w:rsid w:val="27A03797"/>
    <w:rsid w:val="27A0B09B"/>
    <w:rsid w:val="27A16989"/>
    <w:rsid w:val="27A188B3"/>
    <w:rsid w:val="27A25AE1"/>
    <w:rsid w:val="27A26034"/>
    <w:rsid w:val="27A33824"/>
    <w:rsid w:val="27A44119"/>
    <w:rsid w:val="27A53B10"/>
    <w:rsid w:val="27A59704"/>
    <w:rsid w:val="27AD95BB"/>
    <w:rsid w:val="27AEB5BA"/>
    <w:rsid w:val="27AFE5D3"/>
    <w:rsid w:val="27B76DC6"/>
    <w:rsid w:val="27BA395E"/>
    <w:rsid w:val="27BAD8A3"/>
    <w:rsid w:val="27BB9EE5"/>
    <w:rsid w:val="27BF039F"/>
    <w:rsid w:val="27C23F64"/>
    <w:rsid w:val="27C3096D"/>
    <w:rsid w:val="27C4EEA9"/>
    <w:rsid w:val="27C57A67"/>
    <w:rsid w:val="27C78C06"/>
    <w:rsid w:val="27C94E50"/>
    <w:rsid w:val="27C98D4D"/>
    <w:rsid w:val="27C9CD83"/>
    <w:rsid w:val="27CD942F"/>
    <w:rsid w:val="27CEED47"/>
    <w:rsid w:val="27CEFC68"/>
    <w:rsid w:val="27CF9C9D"/>
    <w:rsid w:val="27D0166A"/>
    <w:rsid w:val="27D03FCA"/>
    <w:rsid w:val="27D12137"/>
    <w:rsid w:val="27D7CA24"/>
    <w:rsid w:val="27DAAE8D"/>
    <w:rsid w:val="27DD3546"/>
    <w:rsid w:val="27DD789B"/>
    <w:rsid w:val="27DDF75E"/>
    <w:rsid w:val="27DE0523"/>
    <w:rsid w:val="27E17561"/>
    <w:rsid w:val="27E2183F"/>
    <w:rsid w:val="27E47375"/>
    <w:rsid w:val="27E5FB07"/>
    <w:rsid w:val="27E75427"/>
    <w:rsid w:val="27ED91E3"/>
    <w:rsid w:val="27F14C07"/>
    <w:rsid w:val="27F1DE1F"/>
    <w:rsid w:val="27F24A37"/>
    <w:rsid w:val="27F25361"/>
    <w:rsid w:val="27F5B077"/>
    <w:rsid w:val="27F6C487"/>
    <w:rsid w:val="27F9C5C9"/>
    <w:rsid w:val="27FB4B43"/>
    <w:rsid w:val="27FE1BEC"/>
    <w:rsid w:val="27FEC513"/>
    <w:rsid w:val="27FFC596"/>
    <w:rsid w:val="27FFE57A"/>
    <w:rsid w:val="28047E0A"/>
    <w:rsid w:val="28057C67"/>
    <w:rsid w:val="2805FB1C"/>
    <w:rsid w:val="2806199E"/>
    <w:rsid w:val="2806C10C"/>
    <w:rsid w:val="28095455"/>
    <w:rsid w:val="28099584"/>
    <w:rsid w:val="280ADE64"/>
    <w:rsid w:val="2810C8A4"/>
    <w:rsid w:val="2810E850"/>
    <w:rsid w:val="2815DA9F"/>
    <w:rsid w:val="2817E70C"/>
    <w:rsid w:val="28186BF8"/>
    <w:rsid w:val="2819E2BD"/>
    <w:rsid w:val="281A05E7"/>
    <w:rsid w:val="281A589E"/>
    <w:rsid w:val="281B14B5"/>
    <w:rsid w:val="281B1B17"/>
    <w:rsid w:val="281BCD39"/>
    <w:rsid w:val="281D3228"/>
    <w:rsid w:val="281E8D07"/>
    <w:rsid w:val="2821F0AE"/>
    <w:rsid w:val="282A5FE3"/>
    <w:rsid w:val="282F4CB5"/>
    <w:rsid w:val="28333E23"/>
    <w:rsid w:val="283408E1"/>
    <w:rsid w:val="2834ABC1"/>
    <w:rsid w:val="2835D654"/>
    <w:rsid w:val="28385E87"/>
    <w:rsid w:val="283B00C3"/>
    <w:rsid w:val="283BB2FD"/>
    <w:rsid w:val="283CB73F"/>
    <w:rsid w:val="2840FB97"/>
    <w:rsid w:val="2841E093"/>
    <w:rsid w:val="2842BFDC"/>
    <w:rsid w:val="2844008C"/>
    <w:rsid w:val="2844DFDE"/>
    <w:rsid w:val="284791AA"/>
    <w:rsid w:val="2848ECBE"/>
    <w:rsid w:val="2851F130"/>
    <w:rsid w:val="28521D9D"/>
    <w:rsid w:val="2853BBA2"/>
    <w:rsid w:val="2854D3E2"/>
    <w:rsid w:val="28556DDE"/>
    <w:rsid w:val="2855AC54"/>
    <w:rsid w:val="2855EE14"/>
    <w:rsid w:val="28577775"/>
    <w:rsid w:val="28592BA9"/>
    <w:rsid w:val="285C2C73"/>
    <w:rsid w:val="2860E063"/>
    <w:rsid w:val="28645847"/>
    <w:rsid w:val="286883D7"/>
    <w:rsid w:val="28699134"/>
    <w:rsid w:val="286A7610"/>
    <w:rsid w:val="286C3907"/>
    <w:rsid w:val="286EE96B"/>
    <w:rsid w:val="286F2F70"/>
    <w:rsid w:val="2871BED4"/>
    <w:rsid w:val="2872E1D0"/>
    <w:rsid w:val="2875B13B"/>
    <w:rsid w:val="28784D4A"/>
    <w:rsid w:val="287C7B4D"/>
    <w:rsid w:val="287EDFAC"/>
    <w:rsid w:val="28807510"/>
    <w:rsid w:val="2882083A"/>
    <w:rsid w:val="28835CAF"/>
    <w:rsid w:val="2883E6C6"/>
    <w:rsid w:val="2887D29E"/>
    <w:rsid w:val="2888326E"/>
    <w:rsid w:val="2888443F"/>
    <w:rsid w:val="2888B481"/>
    <w:rsid w:val="28894036"/>
    <w:rsid w:val="288A3921"/>
    <w:rsid w:val="288B2292"/>
    <w:rsid w:val="288BFFB3"/>
    <w:rsid w:val="28968258"/>
    <w:rsid w:val="28982512"/>
    <w:rsid w:val="289AC526"/>
    <w:rsid w:val="289B4BD6"/>
    <w:rsid w:val="289B8437"/>
    <w:rsid w:val="289BC753"/>
    <w:rsid w:val="289C7CAE"/>
    <w:rsid w:val="289E1DB7"/>
    <w:rsid w:val="28A09F83"/>
    <w:rsid w:val="28A4C8AB"/>
    <w:rsid w:val="28A4DD33"/>
    <w:rsid w:val="28A62569"/>
    <w:rsid w:val="28A69445"/>
    <w:rsid w:val="28A813ED"/>
    <w:rsid w:val="28A8C2B9"/>
    <w:rsid w:val="28AA3955"/>
    <w:rsid w:val="28AA5B7C"/>
    <w:rsid w:val="28AA77C5"/>
    <w:rsid w:val="28B011D4"/>
    <w:rsid w:val="28B1603D"/>
    <w:rsid w:val="28B3941A"/>
    <w:rsid w:val="28B44C67"/>
    <w:rsid w:val="28B4FA2F"/>
    <w:rsid w:val="28B66B97"/>
    <w:rsid w:val="28B71406"/>
    <w:rsid w:val="28B9A68C"/>
    <w:rsid w:val="28BBEE6E"/>
    <w:rsid w:val="28BC89D8"/>
    <w:rsid w:val="28BDD457"/>
    <w:rsid w:val="28BE0821"/>
    <w:rsid w:val="28BED949"/>
    <w:rsid w:val="28C17E4C"/>
    <w:rsid w:val="28C787C1"/>
    <w:rsid w:val="28CA737C"/>
    <w:rsid w:val="28CC9E73"/>
    <w:rsid w:val="28CDA824"/>
    <w:rsid w:val="28D05EA3"/>
    <w:rsid w:val="28D12401"/>
    <w:rsid w:val="28D3F569"/>
    <w:rsid w:val="28D4553C"/>
    <w:rsid w:val="28DB925F"/>
    <w:rsid w:val="28DCB63F"/>
    <w:rsid w:val="28DE9A06"/>
    <w:rsid w:val="28E2D78E"/>
    <w:rsid w:val="28E65272"/>
    <w:rsid w:val="28E80DD3"/>
    <w:rsid w:val="28EBFFF2"/>
    <w:rsid w:val="28EC32BE"/>
    <w:rsid w:val="28EDB77E"/>
    <w:rsid w:val="28F1BADD"/>
    <w:rsid w:val="28F1F97F"/>
    <w:rsid w:val="28F1FE16"/>
    <w:rsid w:val="28F3250D"/>
    <w:rsid w:val="28F4B1B9"/>
    <w:rsid w:val="28F4F94C"/>
    <w:rsid w:val="28F5863C"/>
    <w:rsid w:val="28F7DE18"/>
    <w:rsid w:val="28F9D987"/>
    <w:rsid w:val="28FAAD20"/>
    <w:rsid w:val="28FB950B"/>
    <w:rsid w:val="28FC2C0E"/>
    <w:rsid w:val="290158C5"/>
    <w:rsid w:val="2901F8D9"/>
    <w:rsid w:val="29025A49"/>
    <w:rsid w:val="290280F3"/>
    <w:rsid w:val="290429A3"/>
    <w:rsid w:val="2909EBE8"/>
    <w:rsid w:val="290C6124"/>
    <w:rsid w:val="290CF548"/>
    <w:rsid w:val="290DBE21"/>
    <w:rsid w:val="29105D64"/>
    <w:rsid w:val="29108957"/>
    <w:rsid w:val="2910BF95"/>
    <w:rsid w:val="2911775A"/>
    <w:rsid w:val="2911C2BA"/>
    <w:rsid w:val="29169031"/>
    <w:rsid w:val="2917317D"/>
    <w:rsid w:val="29174086"/>
    <w:rsid w:val="291EA104"/>
    <w:rsid w:val="291EC9E6"/>
    <w:rsid w:val="291ECD2E"/>
    <w:rsid w:val="291FD925"/>
    <w:rsid w:val="29207A7A"/>
    <w:rsid w:val="292100B9"/>
    <w:rsid w:val="2926E991"/>
    <w:rsid w:val="292A1716"/>
    <w:rsid w:val="292BC8C5"/>
    <w:rsid w:val="292BE1FB"/>
    <w:rsid w:val="292C0F66"/>
    <w:rsid w:val="292CDB21"/>
    <w:rsid w:val="292DC83F"/>
    <w:rsid w:val="29327BEB"/>
    <w:rsid w:val="2932E698"/>
    <w:rsid w:val="2934410F"/>
    <w:rsid w:val="293BEDFE"/>
    <w:rsid w:val="294042D1"/>
    <w:rsid w:val="294078DD"/>
    <w:rsid w:val="2940A646"/>
    <w:rsid w:val="29420A3A"/>
    <w:rsid w:val="29429AF8"/>
    <w:rsid w:val="29454137"/>
    <w:rsid w:val="29455948"/>
    <w:rsid w:val="2949914A"/>
    <w:rsid w:val="294B0266"/>
    <w:rsid w:val="294B6454"/>
    <w:rsid w:val="294D6F6C"/>
    <w:rsid w:val="294DE768"/>
    <w:rsid w:val="2953B505"/>
    <w:rsid w:val="29541150"/>
    <w:rsid w:val="2957D49B"/>
    <w:rsid w:val="2958E458"/>
    <w:rsid w:val="295A3A45"/>
    <w:rsid w:val="295AE95B"/>
    <w:rsid w:val="295D5EBE"/>
    <w:rsid w:val="295D6336"/>
    <w:rsid w:val="295D64B8"/>
    <w:rsid w:val="29668484"/>
    <w:rsid w:val="29690513"/>
    <w:rsid w:val="296A7B4B"/>
    <w:rsid w:val="296AE774"/>
    <w:rsid w:val="296BCC86"/>
    <w:rsid w:val="296E76A2"/>
    <w:rsid w:val="296E7F60"/>
    <w:rsid w:val="296F3EC6"/>
    <w:rsid w:val="2971AC64"/>
    <w:rsid w:val="297220B0"/>
    <w:rsid w:val="2974B85F"/>
    <w:rsid w:val="2976A18C"/>
    <w:rsid w:val="297717D5"/>
    <w:rsid w:val="29771B2A"/>
    <w:rsid w:val="29774648"/>
    <w:rsid w:val="2977F388"/>
    <w:rsid w:val="2978A32F"/>
    <w:rsid w:val="2978A55B"/>
    <w:rsid w:val="297A248B"/>
    <w:rsid w:val="297BB8C7"/>
    <w:rsid w:val="297CE57F"/>
    <w:rsid w:val="297E0CE9"/>
    <w:rsid w:val="297E1291"/>
    <w:rsid w:val="297EF500"/>
    <w:rsid w:val="2982C6A0"/>
    <w:rsid w:val="2986D576"/>
    <w:rsid w:val="298A87DD"/>
    <w:rsid w:val="298CA499"/>
    <w:rsid w:val="298E6D73"/>
    <w:rsid w:val="2992407A"/>
    <w:rsid w:val="29936BD4"/>
    <w:rsid w:val="299748CB"/>
    <w:rsid w:val="299ED496"/>
    <w:rsid w:val="29A01BCB"/>
    <w:rsid w:val="29A71825"/>
    <w:rsid w:val="29A74AA8"/>
    <w:rsid w:val="29A77EF4"/>
    <w:rsid w:val="29A87A4F"/>
    <w:rsid w:val="29A93B52"/>
    <w:rsid w:val="29A9BA7D"/>
    <w:rsid w:val="29AA1630"/>
    <w:rsid w:val="29AADCB4"/>
    <w:rsid w:val="29AB067E"/>
    <w:rsid w:val="29AB4BA0"/>
    <w:rsid w:val="29ABFA09"/>
    <w:rsid w:val="29AD87D7"/>
    <w:rsid w:val="29B83381"/>
    <w:rsid w:val="29B83ABD"/>
    <w:rsid w:val="29B8D1DF"/>
    <w:rsid w:val="29BC55C2"/>
    <w:rsid w:val="29BD93A8"/>
    <w:rsid w:val="29BEBA0E"/>
    <w:rsid w:val="29BFDBD9"/>
    <w:rsid w:val="29C11B3F"/>
    <w:rsid w:val="29C216AF"/>
    <w:rsid w:val="29C6ADD2"/>
    <w:rsid w:val="29C8922A"/>
    <w:rsid w:val="29CBCBDE"/>
    <w:rsid w:val="29CF3488"/>
    <w:rsid w:val="29D2C72C"/>
    <w:rsid w:val="29D387D0"/>
    <w:rsid w:val="29D57613"/>
    <w:rsid w:val="29D63032"/>
    <w:rsid w:val="29D7D0B2"/>
    <w:rsid w:val="29D825EC"/>
    <w:rsid w:val="29DA7C19"/>
    <w:rsid w:val="29DC14BA"/>
    <w:rsid w:val="29DDFD2E"/>
    <w:rsid w:val="29DDFF94"/>
    <w:rsid w:val="29DE47BB"/>
    <w:rsid w:val="29E2D7D5"/>
    <w:rsid w:val="29E43D79"/>
    <w:rsid w:val="29E4C8DA"/>
    <w:rsid w:val="29E5A939"/>
    <w:rsid w:val="29E65952"/>
    <w:rsid w:val="29E85701"/>
    <w:rsid w:val="29E907F3"/>
    <w:rsid w:val="29E96861"/>
    <w:rsid w:val="29EC9A94"/>
    <w:rsid w:val="29ECF1A4"/>
    <w:rsid w:val="29ED8B48"/>
    <w:rsid w:val="29F183D0"/>
    <w:rsid w:val="29F50BBC"/>
    <w:rsid w:val="29F67706"/>
    <w:rsid w:val="29F74FE5"/>
    <w:rsid w:val="29F9F0E6"/>
    <w:rsid w:val="29F9F3D5"/>
    <w:rsid w:val="29FA3805"/>
    <w:rsid w:val="29FA95A6"/>
    <w:rsid w:val="29FBCC40"/>
    <w:rsid w:val="29FDCACA"/>
    <w:rsid w:val="29FE7221"/>
    <w:rsid w:val="2A000C12"/>
    <w:rsid w:val="2A02E905"/>
    <w:rsid w:val="2A03669F"/>
    <w:rsid w:val="2A07868A"/>
    <w:rsid w:val="2A0D415F"/>
    <w:rsid w:val="2A0F4B19"/>
    <w:rsid w:val="2A1125DD"/>
    <w:rsid w:val="2A117872"/>
    <w:rsid w:val="2A11C90E"/>
    <w:rsid w:val="2A122F70"/>
    <w:rsid w:val="2A1EE2F0"/>
    <w:rsid w:val="2A25DE47"/>
    <w:rsid w:val="2A269C7E"/>
    <w:rsid w:val="2A288698"/>
    <w:rsid w:val="2A28BA87"/>
    <w:rsid w:val="2A2A2558"/>
    <w:rsid w:val="2A2AAA71"/>
    <w:rsid w:val="2A2AF898"/>
    <w:rsid w:val="2A2DCCA9"/>
    <w:rsid w:val="2A2F302B"/>
    <w:rsid w:val="2A347D7D"/>
    <w:rsid w:val="2A351595"/>
    <w:rsid w:val="2A35DA88"/>
    <w:rsid w:val="2A3B7452"/>
    <w:rsid w:val="2A3DE31B"/>
    <w:rsid w:val="2A3DF7EC"/>
    <w:rsid w:val="2A407FBA"/>
    <w:rsid w:val="2A429735"/>
    <w:rsid w:val="2A46590D"/>
    <w:rsid w:val="2A46C1C3"/>
    <w:rsid w:val="2A4903F8"/>
    <w:rsid w:val="2A49FD72"/>
    <w:rsid w:val="2A4A94CF"/>
    <w:rsid w:val="2A4AF881"/>
    <w:rsid w:val="2A4B7EFB"/>
    <w:rsid w:val="2A4BD290"/>
    <w:rsid w:val="2A4D22D1"/>
    <w:rsid w:val="2A4DB7CD"/>
    <w:rsid w:val="2A4E1750"/>
    <w:rsid w:val="2A4E94DA"/>
    <w:rsid w:val="2A517907"/>
    <w:rsid w:val="2A53F481"/>
    <w:rsid w:val="2A5437A2"/>
    <w:rsid w:val="2A557833"/>
    <w:rsid w:val="2A582334"/>
    <w:rsid w:val="2A5A2376"/>
    <w:rsid w:val="2A5E79C0"/>
    <w:rsid w:val="2A62495A"/>
    <w:rsid w:val="2A64711C"/>
    <w:rsid w:val="2A66298B"/>
    <w:rsid w:val="2A662CF8"/>
    <w:rsid w:val="2A6664F7"/>
    <w:rsid w:val="2A69A738"/>
    <w:rsid w:val="2A6E2C47"/>
    <w:rsid w:val="2A6F4DE6"/>
    <w:rsid w:val="2A7078F0"/>
    <w:rsid w:val="2A73FBC6"/>
    <w:rsid w:val="2A755305"/>
    <w:rsid w:val="2A77ECEC"/>
    <w:rsid w:val="2A7E719E"/>
    <w:rsid w:val="2A7E9721"/>
    <w:rsid w:val="2A7FC59B"/>
    <w:rsid w:val="2A7FF7B0"/>
    <w:rsid w:val="2A805EAA"/>
    <w:rsid w:val="2A807F50"/>
    <w:rsid w:val="2A820178"/>
    <w:rsid w:val="2A8507A5"/>
    <w:rsid w:val="2A88BF4E"/>
    <w:rsid w:val="2A891280"/>
    <w:rsid w:val="2A89C880"/>
    <w:rsid w:val="2A8B07AC"/>
    <w:rsid w:val="2A8D44AA"/>
    <w:rsid w:val="2A8DC9E0"/>
    <w:rsid w:val="2A8FBF29"/>
    <w:rsid w:val="2A90C77D"/>
    <w:rsid w:val="2A91B9E9"/>
    <w:rsid w:val="2A91D543"/>
    <w:rsid w:val="2A93403D"/>
    <w:rsid w:val="2A952354"/>
    <w:rsid w:val="2A97CF7D"/>
    <w:rsid w:val="2A990800"/>
    <w:rsid w:val="2A997FF4"/>
    <w:rsid w:val="2A9A03D7"/>
    <w:rsid w:val="2A9A15B0"/>
    <w:rsid w:val="2A9AC3D8"/>
    <w:rsid w:val="2A9C1336"/>
    <w:rsid w:val="2A9E9AD6"/>
    <w:rsid w:val="2AA17737"/>
    <w:rsid w:val="2AA2FF4E"/>
    <w:rsid w:val="2AA518DF"/>
    <w:rsid w:val="2AA6E901"/>
    <w:rsid w:val="2AAB94B8"/>
    <w:rsid w:val="2AABF4D6"/>
    <w:rsid w:val="2AACC6B3"/>
    <w:rsid w:val="2AACD41F"/>
    <w:rsid w:val="2AAD6723"/>
    <w:rsid w:val="2AAEA71B"/>
    <w:rsid w:val="2AAFC3EF"/>
    <w:rsid w:val="2AB1F748"/>
    <w:rsid w:val="2AB299AB"/>
    <w:rsid w:val="2AB30C68"/>
    <w:rsid w:val="2AB872D7"/>
    <w:rsid w:val="2AB9A833"/>
    <w:rsid w:val="2ABBCCEB"/>
    <w:rsid w:val="2ABEDFD3"/>
    <w:rsid w:val="2ABF59EF"/>
    <w:rsid w:val="2AC2EF70"/>
    <w:rsid w:val="2AC34741"/>
    <w:rsid w:val="2AC55EF9"/>
    <w:rsid w:val="2AC731F0"/>
    <w:rsid w:val="2AC74205"/>
    <w:rsid w:val="2AC77B17"/>
    <w:rsid w:val="2ACA76C1"/>
    <w:rsid w:val="2ACAFAAB"/>
    <w:rsid w:val="2ACC25A1"/>
    <w:rsid w:val="2ACCBBEC"/>
    <w:rsid w:val="2ACED22C"/>
    <w:rsid w:val="2AD0732D"/>
    <w:rsid w:val="2AD0C970"/>
    <w:rsid w:val="2AD13506"/>
    <w:rsid w:val="2AD1F839"/>
    <w:rsid w:val="2AD22E3A"/>
    <w:rsid w:val="2AD7CC6E"/>
    <w:rsid w:val="2AD7F538"/>
    <w:rsid w:val="2ADABD36"/>
    <w:rsid w:val="2ADADF70"/>
    <w:rsid w:val="2ADB860A"/>
    <w:rsid w:val="2ADC493E"/>
    <w:rsid w:val="2ADCB835"/>
    <w:rsid w:val="2ADF624E"/>
    <w:rsid w:val="2ADFC77A"/>
    <w:rsid w:val="2AE11198"/>
    <w:rsid w:val="2AE37FD1"/>
    <w:rsid w:val="2AE54B1B"/>
    <w:rsid w:val="2AE6FF29"/>
    <w:rsid w:val="2AE85617"/>
    <w:rsid w:val="2AEB38BF"/>
    <w:rsid w:val="2AEED378"/>
    <w:rsid w:val="2AEFE7AF"/>
    <w:rsid w:val="2AF2DAF6"/>
    <w:rsid w:val="2AF3668B"/>
    <w:rsid w:val="2AF6A211"/>
    <w:rsid w:val="2AF91E2F"/>
    <w:rsid w:val="2AF93447"/>
    <w:rsid w:val="2AFB681C"/>
    <w:rsid w:val="2AFD7EFC"/>
    <w:rsid w:val="2B0047E8"/>
    <w:rsid w:val="2B00A40A"/>
    <w:rsid w:val="2B00EF99"/>
    <w:rsid w:val="2B03C172"/>
    <w:rsid w:val="2B066678"/>
    <w:rsid w:val="2B0B1B86"/>
    <w:rsid w:val="2B116076"/>
    <w:rsid w:val="2B11A4A5"/>
    <w:rsid w:val="2B12CEFF"/>
    <w:rsid w:val="2B148EEE"/>
    <w:rsid w:val="2B14D428"/>
    <w:rsid w:val="2B15A2EF"/>
    <w:rsid w:val="2B16CA4E"/>
    <w:rsid w:val="2B1716ED"/>
    <w:rsid w:val="2B19EA0D"/>
    <w:rsid w:val="2B1B1BFF"/>
    <w:rsid w:val="2B1E3CF5"/>
    <w:rsid w:val="2B202583"/>
    <w:rsid w:val="2B206BBA"/>
    <w:rsid w:val="2B228A69"/>
    <w:rsid w:val="2B25650D"/>
    <w:rsid w:val="2B265592"/>
    <w:rsid w:val="2B26B36D"/>
    <w:rsid w:val="2B27FC05"/>
    <w:rsid w:val="2B28795B"/>
    <w:rsid w:val="2B2953D9"/>
    <w:rsid w:val="2B2D7A58"/>
    <w:rsid w:val="2B2DD346"/>
    <w:rsid w:val="2B2E3353"/>
    <w:rsid w:val="2B303D0B"/>
    <w:rsid w:val="2B32781F"/>
    <w:rsid w:val="2B329D14"/>
    <w:rsid w:val="2B33EB02"/>
    <w:rsid w:val="2B370DEC"/>
    <w:rsid w:val="2B3718B3"/>
    <w:rsid w:val="2B3C8950"/>
    <w:rsid w:val="2B3D7C99"/>
    <w:rsid w:val="2B3DF730"/>
    <w:rsid w:val="2B3EBDCA"/>
    <w:rsid w:val="2B4009F6"/>
    <w:rsid w:val="2B409526"/>
    <w:rsid w:val="2B410A75"/>
    <w:rsid w:val="2B420E9E"/>
    <w:rsid w:val="2B447EC2"/>
    <w:rsid w:val="2B452C09"/>
    <w:rsid w:val="2B48AC3A"/>
    <w:rsid w:val="2B48D816"/>
    <w:rsid w:val="2B4B9E36"/>
    <w:rsid w:val="2B4CE397"/>
    <w:rsid w:val="2B4DC4AA"/>
    <w:rsid w:val="2B50CA8B"/>
    <w:rsid w:val="2B51B452"/>
    <w:rsid w:val="2B524BE5"/>
    <w:rsid w:val="2B525149"/>
    <w:rsid w:val="2B52C003"/>
    <w:rsid w:val="2B569920"/>
    <w:rsid w:val="2B56B271"/>
    <w:rsid w:val="2B58C5D7"/>
    <w:rsid w:val="2B5B6B94"/>
    <w:rsid w:val="2B5CF66E"/>
    <w:rsid w:val="2B5D9A9A"/>
    <w:rsid w:val="2B60376D"/>
    <w:rsid w:val="2B61830B"/>
    <w:rsid w:val="2B634AA7"/>
    <w:rsid w:val="2B641147"/>
    <w:rsid w:val="2B656438"/>
    <w:rsid w:val="2B667A8F"/>
    <w:rsid w:val="2B668FB4"/>
    <w:rsid w:val="2B674B23"/>
    <w:rsid w:val="2B681B30"/>
    <w:rsid w:val="2B68DB4C"/>
    <w:rsid w:val="2B69558A"/>
    <w:rsid w:val="2B6B28E0"/>
    <w:rsid w:val="2B6D4899"/>
    <w:rsid w:val="2B6DB864"/>
    <w:rsid w:val="2B6DD32E"/>
    <w:rsid w:val="2B6E2271"/>
    <w:rsid w:val="2B713F32"/>
    <w:rsid w:val="2B769A5D"/>
    <w:rsid w:val="2B76E953"/>
    <w:rsid w:val="2B775973"/>
    <w:rsid w:val="2B7BAA7E"/>
    <w:rsid w:val="2B7D21F0"/>
    <w:rsid w:val="2B7D510C"/>
    <w:rsid w:val="2B832910"/>
    <w:rsid w:val="2B8376F6"/>
    <w:rsid w:val="2B8550DB"/>
    <w:rsid w:val="2B86304C"/>
    <w:rsid w:val="2B872F3D"/>
    <w:rsid w:val="2B87DA3A"/>
    <w:rsid w:val="2B892DE8"/>
    <w:rsid w:val="2B894E0A"/>
    <w:rsid w:val="2B896C1D"/>
    <w:rsid w:val="2B8D852F"/>
    <w:rsid w:val="2B8E4480"/>
    <w:rsid w:val="2B8E59D3"/>
    <w:rsid w:val="2B8EEF8C"/>
    <w:rsid w:val="2B8FA6BD"/>
    <w:rsid w:val="2B940B96"/>
    <w:rsid w:val="2B9454C7"/>
    <w:rsid w:val="2B96C82F"/>
    <w:rsid w:val="2B980A37"/>
    <w:rsid w:val="2B99F7A7"/>
    <w:rsid w:val="2B9B6AE3"/>
    <w:rsid w:val="2B9EA632"/>
    <w:rsid w:val="2BA0F4A1"/>
    <w:rsid w:val="2BA40549"/>
    <w:rsid w:val="2BA47FE0"/>
    <w:rsid w:val="2BA59912"/>
    <w:rsid w:val="2BA753BD"/>
    <w:rsid w:val="2BA844BC"/>
    <w:rsid w:val="2BA8A12D"/>
    <w:rsid w:val="2BAC4EF3"/>
    <w:rsid w:val="2BAC609D"/>
    <w:rsid w:val="2BAE442F"/>
    <w:rsid w:val="2BB0B117"/>
    <w:rsid w:val="2BB115EC"/>
    <w:rsid w:val="2BB146A4"/>
    <w:rsid w:val="2BB361C4"/>
    <w:rsid w:val="2BB490E7"/>
    <w:rsid w:val="2BB77028"/>
    <w:rsid w:val="2BB9CB0F"/>
    <w:rsid w:val="2BBA95F9"/>
    <w:rsid w:val="2BBC4EF9"/>
    <w:rsid w:val="2BBE1CCC"/>
    <w:rsid w:val="2BBFAD64"/>
    <w:rsid w:val="2BC317F1"/>
    <w:rsid w:val="2BC3628F"/>
    <w:rsid w:val="2BC3B2C9"/>
    <w:rsid w:val="2BC3F82C"/>
    <w:rsid w:val="2BC48641"/>
    <w:rsid w:val="2BC56D88"/>
    <w:rsid w:val="2BC69DB1"/>
    <w:rsid w:val="2BC95806"/>
    <w:rsid w:val="2BC9A5F9"/>
    <w:rsid w:val="2BCAAB57"/>
    <w:rsid w:val="2BCACBBB"/>
    <w:rsid w:val="2BCD5A83"/>
    <w:rsid w:val="2BCD7B5A"/>
    <w:rsid w:val="2BCF4A9B"/>
    <w:rsid w:val="2BD1160B"/>
    <w:rsid w:val="2BD21A6E"/>
    <w:rsid w:val="2BD2F061"/>
    <w:rsid w:val="2BD570E6"/>
    <w:rsid w:val="2BD6ABE4"/>
    <w:rsid w:val="2BD74FEF"/>
    <w:rsid w:val="2BD856E1"/>
    <w:rsid w:val="2BD8E85E"/>
    <w:rsid w:val="2BDA993B"/>
    <w:rsid w:val="2BDAB562"/>
    <w:rsid w:val="2BE41CE1"/>
    <w:rsid w:val="2BE48EFD"/>
    <w:rsid w:val="2BE8D920"/>
    <w:rsid w:val="2BE9F543"/>
    <w:rsid w:val="2BEADD45"/>
    <w:rsid w:val="2BECD207"/>
    <w:rsid w:val="2BECEF04"/>
    <w:rsid w:val="2BED423C"/>
    <w:rsid w:val="2BEFFFDE"/>
    <w:rsid w:val="2BF2D16C"/>
    <w:rsid w:val="2BF9BE58"/>
    <w:rsid w:val="2BFE7324"/>
    <w:rsid w:val="2C019D32"/>
    <w:rsid w:val="2C04EC42"/>
    <w:rsid w:val="2C051041"/>
    <w:rsid w:val="2C0564E2"/>
    <w:rsid w:val="2C05F90D"/>
    <w:rsid w:val="2C088FA3"/>
    <w:rsid w:val="2C092344"/>
    <w:rsid w:val="2C0989AC"/>
    <w:rsid w:val="2C0AB635"/>
    <w:rsid w:val="2C12E5DC"/>
    <w:rsid w:val="2C186E04"/>
    <w:rsid w:val="2C1A454F"/>
    <w:rsid w:val="2C1B1A1D"/>
    <w:rsid w:val="2C1BAE9A"/>
    <w:rsid w:val="2C1BEE21"/>
    <w:rsid w:val="2C1F7750"/>
    <w:rsid w:val="2C2476B7"/>
    <w:rsid w:val="2C2560AC"/>
    <w:rsid w:val="2C257BBF"/>
    <w:rsid w:val="2C28F79A"/>
    <w:rsid w:val="2C2BB6FD"/>
    <w:rsid w:val="2C2C2652"/>
    <w:rsid w:val="2C2C4183"/>
    <w:rsid w:val="2C2CE923"/>
    <w:rsid w:val="2C30A657"/>
    <w:rsid w:val="2C30C7C1"/>
    <w:rsid w:val="2C31A796"/>
    <w:rsid w:val="2C32E34A"/>
    <w:rsid w:val="2C33CF3C"/>
    <w:rsid w:val="2C36B756"/>
    <w:rsid w:val="2C3745F8"/>
    <w:rsid w:val="2C3A66E4"/>
    <w:rsid w:val="2C3D4FED"/>
    <w:rsid w:val="2C3E9FD9"/>
    <w:rsid w:val="2C3EB195"/>
    <w:rsid w:val="2C3F51DF"/>
    <w:rsid w:val="2C42540B"/>
    <w:rsid w:val="2C4274E9"/>
    <w:rsid w:val="2C442E48"/>
    <w:rsid w:val="2C462C2F"/>
    <w:rsid w:val="2C46419C"/>
    <w:rsid w:val="2C46442A"/>
    <w:rsid w:val="2C464626"/>
    <w:rsid w:val="2C46D6FB"/>
    <w:rsid w:val="2C499C72"/>
    <w:rsid w:val="2C49E364"/>
    <w:rsid w:val="2C49EF9C"/>
    <w:rsid w:val="2C51AED2"/>
    <w:rsid w:val="2C51C097"/>
    <w:rsid w:val="2C52949B"/>
    <w:rsid w:val="2C546663"/>
    <w:rsid w:val="2C54EF25"/>
    <w:rsid w:val="2C551DEB"/>
    <w:rsid w:val="2C556BA4"/>
    <w:rsid w:val="2C579E6D"/>
    <w:rsid w:val="2C58E98B"/>
    <w:rsid w:val="2C5C0EA0"/>
    <w:rsid w:val="2C5D4472"/>
    <w:rsid w:val="2C5EAA1A"/>
    <w:rsid w:val="2C622930"/>
    <w:rsid w:val="2C630799"/>
    <w:rsid w:val="2C6521D8"/>
    <w:rsid w:val="2C66F76A"/>
    <w:rsid w:val="2C67A505"/>
    <w:rsid w:val="2C683824"/>
    <w:rsid w:val="2C68FC99"/>
    <w:rsid w:val="2C6B2BD2"/>
    <w:rsid w:val="2C7007C5"/>
    <w:rsid w:val="2C705144"/>
    <w:rsid w:val="2C72A719"/>
    <w:rsid w:val="2C73D036"/>
    <w:rsid w:val="2C75BCC8"/>
    <w:rsid w:val="2C7662BC"/>
    <w:rsid w:val="2C76B8F3"/>
    <w:rsid w:val="2C77DA47"/>
    <w:rsid w:val="2C7862F0"/>
    <w:rsid w:val="2C78C9EF"/>
    <w:rsid w:val="2C7C5B18"/>
    <w:rsid w:val="2C7CA801"/>
    <w:rsid w:val="2C7E6BB1"/>
    <w:rsid w:val="2C842629"/>
    <w:rsid w:val="2C844092"/>
    <w:rsid w:val="2C85BA03"/>
    <w:rsid w:val="2C86FDD3"/>
    <w:rsid w:val="2C87C0B4"/>
    <w:rsid w:val="2C88F52F"/>
    <w:rsid w:val="2C89D9BB"/>
    <w:rsid w:val="2C8C9BA6"/>
    <w:rsid w:val="2C8DBCEE"/>
    <w:rsid w:val="2C8EFEB6"/>
    <w:rsid w:val="2C906186"/>
    <w:rsid w:val="2C90FE79"/>
    <w:rsid w:val="2C91D1C7"/>
    <w:rsid w:val="2C94B58E"/>
    <w:rsid w:val="2C97D9EF"/>
    <w:rsid w:val="2C98EEA4"/>
    <w:rsid w:val="2C9A0EDA"/>
    <w:rsid w:val="2C9B32FC"/>
    <w:rsid w:val="2C9BC762"/>
    <w:rsid w:val="2C9E7388"/>
    <w:rsid w:val="2CA138ED"/>
    <w:rsid w:val="2CA565B9"/>
    <w:rsid w:val="2CA60115"/>
    <w:rsid w:val="2CA65BB2"/>
    <w:rsid w:val="2CA665C3"/>
    <w:rsid w:val="2CA6D90E"/>
    <w:rsid w:val="2CAC7CF5"/>
    <w:rsid w:val="2CAEA7E7"/>
    <w:rsid w:val="2CAF5456"/>
    <w:rsid w:val="2CB1CB20"/>
    <w:rsid w:val="2CB6C8AB"/>
    <w:rsid w:val="2CB6E84C"/>
    <w:rsid w:val="2CBA62BB"/>
    <w:rsid w:val="2CBEEFA9"/>
    <w:rsid w:val="2CC2074C"/>
    <w:rsid w:val="2CC20907"/>
    <w:rsid w:val="2CC237CE"/>
    <w:rsid w:val="2CC2B2D0"/>
    <w:rsid w:val="2CC4412B"/>
    <w:rsid w:val="2CCCCBD6"/>
    <w:rsid w:val="2CD048BB"/>
    <w:rsid w:val="2CD2E354"/>
    <w:rsid w:val="2CD33CD6"/>
    <w:rsid w:val="2CD3E217"/>
    <w:rsid w:val="2CD5404F"/>
    <w:rsid w:val="2CD687CB"/>
    <w:rsid w:val="2CD847EA"/>
    <w:rsid w:val="2CD9E6B2"/>
    <w:rsid w:val="2CDA3BED"/>
    <w:rsid w:val="2CDA61EA"/>
    <w:rsid w:val="2CDBDA57"/>
    <w:rsid w:val="2CDBE2F8"/>
    <w:rsid w:val="2CDEE1A9"/>
    <w:rsid w:val="2CE090E8"/>
    <w:rsid w:val="2CE3256D"/>
    <w:rsid w:val="2CE341DE"/>
    <w:rsid w:val="2CE47A8E"/>
    <w:rsid w:val="2CE4A052"/>
    <w:rsid w:val="2CE4C0B1"/>
    <w:rsid w:val="2CE6175A"/>
    <w:rsid w:val="2CE6E6D9"/>
    <w:rsid w:val="2CE70A8F"/>
    <w:rsid w:val="2CEA239D"/>
    <w:rsid w:val="2CEA6728"/>
    <w:rsid w:val="2CEB0B57"/>
    <w:rsid w:val="2CEE17B9"/>
    <w:rsid w:val="2CEEA57A"/>
    <w:rsid w:val="2CF15073"/>
    <w:rsid w:val="2CF29865"/>
    <w:rsid w:val="2CF473B5"/>
    <w:rsid w:val="2CF48666"/>
    <w:rsid w:val="2CF7FA99"/>
    <w:rsid w:val="2CF80632"/>
    <w:rsid w:val="2CFB955B"/>
    <w:rsid w:val="2CFBA764"/>
    <w:rsid w:val="2CFC6560"/>
    <w:rsid w:val="2CFE8938"/>
    <w:rsid w:val="2CFEA84A"/>
    <w:rsid w:val="2CFFD849"/>
    <w:rsid w:val="2D0458E2"/>
    <w:rsid w:val="2D05416C"/>
    <w:rsid w:val="2D069FFB"/>
    <w:rsid w:val="2D06F2BD"/>
    <w:rsid w:val="2D0D2047"/>
    <w:rsid w:val="2D0D9093"/>
    <w:rsid w:val="2D0DFEA9"/>
    <w:rsid w:val="2D1063A8"/>
    <w:rsid w:val="2D10646C"/>
    <w:rsid w:val="2D11DD45"/>
    <w:rsid w:val="2D12B13D"/>
    <w:rsid w:val="2D131A83"/>
    <w:rsid w:val="2D1431C6"/>
    <w:rsid w:val="2D14D1AA"/>
    <w:rsid w:val="2D15E7C2"/>
    <w:rsid w:val="2D15F1A5"/>
    <w:rsid w:val="2D169FCC"/>
    <w:rsid w:val="2D174443"/>
    <w:rsid w:val="2D18C6E0"/>
    <w:rsid w:val="2D1C5303"/>
    <w:rsid w:val="2D1D084B"/>
    <w:rsid w:val="2D1F807C"/>
    <w:rsid w:val="2D208870"/>
    <w:rsid w:val="2D215413"/>
    <w:rsid w:val="2D229FC1"/>
    <w:rsid w:val="2D2641B8"/>
    <w:rsid w:val="2D28A92A"/>
    <w:rsid w:val="2D2AFA0E"/>
    <w:rsid w:val="2D2B2FB3"/>
    <w:rsid w:val="2D2B4822"/>
    <w:rsid w:val="2D2B73A9"/>
    <w:rsid w:val="2D2E6741"/>
    <w:rsid w:val="2D2E713C"/>
    <w:rsid w:val="2D3526BF"/>
    <w:rsid w:val="2D35923F"/>
    <w:rsid w:val="2D3D1654"/>
    <w:rsid w:val="2D3E4B08"/>
    <w:rsid w:val="2D3E90DD"/>
    <w:rsid w:val="2D410011"/>
    <w:rsid w:val="2D437A47"/>
    <w:rsid w:val="2D4486B3"/>
    <w:rsid w:val="2D46ACA3"/>
    <w:rsid w:val="2D475042"/>
    <w:rsid w:val="2D4753F1"/>
    <w:rsid w:val="2D48AAC5"/>
    <w:rsid w:val="2D494498"/>
    <w:rsid w:val="2D4AB0FA"/>
    <w:rsid w:val="2D4AE470"/>
    <w:rsid w:val="2D4B0C98"/>
    <w:rsid w:val="2D4B9370"/>
    <w:rsid w:val="2D4DF21C"/>
    <w:rsid w:val="2D4ECA83"/>
    <w:rsid w:val="2D502888"/>
    <w:rsid w:val="2D50A11C"/>
    <w:rsid w:val="2D51A886"/>
    <w:rsid w:val="2D53B127"/>
    <w:rsid w:val="2D53EB87"/>
    <w:rsid w:val="2D548462"/>
    <w:rsid w:val="2D558545"/>
    <w:rsid w:val="2D5761A4"/>
    <w:rsid w:val="2D58B998"/>
    <w:rsid w:val="2D5928C2"/>
    <w:rsid w:val="2D59918A"/>
    <w:rsid w:val="2D59EDFC"/>
    <w:rsid w:val="2D5A1602"/>
    <w:rsid w:val="2D5B1CC8"/>
    <w:rsid w:val="2D612945"/>
    <w:rsid w:val="2D63156C"/>
    <w:rsid w:val="2D646841"/>
    <w:rsid w:val="2D6738BC"/>
    <w:rsid w:val="2D6BE1EA"/>
    <w:rsid w:val="2D6D1E80"/>
    <w:rsid w:val="2D6D6EF3"/>
    <w:rsid w:val="2D6F2DBE"/>
    <w:rsid w:val="2D6FFF94"/>
    <w:rsid w:val="2D70D8BE"/>
    <w:rsid w:val="2D732A31"/>
    <w:rsid w:val="2D751CFF"/>
    <w:rsid w:val="2D761979"/>
    <w:rsid w:val="2D77AEF5"/>
    <w:rsid w:val="2D787E1E"/>
    <w:rsid w:val="2D7A0385"/>
    <w:rsid w:val="2D7B56C2"/>
    <w:rsid w:val="2D7D382D"/>
    <w:rsid w:val="2D7DA27E"/>
    <w:rsid w:val="2D807D95"/>
    <w:rsid w:val="2D808553"/>
    <w:rsid w:val="2D808B8D"/>
    <w:rsid w:val="2D80A325"/>
    <w:rsid w:val="2D812B15"/>
    <w:rsid w:val="2D850933"/>
    <w:rsid w:val="2D85378E"/>
    <w:rsid w:val="2D86B6C8"/>
    <w:rsid w:val="2D87B6EC"/>
    <w:rsid w:val="2D8B2CEE"/>
    <w:rsid w:val="2D8EC9A8"/>
    <w:rsid w:val="2D8FAE9F"/>
    <w:rsid w:val="2D90359D"/>
    <w:rsid w:val="2D915994"/>
    <w:rsid w:val="2D92184B"/>
    <w:rsid w:val="2D92FAEF"/>
    <w:rsid w:val="2D932A7D"/>
    <w:rsid w:val="2D9424BC"/>
    <w:rsid w:val="2D944EB6"/>
    <w:rsid w:val="2D96CE4F"/>
    <w:rsid w:val="2D9B5FD4"/>
    <w:rsid w:val="2D9BE189"/>
    <w:rsid w:val="2D9CAD40"/>
    <w:rsid w:val="2D9DBA3D"/>
    <w:rsid w:val="2D9E25B5"/>
    <w:rsid w:val="2DA28A28"/>
    <w:rsid w:val="2DA3A0FE"/>
    <w:rsid w:val="2DA5A579"/>
    <w:rsid w:val="2DA67130"/>
    <w:rsid w:val="2DA79A9A"/>
    <w:rsid w:val="2DA7E6B0"/>
    <w:rsid w:val="2DA88BC8"/>
    <w:rsid w:val="2DAE65FD"/>
    <w:rsid w:val="2DB03679"/>
    <w:rsid w:val="2DB116FD"/>
    <w:rsid w:val="2DB39A8D"/>
    <w:rsid w:val="2DB4C2B3"/>
    <w:rsid w:val="2DB513CC"/>
    <w:rsid w:val="2DB77674"/>
    <w:rsid w:val="2DB8403C"/>
    <w:rsid w:val="2DB85426"/>
    <w:rsid w:val="2DBE9260"/>
    <w:rsid w:val="2DBE9859"/>
    <w:rsid w:val="2DC03040"/>
    <w:rsid w:val="2DC31088"/>
    <w:rsid w:val="2DC42E77"/>
    <w:rsid w:val="2DC5D54D"/>
    <w:rsid w:val="2DC673F4"/>
    <w:rsid w:val="2DC6A40D"/>
    <w:rsid w:val="2DC89E13"/>
    <w:rsid w:val="2DC8C1ED"/>
    <w:rsid w:val="2DCA1289"/>
    <w:rsid w:val="2DCB1FE7"/>
    <w:rsid w:val="2DCD42A7"/>
    <w:rsid w:val="2DD031E7"/>
    <w:rsid w:val="2DD2C48B"/>
    <w:rsid w:val="2DD3CE90"/>
    <w:rsid w:val="2DD65090"/>
    <w:rsid w:val="2DD7DFC7"/>
    <w:rsid w:val="2DD90264"/>
    <w:rsid w:val="2DD90A11"/>
    <w:rsid w:val="2DD9B3FC"/>
    <w:rsid w:val="2DDCA57C"/>
    <w:rsid w:val="2DDCCAE1"/>
    <w:rsid w:val="2DDDFEE5"/>
    <w:rsid w:val="2DE04EB8"/>
    <w:rsid w:val="2DE1FB0B"/>
    <w:rsid w:val="2DE3808C"/>
    <w:rsid w:val="2DE3FB0A"/>
    <w:rsid w:val="2DE73E8D"/>
    <w:rsid w:val="2DE809AE"/>
    <w:rsid w:val="2DF03667"/>
    <w:rsid w:val="2DF07D49"/>
    <w:rsid w:val="2DF259C5"/>
    <w:rsid w:val="2DF2B8C0"/>
    <w:rsid w:val="2DF396E6"/>
    <w:rsid w:val="2DF5C1F9"/>
    <w:rsid w:val="2DF5E267"/>
    <w:rsid w:val="2DF70B2D"/>
    <w:rsid w:val="2DF73589"/>
    <w:rsid w:val="2DF93CA1"/>
    <w:rsid w:val="2DFB2FCE"/>
    <w:rsid w:val="2E084564"/>
    <w:rsid w:val="2E0C21A5"/>
    <w:rsid w:val="2E10C29C"/>
    <w:rsid w:val="2E12FF57"/>
    <w:rsid w:val="2E130E38"/>
    <w:rsid w:val="2E13E5A7"/>
    <w:rsid w:val="2E18B25A"/>
    <w:rsid w:val="2E1A3A19"/>
    <w:rsid w:val="2E1C6669"/>
    <w:rsid w:val="2E2200C6"/>
    <w:rsid w:val="2E25513D"/>
    <w:rsid w:val="2E255150"/>
    <w:rsid w:val="2E255F72"/>
    <w:rsid w:val="2E25EE19"/>
    <w:rsid w:val="2E25F9FF"/>
    <w:rsid w:val="2E272C2B"/>
    <w:rsid w:val="2E276ACB"/>
    <w:rsid w:val="2E28335B"/>
    <w:rsid w:val="2E2B2667"/>
    <w:rsid w:val="2E2E57D3"/>
    <w:rsid w:val="2E31DAAA"/>
    <w:rsid w:val="2E3A8BDC"/>
    <w:rsid w:val="2E3B3029"/>
    <w:rsid w:val="2E3CB31A"/>
    <w:rsid w:val="2E40B6A0"/>
    <w:rsid w:val="2E419987"/>
    <w:rsid w:val="2E41D112"/>
    <w:rsid w:val="2E4261FF"/>
    <w:rsid w:val="2E44B90C"/>
    <w:rsid w:val="2E4A38DF"/>
    <w:rsid w:val="2E4B648B"/>
    <w:rsid w:val="2E4F7CDE"/>
    <w:rsid w:val="2E4F9ACD"/>
    <w:rsid w:val="2E4FC885"/>
    <w:rsid w:val="2E5015F2"/>
    <w:rsid w:val="2E51780B"/>
    <w:rsid w:val="2E532A4D"/>
    <w:rsid w:val="2E53BD0E"/>
    <w:rsid w:val="2E543099"/>
    <w:rsid w:val="2E54617A"/>
    <w:rsid w:val="2E564459"/>
    <w:rsid w:val="2E569DA0"/>
    <w:rsid w:val="2E57697B"/>
    <w:rsid w:val="2E585B54"/>
    <w:rsid w:val="2E58F58D"/>
    <w:rsid w:val="2E5B60A1"/>
    <w:rsid w:val="2E5BCBB6"/>
    <w:rsid w:val="2E5BE9A6"/>
    <w:rsid w:val="2E5BF2BD"/>
    <w:rsid w:val="2E5D80A0"/>
    <w:rsid w:val="2E5E5A2A"/>
    <w:rsid w:val="2E5F0D7F"/>
    <w:rsid w:val="2E612273"/>
    <w:rsid w:val="2E634DBA"/>
    <w:rsid w:val="2E64F222"/>
    <w:rsid w:val="2E65C732"/>
    <w:rsid w:val="2E6B826A"/>
    <w:rsid w:val="2E6BAA97"/>
    <w:rsid w:val="2E6C2DEE"/>
    <w:rsid w:val="2E701036"/>
    <w:rsid w:val="2E71746C"/>
    <w:rsid w:val="2E725590"/>
    <w:rsid w:val="2E72AD89"/>
    <w:rsid w:val="2E72B496"/>
    <w:rsid w:val="2E769326"/>
    <w:rsid w:val="2E78F815"/>
    <w:rsid w:val="2E79FAD0"/>
    <w:rsid w:val="2E7C45F0"/>
    <w:rsid w:val="2E7DCA07"/>
    <w:rsid w:val="2E7EB80E"/>
    <w:rsid w:val="2E81BA44"/>
    <w:rsid w:val="2E820C40"/>
    <w:rsid w:val="2E838FC2"/>
    <w:rsid w:val="2E8585FB"/>
    <w:rsid w:val="2E872ADF"/>
    <w:rsid w:val="2E8834F0"/>
    <w:rsid w:val="2E8879BD"/>
    <w:rsid w:val="2E893CEE"/>
    <w:rsid w:val="2E8CFC02"/>
    <w:rsid w:val="2E90C9D9"/>
    <w:rsid w:val="2E91DA43"/>
    <w:rsid w:val="2E92619A"/>
    <w:rsid w:val="2E92DD88"/>
    <w:rsid w:val="2E932D3F"/>
    <w:rsid w:val="2E945A7F"/>
    <w:rsid w:val="2E963B7C"/>
    <w:rsid w:val="2E996035"/>
    <w:rsid w:val="2E9A7FE1"/>
    <w:rsid w:val="2E9B47AF"/>
    <w:rsid w:val="2E9B7068"/>
    <w:rsid w:val="2E9DD454"/>
    <w:rsid w:val="2E9EDC80"/>
    <w:rsid w:val="2E9FD4D0"/>
    <w:rsid w:val="2EA013AF"/>
    <w:rsid w:val="2EA10B2C"/>
    <w:rsid w:val="2EA24379"/>
    <w:rsid w:val="2EA32635"/>
    <w:rsid w:val="2EA3374F"/>
    <w:rsid w:val="2EA43D3C"/>
    <w:rsid w:val="2EA7B3DD"/>
    <w:rsid w:val="2EA7F8AD"/>
    <w:rsid w:val="2EA87A57"/>
    <w:rsid w:val="2EA8B863"/>
    <w:rsid w:val="2EA92DE4"/>
    <w:rsid w:val="2EACD662"/>
    <w:rsid w:val="2EAE1FDC"/>
    <w:rsid w:val="2EB03AC6"/>
    <w:rsid w:val="2EB0BD8C"/>
    <w:rsid w:val="2EB5FDCA"/>
    <w:rsid w:val="2EB7F292"/>
    <w:rsid w:val="2EB8A204"/>
    <w:rsid w:val="2EB9EA88"/>
    <w:rsid w:val="2EBCA915"/>
    <w:rsid w:val="2EBCAA26"/>
    <w:rsid w:val="2EBF1150"/>
    <w:rsid w:val="2EBF70B3"/>
    <w:rsid w:val="2EC11A62"/>
    <w:rsid w:val="2EC2DDC5"/>
    <w:rsid w:val="2ECF17A2"/>
    <w:rsid w:val="2ED07F7A"/>
    <w:rsid w:val="2ED08A89"/>
    <w:rsid w:val="2ED2A99E"/>
    <w:rsid w:val="2ED651FF"/>
    <w:rsid w:val="2ED915F7"/>
    <w:rsid w:val="2EDA1B69"/>
    <w:rsid w:val="2EDAF82E"/>
    <w:rsid w:val="2EDB7A3A"/>
    <w:rsid w:val="2EDDCEE4"/>
    <w:rsid w:val="2EE05FF6"/>
    <w:rsid w:val="2EE2379F"/>
    <w:rsid w:val="2EE46815"/>
    <w:rsid w:val="2EE5433B"/>
    <w:rsid w:val="2EE58BFA"/>
    <w:rsid w:val="2EEA173E"/>
    <w:rsid w:val="2EEBA0C9"/>
    <w:rsid w:val="2EF0D94B"/>
    <w:rsid w:val="2EF5111B"/>
    <w:rsid w:val="2EF7B431"/>
    <w:rsid w:val="2EF99358"/>
    <w:rsid w:val="2EF9A230"/>
    <w:rsid w:val="2EFBB260"/>
    <w:rsid w:val="2EFBE2C0"/>
    <w:rsid w:val="2EFC25A0"/>
    <w:rsid w:val="2EFD3066"/>
    <w:rsid w:val="2EFDE609"/>
    <w:rsid w:val="2F0146A6"/>
    <w:rsid w:val="2F04B3D1"/>
    <w:rsid w:val="2F07E3DB"/>
    <w:rsid w:val="2F09595B"/>
    <w:rsid w:val="2F0A8F7C"/>
    <w:rsid w:val="2F0BB0A8"/>
    <w:rsid w:val="2F0BB6FC"/>
    <w:rsid w:val="2F0C3FC6"/>
    <w:rsid w:val="2F0C8506"/>
    <w:rsid w:val="2F0D270F"/>
    <w:rsid w:val="2F0E5CCA"/>
    <w:rsid w:val="2F0F14DC"/>
    <w:rsid w:val="2F149C78"/>
    <w:rsid w:val="2F16CD7C"/>
    <w:rsid w:val="2F1927D9"/>
    <w:rsid w:val="2F194A67"/>
    <w:rsid w:val="2F1A60EB"/>
    <w:rsid w:val="2F1B01AD"/>
    <w:rsid w:val="2F1B08D7"/>
    <w:rsid w:val="2F1C975A"/>
    <w:rsid w:val="2F1D4747"/>
    <w:rsid w:val="2F1DEA74"/>
    <w:rsid w:val="2F238BD7"/>
    <w:rsid w:val="2F240FF3"/>
    <w:rsid w:val="2F24E2FE"/>
    <w:rsid w:val="2F258FE7"/>
    <w:rsid w:val="2F266402"/>
    <w:rsid w:val="2F269E12"/>
    <w:rsid w:val="2F286A8A"/>
    <w:rsid w:val="2F2B678A"/>
    <w:rsid w:val="2F2C58FF"/>
    <w:rsid w:val="2F2CD5E6"/>
    <w:rsid w:val="2F2D2B78"/>
    <w:rsid w:val="2F2D93FA"/>
    <w:rsid w:val="2F2E2C9D"/>
    <w:rsid w:val="2F3118ED"/>
    <w:rsid w:val="2F319076"/>
    <w:rsid w:val="2F31DD13"/>
    <w:rsid w:val="2F321B5E"/>
    <w:rsid w:val="2F354818"/>
    <w:rsid w:val="2F36B50B"/>
    <w:rsid w:val="2F36C42D"/>
    <w:rsid w:val="2F393DF3"/>
    <w:rsid w:val="2F394AC6"/>
    <w:rsid w:val="2F3A3FA3"/>
    <w:rsid w:val="2F3BF6F2"/>
    <w:rsid w:val="2F3C92CC"/>
    <w:rsid w:val="2F3D83EB"/>
    <w:rsid w:val="2F3F9D6E"/>
    <w:rsid w:val="2F40F236"/>
    <w:rsid w:val="2F41A052"/>
    <w:rsid w:val="2F41D74B"/>
    <w:rsid w:val="2F44CB9E"/>
    <w:rsid w:val="2F45BF9B"/>
    <w:rsid w:val="2F472371"/>
    <w:rsid w:val="2F4754C9"/>
    <w:rsid w:val="2F4ABB88"/>
    <w:rsid w:val="2F4B9F1C"/>
    <w:rsid w:val="2F55AF9C"/>
    <w:rsid w:val="2F55CB72"/>
    <w:rsid w:val="2F563EE1"/>
    <w:rsid w:val="2F581491"/>
    <w:rsid w:val="2F593ACD"/>
    <w:rsid w:val="2F59E428"/>
    <w:rsid w:val="2F5A9534"/>
    <w:rsid w:val="2F5B8120"/>
    <w:rsid w:val="2F60C991"/>
    <w:rsid w:val="2F60FC30"/>
    <w:rsid w:val="2F611749"/>
    <w:rsid w:val="2F61BD28"/>
    <w:rsid w:val="2F622F1E"/>
    <w:rsid w:val="2F6293E4"/>
    <w:rsid w:val="2F641B38"/>
    <w:rsid w:val="2F642A73"/>
    <w:rsid w:val="2F665C5A"/>
    <w:rsid w:val="2F667D30"/>
    <w:rsid w:val="2F6B96FD"/>
    <w:rsid w:val="2F6D4CDB"/>
    <w:rsid w:val="2F74F24D"/>
    <w:rsid w:val="2F7723FC"/>
    <w:rsid w:val="2F79C279"/>
    <w:rsid w:val="2F822B97"/>
    <w:rsid w:val="2F8418F0"/>
    <w:rsid w:val="2F84F3C7"/>
    <w:rsid w:val="2F873B04"/>
    <w:rsid w:val="2F87B1B3"/>
    <w:rsid w:val="2F884EF3"/>
    <w:rsid w:val="2F895804"/>
    <w:rsid w:val="2F8E4DEA"/>
    <w:rsid w:val="2F8F7F05"/>
    <w:rsid w:val="2F8F8BFF"/>
    <w:rsid w:val="2F913529"/>
    <w:rsid w:val="2F94D41C"/>
    <w:rsid w:val="2F950079"/>
    <w:rsid w:val="2F958F17"/>
    <w:rsid w:val="2F976102"/>
    <w:rsid w:val="2F9810B7"/>
    <w:rsid w:val="2F996A27"/>
    <w:rsid w:val="2F99CBC1"/>
    <w:rsid w:val="2F99ED44"/>
    <w:rsid w:val="2F9A60E6"/>
    <w:rsid w:val="2F9AC5FC"/>
    <w:rsid w:val="2F9BFCFE"/>
    <w:rsid w:val="2F9C8FAA"/>
    <w:rsid w:val="2F9E4B3D"/>
    <w:rsid w:val="2F9EC89E"/>
    <w:rsid w:val="2F9FDCFC"/>
    <w:rsid w:val="2FA170E9"/>
    <w:rsid w:val="2FA2F908"/>
    <w:rsid w:val="2FA4049B"/>
    <w:rsid w:val="2FA4ED6F"/>
    <w:rsid w:val="2FA55134"/>
    <w:rsid w:val="2FA57968"/>
    <w:rsid w:val="2FA82155"/>
    <w:rsid w:val="2FA90FF9"/>
    <w:rsid w:val="2FA94AD6"/>
    <w:rsid w:val="2FA94D5F"/>
    <w:rsid w:val="2FA99516"/>
    <w:rsid w:val="2FACD524"/>
    <w:rsid w:val="2FAF1211"/>
    <w:rsid w:val="2FAF58CB"/>
    <w:rsid w:val="2FB1A1F6"/>
    <w:rsid w:val="2FB38371"/>
    <w:rsid w:val="2FB3D3D6"/>
    <w:rsid w:val="2FBA4C70"/>
    <w:rsid w:val="2FBAB90B"/>
    <w:rsid w:val="2FBDCFC8"/>
    <w:rsid w:val="2FC07081"/>
    <w:rsid w:val="2FC3936B"/>
    <w:rsid w:val="2FC6DEB9"/>
    <w:rsid w:val="2FC7BD13"/>
    <w:rsid w:val="2FC9A22E"/>
    <w:rsid w:val="2FC9D1EE"/>
    <w:rsid w:val="2FC9D888"/>
    <w:rsid w:val="2FCAA89A"/>
    <w:rsid w:val="2FCAEFDB"/>
    <w:rsid w:val="2FCAFEFB"/>
    <w:rsid w:val="2FCF3882"/>
    <w:rsid w:val="2FD19E26"/>
    <w:rsid w:val="2FD41CA3"/>
    <w:rsid w:val="2FD439CB"/>
    <w:rsid w:val="2FD527D6"/>
    <w:rsid w:val="2FD581F3"/>
    <w:rsid w:val="2FD7AA49"/>
    <w:rsid w:val="2FDDB622"/>
    <w:rsid w:val="2FDE9F19"/>
    <w:rsid w:val="2FE2E88C"/>
    <w:rsid w:val="2FE3744E"/>
    <w:rsid w:val="2FE390B0"/>
    <w:rsid w:val="2FE45667"/>
    <w:rsid w:val="2FE46E02"/>
    <w:rsid w:val="2FE698C1"/>
    <w:rsid w:val="2FE6E98D"/>
    <w:rsid w:val="2FE8E332"/>
    <w:rsid w:val="2FE983DB"/>
    <w:rsid w:val="2FEBBA89"/>
    <w:rsid w:val="2FEEA205"/>
    <w:rsid w:val="2FF3133C"/>
    <w:rsid w:val="2FF51922"/>
    <w:rsid w:val="2FF581FD"/>
    <w:rsid w:val="2FF5921F"/>
    <w:rsid w:val="2FF68AFA"/>
    <w:rsid w:val="2FF6AF51"/>
    <w:rsid w:val="2FFC8C56"/>
    <w:rsid w:val="2FFD47F8"/>
    <w:rsid w:val="2FFE3131"/>
    <w:rsid w:val="2FFF1336"/>
    <w:rsid w:val="300124B1"/>
    <w:rsid w:val="3001F9BB"/>
    <w:rsid w:val="3003A1B0"/>
    <w:rsid w:val="30056150"/>
    <w:rsid w:val="3008AEA0"/>
    <w:rsid w:val="30094F56"/>
    <w:rsid w:val="300C068D"/>
    <w:rsid w:val="300CCEE4"/>
    <w:rsid w:val="300F0007"/>
    <w:rsid w:val="300F0E4F"/>
    <w:rsid w:val="301188F2"/>
    <w:rsid w:val="30141C1D"/>
    <w:rsid w:val="3016D5BF"/>
    <w:rsid w:val="3018C610"/>
    <w:rsid w:val="301B01BB"/>
    <w:rsid w:val="301FE8BC"/>
    <w:rsid w:val="30207002"/>
    <w:rsid w:val="3021FA23"/>
    <w:rsid w:val="3023AA59"/>
    <w:rsid w:val="3025897E"/>
    <w:rsid w:val="30274967"/>
    <w:rsid w:val="302A7890"/>
    <w:rsid w:val="302D12C7"/>
    <w:rsid w:val="302D28A0"/>
    <w:rsid w:val="302DEF57"/>
    <w:rsid w:val="302E65AB"/>
    <w:rsid w:val="302F5B24"/>
    <w:rsid w:val="3030B22B"/>
    <w:rsid w:val="30332257"/>
    <w:rsid w:val="30342B24"/>
    <w:rsid w:val="30357CDE"/>
    <w:rsid w:val="30360C96"/>
    <w:rsid w:val="30375713"/>
    <w:rsid w:val="303903A8"/>
    <w:rsid w:val="303AD521"/>
    <w:rsid w:val="303BD599"/>
    <w:rsid w:val="303D2E98"/>
    <w:rsid w:val="303E1F2C"/>
    <w:rsid w:val="304245FC"/>
    <w:rsid w:val="30426540"/>
    <w:rsid w:val="304406C8"/>
    <w:rsid w:val="30440DF6"/>
    <w:rsid w:val="30443001"/>
    <w:rsid w:val="3044F47B"/>
    <w:rsid w:val="3045CB38"/>
    <w:rsid w:val="30460BA0"/>
    <w:rsid w:val="3048F582"/>
    <w:rsid w:val="304A6FA1"/>
    <w:rsid w:val="304ABF7C"/>
    <w:rsid w:val="304DCE5A"/>
    <w:rsid w:val="304F256C"/>
    <w:rsid w:val="30507842"/>
    <w:rsid w:val="30516037"/>
    <w:rsid w:val="30540BC4"/>
    <w:rsid w:val="30547FBC"/>
    <w:rsid w:val="3057575D"/>
    <w:rsid w:val="30575A6F"/>
    <w:rsid w:val="30577145"/>
    <w:rsid w:val="305A62B9"/>
    <w:rsid w:val="305AD646"/>
    <w:rsid w:val="305CA1B5"/>
    <w:rsid w:val="306015D4"/>
    <w:rsid w:val="3060415F"/>
    <w:rsid w:val="306164D1"/>
    <w:rsid w:val="306255CC"/>
    <w:rsid w:val="3062ABDB"/>
    <w:rsid w:val="3062E406"/>
    <w:rsid w:val="3063CE0F"/>
    <w:rsid w:val="30640FEB"/>
    <w:rsid w:val="3064F0C8"/>
    <w:rsid w:val="3069DECA"/>
    <w:rsid w:val="306E6856"/>
    <w:rsid w:val="30734A6C"/>
    <w:rsid w:val="30736771"/>
    <w:rsid w:val="3073F8B0"/>
    <w:rsid w:val="30749EC8"/>
    <w:rsid w:val="3074D878"/>
    <w:rsid w:val="30780C1D"/>
    <w:rsid w:val="307D0A81"/>
    <w:rsid w:val="307F990A"/>
    <w:rsid w:val="30814D1B"/>
    <w:rsid w:val="3082C124"/>
    <w:rsid w:val="30844D66"/>
    <w:rsid w:val="3084A609"/>
    <w:rsid w:val="308C39C7"/>
    <w:rsid w:val="308E4FF8"/>
    <w:rsid w:val="309352B8"/>
    <w:rsid w:val="309356AD"/>
    <w:rsid w:val="30950DC2"/>
    <w:rsid w:val="309563B9"/>
    <w:rsid w:val="309A0463"/>
    <w:rsid w:val="309ED4E9"/>
    <w:rsid w:val="309F87C3"/>
    <w:rsid w:val="30A1CE77"/>
    <w:rsid w:val="30A2FD05"/>
    <w:rsid w:val="30AA6B27"/>
    <w:rsid w:val="30AD1251"/>
    <w:rsid w:val="30AD5A42"/>
    <w:rsid w:val="30ADACEA"/>
    <w:rsid w:val="30B162C1"/>
    <w:rsid w:val="30B1680F"/>
    <w:rsid w:val="30B2AA4E"/>
    <w:rsid w:val="30B54258"/>
    <w:rsid w:val="30B72036"/>
    <w:rsid w:val="30B79E9F"/>
    <w:rsid w:val="30B95247"/>
    <w:rsid w:val="30BA8C19"/>
    <w:rsid w:val="30BB3713"/>
    <w:rsid w:val="30C00BD4"/>
    <w:rsid w:val="30C55290"/>
    <w:rsid w:val="30C5942F"/>
    <w:rsid w:val="30C7EE30"/>
    <w:rsid w:val="30C8AD65"/>
    <w:rsid w:val="30C8EB8C"/>
    <w:rsid w:val="30C99950"/>
    <w:rsid w:val="30CD2E92"/>
    <w:rsid w:val="30CE66C7"/>
    <w:rsid w:val="30CF5898"/>
    <w:rsid w:val="30D2E87C"/>
    <w:rsid w:val="30D62CF1"/>
    <w:rsid w:val="30D787F3"/>
    <w:rsid w:val="30D8F9FA"/>
    <w:rsid w:val="30D9C287"/>
    <w:rsid w:val="30D9F946"/>
    <w:rsid w:val="30DC8586"/>
    <w:rsid w:val="30DD6D19"/>
    <w:rsid w:val="30DE2BBF"/>
    <w:rsid w:val="30DFCB3C"/>
    <w:rsid w:val="30E1EB8F"/>
    <w:rsid w:val="30E21485"/>
    <w:rsid w:val="30E5B48B"/>
    <w:rsid w:val="30E69F66"/>
    <w:rsid w:val="30E6E26B"/>
    <w:rsid w:val="30E80C35"/>
    <w:rsid w:val="30ECB067"/>
    <w:rsid w:val="30F446E2"/>
    <w:rsid w:val="30F654AD"/>
    <w:rsid w:val="30F6ADD1"/>
    <w:rsid w:val="30FBACF7"/>
    <w:rsid w:val="30FE304B"/>
    <w:rsid w:val="310027A7"/>
    <w:rsid w:val="31030730"/>
    <w:rsid w:val="31052DEA"/>
    <w:rsid w:val="3109C469"/>
    <w:rsid w:val="310B906D"/>
    <w:rsid w:val="310BE2FD"/>
    <w:rsid w:val="310C1CE8"/>
    <w:rsid w:val="310C40EA"/>
    <w:rsid w:val="310D0887"/>
    <w:rsid w:val="310E59BC"/>
    <w:rsid w:val="310EAEC8"/>
    <w:rsid w:val="3111A7F5"/>
    <w:rsid w:val="3112FC14"/>
    <w:rsid w:val="31132A88"/>
    <w:rsid w:val="3113C334"/>
    <w:rsid w:val="31151E9B"/>
    <w:rsid w:val="3118F2AC"/>
    <w:rsid w:val="31192240"/>
    <w:rsid w:val="3119A04B"/>
    <w:rsid w:val="3119A3A0"/>
    <w:rsid w:val="311D1E1D"/>
    <w:rsid w:val="311D4080"/>
    <w:rsid w:val="311E8B3D"/>
    <w:rsid w:val="311F26E6"/>
    <w:rsid w:val="311F852A"/>
    <w:rsid w:val="312633FE"/>
    <w:rsid w:val="3126F674"/>
    <w:rsid w:val="3128A835"/>
    <w:rsid w:val="312CC74F"/>
    <w:rsid w:val="312D3E16"/>
    <w:rsid w:val="312D5979"/>
    <w:rsid w:val="312DB0EE"/>
    <w:rsid w:val="313244BD"/>
    <w:rsid w:val="313381BE"/>
    <w:rsid w:val="31351E76"/>
    <w:rsid w:val="313C57EC"/>
    <w:rsid w:val="313F0163"/>
    <w:rsid w:val="313F7783"/>
    <w:rsid w:val="3140E843"/>
    <w:rsid w:val="3145FB56"/>
    <w:rsid w:val="3147FAEB"/>
    <w:rsid w:val="314AE349"/>
    <w:rsid w:val="314EE682"/>
    <w:rsid w:val="314F5A02"/>
    <w:rsid w:val="3150531C"/>
    <w:rsid w:val="3152AB1E"/>
    <w:rsid w:val="31546437"/>
    <w:rsid w:val="3154AB55"/>
    <w:rsid w:val="3156CE84"/>
    <w:rsid w:val="3158FA78"/>
    <w:rsid w:val="315BC98E"/>
    <w:rsid w:val="315CAA8A"/>
    <w:rsid w:val="315CCB69"/>
    <w:rsid w:val="315FEBBB"/>
    <w:rsid w:val="31675FEB"/>
    <w:rsid w:val="31689DA8"/>
    <w:rsid w:val="31690C7C"/>
    <w:rsid w:val="3169C674"/>
    <w:rsid w:val="316E93AB"/>
    <w:rsid w:val="3171636C"/>
    <w:rsid w:val="3172C645"/>
    <w:rsid w:val="3172C759"/>
    <w:rsid w:val="31731072"/>
    <w:rsid w:val="3176A190"/>
    <w:rsid w:val="3177A593"/>
    <w:rsid w:val="317B54C3"/>
    <w:rsid w:val="317F5F66"/>
    <w:rsid w:val="31851045"/>
    <w:rsid w:val="318538D5"/>
    <w:rsid w:val="3185CAC7"/>
    <w:rsid w:val="318756CE"/>
    <w:rsid w:val="3189EC21"/>
    <w:rsid w:val="318AAA98"/>
    <w:rsid w:val="318D8D74"/>
    <w:rsid w:val="318E366D"/>
    <w:rsid w:val="3190314D"/>
    <w:rsid w:val="319106DC"/>
    <w:rsid w:val="319113F6"/>
    <w:rsid w:val="319443C7"/>
    <w:rsid w:val="31959DDB"/>
    <w:rsid w:val="3198B3B7"/>
    <w:rsid w:val="319AE1E0"/>
    <w:rsid w:val="319F341A"/>
    <w:rsid w:val="319F4B62"/>
    <w:rsid w:val="31A09DC9"/>
    <w:rsid w:val="31A1F8C2"/>
    <w:rsid w:val="31A2310F"/>
    <w:rsid w:val="31A2C80D"/>
    <w:rsid w:val="31A61C39"/>
    <w:rsid w:val="31A7872A"/>
    <w:rsid w:val="31A98D0F"/>
    <w:rsid w:val="31AB0E05"/>
    <w:rsid w:val="31ABD9A9"/>
    <w:rsid w:val="31AC734B"/>
    <w:rsid w:val="31AF3F3C"/>
    <w:rsid w:val="31B01E6B"/>
    <w:rsid w:val="31B36606"/>
    <w:rsid w:val="31B5B04D"/>
    <w:rsid w:val="31B89F7F"/>
    <w:rsid w:val="31BD1122"/>
    <w:rsid w:val="31BD19D4"/>
    <w:rsid w:val="31BF56B0"/>
    <w:rsid w:val="31C132C1"/>
    <w:rsid w:val="31C20E25"/>
    <w:rsid w:val="31C4D064"/>
    <w:rsid w:val="31C4F375"/>
    <w:rsid w:val="31C530FC"/>
    <w:rsid w:val="31C594A2"/>
    <w:rsid w:val="31C5BE3A"/>
    <w:rsid w:val="31C789B0"/>
    <w:rsid w:val="31C7C094"/>
    <w:rsid w:val="31C9DA8F"/>
    <w:rsid w:val="31CA2EFD"/>
    <w:rsid w:val="31CAE878"/>
    <w:rsid w:val="31CB75FD"/>
    <w:rsid w:val="31D0A4E2"/>
    <w:rsid w:val="31D2C534"/>
    <w:rsid w:val="31D43681"/>
    <w:rsid w:val="31D48A98"/>
    <w:rsid w:val="31D55527"/>
    <w:rsid w:val="31D6B48B"/>
    <w:rsid w:val="31D7A5FA"/>
    <w:rsid w:val="31D8673D"/>
    <w:rsid w:val="31D86CC2"/>
    <w:rsid w:val="31D8BBA5"/>
    <w:rsid w:val="31D965AD"/>
    <w:rsid w:val="31DA8859"/>
    <w:rsid w:val="31DCB077"/>
    <w:rsid w:val="31DD2B4F"/>
    <w:rsid w:val="31DD490E"/>
    <w:rsid w:val="31DE8208"/>
    <w:rsid w:val="31DF3E97"/>
    <w:rsid w:val="31DFDCD8"/>
    <w:rsid w:val="31DFDFE7"/>
    <w:rsid w:val="31E0FF5B"/>
    <w:rsid w:val="31E1330E"/>
    <w:rsid w:val="31E28836"/>
    <w:rsid w:val="31E3BE38"/>
    <w:rsid w:val="31E596A8"/>
    <w:rsid w:val="31E63A77"/>
    <w:rsid w:val="31E75043"/>
    <w:rsid w:val="31E8078B"/>
    <w:rsid w:val="31E87E1B"/>
    <w:rsid w:val="31E8C9A7"/>
    <w:rsid w:val="31ECAAC2"/>
    <w:rsid w:val="31F04AEE"/>
    <w:rsid w:val="31F6694D"/>
    <w:rsid w:val="31F8D29C"/>
    <w:rsid w:val="31FBB6DA"/>
    <w:rsid w:val="31FC11DB"/>
    <w:rsid w:val="31FD198A"/>
    <w:rsid w:val="320038F7"/>
    <w:rsid w:val="3201EADC"/>
    <w:rsid w:val="320478A6"/>
    <w:rsid w:val="320D099A"/>
    <w:rsid w:val="320D70DE"/>
    <w:rsid w:val="320DDC7E"/>
    <w:rsid w:val="320F3BDD"/>
    <w:rsid w:val="321145E2"/>
    <w:rsid w:val="3214C1BD"/>
    <w:rsid w:val="32153A1C"/>
    <w:rsid w:val="32183796"/>
    <w:rsid w:val="321C6FC0"/>
    <w:rsid w:val="321CB2CD"/>
    <w:rsid w:val="321CD84D"/>
    <w:rsid w:val="322011E5"/>
    <w:rsid w:val="3220BF21"/>
    <w:rsid w:val="3220C188"/>
    <w:rsid w:val="32210543"/>
    <w:rsid w:val="32263CF9"/>
    <w:rsid w:val="32269500"/>
    <w:rsid w:val="32274EE0"/>
    <w:rsid w:val="32282510"/>
    <w:rsid w:val="3229CCDB"/>
    <w:rsid w:val="32308C7B"/>
    <w:rsid w:val="3230A88A"/>
    <w:rsid w:val="32341092"/>
    <w:rsid w:val="3234E663"/>
    <w:rsid w:val="323581D4"/>
    <w:rsid w:val="32367008"/>
    <w:rsid w:val="32367E15"/>
    <w:rsid w:val="3236DDF0"/>
    <w:rsid w:val="32370D21"/>
    <w:rsid w:val="32388F4C"/>
    <w:rsid w:val="3238D2B4"/>
    <w:rsid w:val="323BA49B"/>
    <w:rsid w:val="323CE04B"/>
    <w:rsid w:val="323E0133"/>
    <w:rsid w:val="323F5A43"/>
    <w:rsid w:val="3241E888"/>
    <w:rsid w:val="32444BC4"/>
    <w:rsid w:val="324557A4"/>
    <w:rsid w:val="32461E4F"/>
    <w:rsid w:val="32470290"/>
    <w:rsid w:val="3247F273"/>
    <w:rsid w:val="324CA309"/>
    <w:rsid w:val="324CCDDC"/>
    <w:rsid w:val="324E45DC"/>
    <w:rsid w:val="324EAF2C"/>
    <w:rsid w:val="32517BF8"/>
    <w:rsid w:val="3251C699"/>
    <w:rsid w:val="3251D2A1"/>
    <w:rsid w:val="32534A78"/>
    <w:rsid w:val="32560FA7"/>
    <w:rsid w:val="325C4CD2"/>
    <w:rsid w:val="3260BC82"/>
    <w:rsid w:val="3260BCF7"/>
    <w:rsid w:val="326299DB"/>
    <w:rsid w:val="3263DF0C"/>
    <w:rsid w:val="326454BB"/>
    <w:rsid w:val="3265E75A"/>
    <w:rsid w:val="326CA817"/>
    <w:rsid w:val="32716F38"/>
    <w:rsid w:val="32718E44"/>
    <w:rsid w:val="3271BEC3"/>
    <w:rsid w:val="3276665E"/>
    <w:rsid w:val="3278F3C1"/>
    <w:rsid w:val="3279CF91"/>
    <w:rsid w:val="327B78B5"/>
    <w:rsid w:val="327E0C62"/>
    <w:rsid w:val="32800036"/>
    <w:rsid w:val="328051E7"/>
    <w:rsid w:val="3281F960"/>
    <w:rsid w:val="3284C610"/>
    <w:rsid w:val="328B0189"/>
    <w:rsid w:val="328F8F4B"/>
    <w:rsid w:val="32907136"/>
    <w:rsid w:val="32907A66"/>
    <w:rsid w:val="32913BF7"/>
    <w:rsid w:val="329810DF"/>
    <w:rsid w:val="3298201D"/>
    <w:rsid w:val="329AB993"/>
    <w:rsid w:val="329ACEF8"/>
    <w:rsid w:val="329C3E2C"/>
    <w:rsid w:val="329C8E78"/>
    <w:rsid w:val="329CDCFA"/>
    <w:rsid w:val="329DB3E3"/>
    <w:rsid w:val="32A09777"/>
    <w:rsid w:val="32A137FF"/>
    <w:rsid w:val="32A28C0E"/>
    <w:rsid w:val="32A30861"/>
    <w:rsid w:val="32A446BD"/>
    <w:rsid w:val="32A45471"/>
    <w:rsid w:val="32A5D8D7"/>
    <w:rsid w:val="32A732D5"/>
    <w:rsid w:val="32A911C1"/>
    <w:rsid w:val="32AA12C2"/>
    <w:rsid w:val="32AA164A"/>
    <w:rsid w:val="32AACAD2"/>
    <w:rsid w:val="32AD3568"/>
    <w:rsid w:val="32ADA3B3"/>
    <w:rsid w:val="32AE57D1"/>
    <w:rsid w:val="32AF18E9"/>
    <w:rsid w:val="32AFACC3"/>
    <w:rsid w:val="32B21220"/>
    <w:rsid w:val="32B3C4FB"/>
    <w:rsid w:val="32B58482"/>
    <w:rsid w:val="32B880FA"/>
    <w:rsid w:val="32B9023D"/>
    <w:rsid w:val="32BB634A"/>
    <w:rsid w:val="32BB8AD6"/>
    <w:rsid w:val="32BD49FB"/>
    <w:rsid w:val="32C192D5"/>
    <w:rsid w:val="32C20725"/>
    <w:rsid w:val="32C3ED0B"/>
    <w:rsid w:val="32C56EC8"/>
    <w:rsid w:val="32C6C9BF"/>
    <w:rsid w:val="32C737DF"/>
    <w:rsid w:val="32C7784F"/>
    <w:rsid w:val="32CB2D9F"/>
    <w:rsid w:val="32CD31B4"/>
    <w:rsid w:val="32D12FF7"/>
    <w:rsid w:val="32D18ADF"/>
    <w:rsid w:val="32D1D894"/>
    <w:rsid w:val="32D3CD47"/>
    <w:rsid w:val="32D5982E"/>
    <w:rsid w:val="32D72EE5"/>
    <w:rsid w:val="32D9F633"/>
    <w:rsid w:val="32DB9F49"/>
    <w:rsid w:val="32DBE042"/>
    <w:rsid w:val="32DDEF36"/>
    <w:rsid w:val="32DEC870"/>
    <w:rsid w:val="32DECEE9"/>
    <w:rsid w:val="32E0A099"/>
    <w:rsid w:val="32E1E651"/>
    <w:rsid w:val="32E20A6C"/>
    <w:rsid w:val="32E27713"/>
    <w:rsid w:val="32E2B559"/>
    <w:rsid w:val="32E9A78D"/>
    <w:rsid w:val="32E9D3D7"/>
    <w:rsid w:val="32EB6DB5"/>
    <w:rsid w:val="32EF6EEB"/>
    <w:rsid w:val="32EFC7B8"/>
    <w:rsid w:val="32F16212"/>
    <w:rsid w:val="32F1A582"/>
    <w:rsid w:val="32F24A4F"/>
    <w:rsid w:val="32F46227"/>
    <w:rsid w:val="32F7E7E6"/>
    <w:rsid w:val="32FBBE79"/>
    <w:rsid w:val="33020465"/>
    <w:rsid w:val="330367BF"/>
    <w:rsid w:val="3305CF5E"/>
    <w:rsid w:val="33078B54"/>
    <w:rsid w:val="3308A4A6"/>
    <w:rsid w:val="330A7541"/>
    <w:rsid w:val="330ADFD3"/>
    <w:rsid w:val="330DBAEF"/>
    <w:rsid w:val="330F43AA"/>
    <w:rsid w:val="331235BF"/>
    <w:rsid w:val="3312A095"/>
    <w:rsid w:val="3312CC2B"/>
    <w:rsid w:val="331367CC"/>
    <w:rsid w:val="33193B7C"/>
    <w:rsid w:val="331A0BF8"/>
    <w:rsid w:val="331BD71B"/>
    <w:rsid w:val="331DDC84"/>
    <w:rsid w:val="331DE4E6"/>
    <w:rsid w:val="33223F43"/>
    <w:rsid w:val="332360BC"/>
    <w:rsid w:val="33244284"/>
    <w:rsid w:val="3324605E"/>
    <w:rsid w:val="33252E9A"/>
    <w:rsid w:val="332F46E2"/>
    <w:rsid w:val="332F5973"/>
    <w:rsid w:val="33305989"/>
    <w:rsid w:val="3332C5CC"/>
    <w:rsid w:val="3332CD24"/>
    <w:rsid w:val="3332D31F"/>
    <w:rsid w:val="3334876B"/>
    <w:rsid w:val="3334B409"/>
    <w:rsid w:val="3337CF6D"/>
    <w:rsid w:val="3337E4F3"/>
    <w:rsid w:val="333AB722"/>
    <w:rsid w:val="333B2744"/>
    <w:rsid w:val="333EFD23"/>
    <w:rsid w:val="33405EC7"/>
    <w:rsid w:val="33430E7B"/>
    <w:rsid w:val="33438CBE"/>
    <w:rsid w:val="334A3015"/>
    <w:rsid w:val="334B7D7F"/>
    <w:rsid w:val="334C018D"/>
    <w:rsid w:val="334C08A5"/>
    <w:rsid w:val="334C67FB"/>
    <w:rsid w:val="334DB8A1"/>
    <w:rsid w:val="334F9622"/>
    <w:rsid w:val="3351822C"/>
    <w:rsid w:val="3353E19E"/>
    <w:rsid w:val="3354B21B"/>
    <w:rsid w:val="33559E41"/>
    <w:rsid w:val="3358061F"/>
    <w:rsid w:val="33587A12"/>
    <w:rsid w:val="3358F256"/>
    <w:rsid w:val="335990BF"/>
    <w:rsid w:val="33612CE9"/>
    <w:rsid w:val="33617CC4"/>
    <w:rsid w:val="3362FCA4"/>
    <w:rsid w:val="3365C93D"/>
    <w:rsid w:val="336896E1"/>
    <w:rsid w:val="336B0D04"/>
    <w:rsid w:val="336D70CF"/>
    <w:rsid w:val="3370CD0F"/>
    <w:rsid w:val="3372039B"/>
    <w:rsid w:val="33729FEE"/>
    <w:rsid w:val="3373765B"/>
    <w:rsid w:val="3375864C"/>
    <w:rsid w:val="337872FB"/>
    <w:rsid w:val="33787F9B"/>
    <w:rsid w:val="33794C9E"/>
    <w:rsid w:val="337CA61D"/>
    <w:rsid w:val="3380BC28"/>
    <w:rsid w:val="3382A852"/>
    <w:rsid w:val="3388ECDB"/>
    <w:rsid w:val="338A9C26"/>
    <w:rsid w:val="338AB1C2"/>
    <w:rsid w:val="338E4626"/>
    <w:rsid w:val="338FC9F4"/>
    <w:rsid w:val="3392AC89"/>
    <w:rsid w:val="3392B8A2"/>
    <w:rsid w:val="3393C68A"/>
    <w:rsid w:val="339452D2"/>
    <w:rsid w:val="33945BF2"/>
    <w:rsid w:val="3394C215"/>
    <w:rsid w:val="3395A5F7"/>
    <w:rsid w:val="3395DE27"/>
    <w:rsid w:val="339A9032"/>
    <w:rsid w:val="339AFFA6"/>
    <w:rsid w:val="339BED90"/>
    <w:rsid w:val="339EC11C"/>
    <w:rsid w:val="33A19A6A"/>
    <w:rsid w:val="33A2729A"/>
    <w:rsid w:val="33A30705"/>
    <w:rsid w:val="33A4E373"/>
    <w:rsid w:val="33A750EB"/>
    <w:rsid w:val="33A79CC1"/>
    <w:rsid w:val="33A851A1"/>
    <w:rsid w:val="33A8B551"/>
    <w:rsid w:val="33AA6874"/>
    <w:rsid w:val="33AD8D06"/>
    <w:rsid w:val="33ADE928"/>
    <w:rsid w:val="33AF0643"/>
    <w:rsid w:val="33B510DC"/>
    <w:rsid w:val="33B6BA6B"/>
    <w:rsid w:val="33B714FE"/>
    <w:rsid w:val="33B72A43"/>
    <w:rsid w:val="33BB8751"/>
    <w:rsid w:val="33BBF3C3"/>
    <w:rsid w:val="33BD64D2"/>
    <w:rsid w:val="33BE6E6F"/>
    <w:rsid w:val="33C0DA33"/>
    <w:rsid w:val="33C3C842"/>
    <w:rsid w:val="33C3CCA9"/>
    <w:rsid w:val="33C3F186"/>
    <w:rsid w:val="33C828DD"/>
    <w:rsid w:val="33C89FDD"/>
    <w:rsid w:val="33C9CCC4"/>
    <w:rsid w:val="33CA76A7"/>
    <w:rsid w:val="33CC017F"/>
    <w:rsid w:val="33CE0A14"/>
    <w:rsid w:val="33D1ADE4"/>
    <w:rsid w:val="33D74CB6"/>
    <w:rsid w:val="33D93138"/>
    <w:rsid w:val="33DBB256"/>
    <w:rsid w:val="33DBBBB3"/>
    <w:rsid w:val="33DC7C9D"/>
    <w:rsid w:val="33DDBF95"/>
    <w:rsid w:val="33E05F87"/>
    <w:rsid w:val="33E16BE0"/>
    <w:rsid w:val="33E1B3E9"/>
    <w:rsid w:val="33E4DEB2"/>
    <w:rsid w:val="33E4F5F3"/>
    <w:rsid w:val="33E88D0E"/>
    <w:rsid w:val="33EB4383"/>
    <w:rsid w:val="33EB5324"/>
    <w:rsid w:val="33EB6666"/>
    <w:rsid w:val="33EB687F"/>
    <w:rsid w:val="33EC91B0"/>
    <w:rsid w:val="33EF8764"/>
    <w:rsid w:val="33F05187"/>
    <w:rsid w:val="33F06B4E"/>
    <w:rsid w:val="33F1E93F"/>
    <w:rsid w:val="33F4475B"/>
    <w:rsid w:val="33F74D35"/>
    <w:rsid w:val="33FB09C3"/>
    <w:rsid w:val="33FF2495"/>
    <w:rsid w:val="33FF28FF"/>
    <w:rsid w:val="3400A9B9"/>
    <w:rsid w:val="34045F8F"/>
    <w:rsid w:val="3406E2A2"/>
    <w:rsid w:val="3408B504"/>
    <w:rsid w:val="340A5FB1"/>
    <w:rsid w:val="340AA7D4"/>
    <w:rsid w:val="340C40FB"/>
    <w:rsid w:val="340CC0E4"/>
    <w:rsid w:val="34104AA4"/>
    <w:rsid w:val="34127ADD"/>
    <w:rsid w:val="34143BF8"/>
    <w:rsid w:val="34145768"/>
    <w:rsid w:val="34150324"/>
    <w:rsid w:val="341523B1"/>
    <w:rsid w:val="3415E9D1"/>
    <w:rsid w:val="34181315"/>
    <w:rsid w:val="34198342"/>
    <w:rsid w:val="341ADCE0"/>
    <w:rsid w:val="341BF830"/>
    <w:rsid w:val="341E054C"/>
    <w:rsid w:val="341E0950"/>
    <w:rsid w:val="341E6219"/>
    <w:rsid w:val="341F2C90"/>
    <w:rsid w:val="34244393"/>
    <w:rsid w:val="3424A6C4"/>
    <w:rsid w:val="34264958"/>
    <w:rsid w:val="342651F4"/>
    <w:rsid w:val="3426DEA9"/>
    <w:rsid w:val="34280C11"/>
    <w:rsid w:val="342A13C0"/>
    <w:rsid w:val="342D3AFA"/>
    <w:rsid w:val="3433E2A3"/>
    <w:rsid w:val="34342EC0"/>
    <w:rsid w:val="3435A4CC"/>
    <w:rsid w:val="3438488A"/>
    <w:rsid w:val="3439BA80"/>
    <w:rsid w:val="3439F982"/>
    <w:rsid w:val="343B3482"/>
    <w:rsid w:val="343C852D"/>
    <w:rsid w:val="343C8F34"/>
    <w:rsid w:val="343DBB24"/>
    <w:rsid w:val="3441CAC4"/>
    <w:rsid w:val="3442A4D1"/>
    <w:rsid w:val="34488DA4"/>
    <w:rsid w:val="3449B57B"/>
    <w:rsid w:val="344CA050"/>
    <w:rsid w:val="344EFDAF"/>
    <w:rsid w:val="34513977"/>
    <w:rsid w:val="3452E12A"/>
    <w:rsid w:val="3453C12D"/>
    <w:rsid w:val="345715B8"/>
    <w:rsid w:val="345AA90A"/>
    <w:rsid w:val="345B7638"/>
    <w:rsid w:val="345C5327"/>
    <w:rsid w:val="345CE0F8"/>
    <w:rsid w:val="345CF8BA"/>
    <w:rsid w:val="345E56A6"/>
    <w:rsid w:val="3460FEDE"/>
    <w:rsid w:val="34619FFA"/>
    <w:rsid w:val="3461BE11"/>
    <w:rsid w:val="34635A72"/>
    <w:rsid w:val="3464C850"/>
    <w:rsid w:val="3467573E"/>
    <w:rsid w:val="34686710"/>
    <w:rsid w:val="34687FAC"/>
    <w:rsid w:val="346927BC"/>
    <w:rsid w:val="346FAE96"/>
    <w:rsid w:val="346FF3CC"/>
    <w:rsid w:val="3470D974"/>
    <w:rsid w:val="347235E6"/>
    <w:rsid w:val="3474DD04"/>
    <w:rsid w:val="3474FF41"/>
    <w:rsid w:val="347557F1"/>
    <w:rsid w:val="34785916"/>
    <w:rsid w:val="347B62D8"/>
    <w:rsid w:val="347F8460"/>
    <w:rsid w:val="34812794"/>
    <w:rsid w:val="3482AD67"/>
    <w:rsid w:val="34830107"/>
    <w:rsid w:val="34853090"/>
    <w:rsid w:val="34856FEA"/>
    <w:rsid w:val="348607F2"/>
    <w:rsid w:val="348884BD"/>
    <w:rsid w:val="3488C51D"/>
    <w:rsid w:val="34896C4D"/>
    <w:rsid w:val="348A8BBD"/>
    <w:rsid w:val="348E2608"/>
    <w:rsid w:val="348F282E"/>
    <w:rsid w:val="34922A09"/>
    <w:rsid w:val="3492CCE1"/>
    <w:rsid w:val="3492E270"/>
    <w:rsid w:val="3493D825"/>
    <w:rsid w:val="3496124E"/>
    <w:rsid w:val="3497B96A"/>
    <w:rsid w:val="34981E0C"/>
    <w:rsid w:val="3499CEE9"/>
    <w:rsid w:val="349B547D"/>
    <w:rsid w:val="349BD0F4"/>
    <w:rsid w:val="349BE8D8"/>
    <w:rsid w:val="349D3DDF"/>
    <w:rsid w:val="349DEB54"/>
    <w:rsid w:val="349F2811"/>
    <w:rsid w:val="349F8F61"/>
    <w:rsid w:val="34A15316"/>
    <w:rsid w:val="34A30B0F"/>
    <w:rsid w:val="34A30C6B"/>
    <w:rsid w:val="34A69A1A"/>
    <w:rsid w:val="34A7E22E"/>
    <w:rsid w:val="34A909D5"/>
    <w:rsid w:val="34AB71E5"/>
    <w:rsid w:val="34ABEAE7"/>
    <w:rsid w:val="34AD1528"/>
    <w:rsid w:val="34AD3E53"/>
    <w:rsid w:val="34AFE5CB"/>
    <w:rsid w:val="34B0723E"/>
    <w:rsid w:val="34B1B8E4"/>
    <w:rsid w:val="34B37945"/>
    <w:rsid w:val="34BC473D"/>
    <w:rsid w:val="34BD310D"/>
    <w:rsid w:val="34C24B8D"/>
    <w:rsid w:val="34C66BB2"/>
    <w:rsid w:val="34C7EC20"/>
    <w:rsid w:val="34C8EFCD"/>
    <w:rsid w:val="34CA4683"/>
    <w:rsid w:val="34CB2BA3"/>
    <w:rsid w:val="34CC7127"/>
    <w:rsid w:val="34CCFB66"/>
    <w:rsid w:val="34CDDA40"/>
    <w:rsid w:val="34D0EB20"/>
    <w:rsid w:val="34D306BF"/>
    <w:rsid w:val="34D5F8E0"/>
    <w:rsid w:val="34D84E6B"/>
    <w:rsid w:val="34D943DA"/>
    <w:rsid w:val="34D98740"/>
    <w:rsid w:val="34DADDD8"/>
    <w:rsid w:val="34DD4512"/>
    <w:rsid w:val="34DE365D"/>
    <w:rsid w:val="34E037C4"/>
    <w:rsid w:val="34E051C2"/>
    <w:rsid w:val="34E5611E"/>
    <w:rsid w:val="34E7D53A"/>
    <w:rsid w:val="34E8B0F0"/>
    <w:rsid w:val="34EB1EAB"/>
    <w:rsid w:val="34EBCBF8"/>
    <w:rsid w:val="34ED1B05"/>
    <w:rsid w:val="34EDC8EE"/>
    <w:rsid w:val="34F07B95"/>
    <w:rsid w:val="34F2185C"/>
    <w:rsid w:val="34F30410"/>
    <w:rsid w:val="34F3908C"/>
    <w:rsid w:val="34F60390"/>
    <w:rsid w:val="34FB8BAC"/>
    <w:rsid w:val="34FC2701"/>
    <w:rsid w:val="34FD3D5B"/>
    <w:rsid w:val="34FD7D38"/>
    <w:rsid w:val="34FDFCF3"/>
    <w:rsid w:val="34FEA1B0"/>
    <w:rsid w:val="3503F30E"/>
    <w:rsid w:val="350431EB"/>
    <w:rsid w:val="35086194"/>
    <w:rsid w:val="350989A0"/>
    <w:rsid w:val="350B8835"/>
    <w:rsid w:val="350D80A0"/>
    <w:rsid w:val="350F46BC"/>
    <w:rsid w:val="35101E74"/>
    <w:rsid w:val="35117F8A"/>
    <w:rsid w:val="3512D0D2"/>
    <w:rsid w:val="3512E965"/>
    <w:rsid w:val="3516FB48"/>
    <w:rsid w:val="35173F13"/>
    <w:rsid w:val="351781C1"/>
    <w:rsid w:val="351D221A"/>
    <w:rsid w:val="351D60ED"/>
    <w:rsid w:val="351E56FC"/>
    <w:rsid w:val="35201A13"/>
    <w:rsid w:val="3520A7FE"/>
    <w:rsid w:val="3525508B"/>
    <w:rsid w:val="35258649"/>
    <w:rsid w:val="3527042E"/>
    <w:rsid w:val="352722BE"/>
    <w:rsid w:val="352AACC7"/>
    <w:rsid w:val="352AF0E1"/>
    <w:rsid w:val="352EB3EA"/>
    <w:rsid w:val="35340C8D"/>
    <w:rsid w:val="35340DC6"/>
    <w:rsid w:val="35365E83"/>
    <w:rsid w:val="3537F5F0"/>
    <w:rsid w:val="353B9034"/>
    <w:rsid w:val="353CB0B7"/>
    <w:rsid w:val="353D22CE"/>
    <w:rsid w:val="353FCF24"/>
    <w:rsid w:val="3541A0A9"/>
    <w:rsid w:val="3543E8B6"/>
    <w:rsid w:val="3546076A"/>
    <w:rsid w:val="3550E4E9"/>
    <w:rsid w:val="3552EDE8"/>
    <w:rsid w:val="3553F5E5"/>
    <w:rsid w:val="35545DE3"/>
    <w:rsid w:val="3554790F"/>
    <w:rsid w:val="35565829"/>
    <w:rsid w:val="35567CF3"/>
    <w:rsid w:val="3557DF5F"/>
    <w:rsid w:val="35595A35"/>
    <w:rsid w:val="355C9D06"/>
    <w:rsid w:val="355F51A8"/>
    <w:rsid w:val="3561A1F2"/>
    <w:rsid w:val="356260DD"/>
    <w:rsid w:val="35642C24"/>
    <w:rsid w:val="356AD620"/>
    <w:rsid w:val="356AF362"/>
    <w:rsid w:val="356B710B"/>
    <w:rsid w:val="356BC4BD"/>
    <w:rsid w:val="356CB4A0"/>
    <w:rsid w:val="3573C8C4"/>
    <w:rsid w:val="357495C2"/>
    <w:rsid w:val="35764187"/>
    <w:rsid w:val="3577C1DC"/>
    <w:rsid w:val="35783346"/>
    <w:rsid w:val="357BDB21"/>
    <w:rsid w:val="357C8078"/>
    <w:rsid w:val="3581D9CF"/>
    <w:rsid w:val="3582F2A5"/>
    <w:rsid w:val="35842BA2"/>
    <w:rsid w:val="3584EA05"/>
    <w:rsid w:val="35850744"/>
    <w:rsid w:val="358583BB"/>
    <w:rsid w:val="35870DFF"/>
    <w:rsid w:val="358E0B04"/>
    <w:rsid w:val="3590EEA7"/>
    <w:rsid w:val="359106FE"/>
    <w:rsid w:val="359375B5"/>
    <w:rsid w:val="359488D6"/>
    <w:rsid w:val="359501B0"/>
    <w:rsid w:val="35991181"/>
    <w:rsid w:val="359968A8"/>
    <w:rsid w:val="359A9DF3"/>
    <w:rsid w:val="359AA969"/>
    <w:rsid w:val="359B5EF2"/>
    <w:rsid w:val="359E034A"/>
    <w:rsid w:val="359F8CC2"/>
    <w:rsid w:val="35A0FABF"/>
    <w:rsid w:val="35A28C08"/>
    <w:rsid w:val="35A7479B"/>
    <w:rsid w:val="35A9A17B"/>
    <w:rsid w:val="35ACE9DD"/>
    <w:rsid w:val="35B0472C"/>
    <w:rsid w:val="35B225F3"/>
    <w:rsid w:val="35B23D9A"/>
    <w:rsid w:val="35B76629"/>
    <w:rsid w:val="35B8CB7F"/>
    <w:rsid w:val="35B92D24"/>
    <w:rsid w:val="35BC5B65"/>
    <w:rsid w:val="35BF49ED"/>
    <w:rsid w:val="35BF9632"/>
    <w:rsid w:val="35BFBC6A"/>
    <w:rsid w:val="35C02567"/>
    <w:rsid w:val="35C07EFA"/>
    <w:rsid w:val="35C262E6"/>
    <w:rsid w:val="35C40E37"/>
    <w:rsid w:val="35C7A433"/>
    <w:rsid w:val="35CB987C"/>
    <w:rsid w:val="35CEBB18"/>
    <w:rsid w:val="35D04853"/>
    <w:rsid w:val="35D196BA"/>
    <w:rsid w:val="35D1E64B"/>
    <w:rsid w:val="35D2F0A0"/>
    <w:rsid w:val="35D353B2"/>
    <w:rsid w:val="35D4B9C0"/>
    <w:rsid w:val="35D55C97"/>
    <w:rsid w:val="35D5D1A6"/>
    <w:rsid w:val="35D9D56B"/>
    <w:rsid w:val="35D9DEEC"/>
    <w:rsid w:val="35DA7242"/>
    <w:rsid w:val="35DAD821"/>
    <w:rsid w:val="35DAD82C"/>
    <w:rsid w:val="35DE506C"/>
    <w:rsid w:val="35E0A157"/>
    <w:rsid w:val="35E71E91"/>
    <w:rsid w:val="35E8988B"/>
    <w:rsid w:val="35EA22FC"/>
    <w:rsid w:val="35EB8125"/>
    <w:rsid w:val="35EE2FB1"/>
    <w:rsid w:val="35EFD3E1"/>
    <w:rsid w:val="35F11C5E"/>
    <w:rsid w:val="35F3658B"/>
    <w:rsid w:val="35F45632"/>
    <w:rsid w:val="35F4DC04"/>
    <w:rsid w:val="35F5F581"/>
    <w:rsid w:val="35F8ADD7"/>
    <w:rsid w:val="35FA2E71"/>
    <w:rsid w:val="35FAC508"/>
    <w:rsid w:val="35FB4B15"/>
    <w:rsid w:val="35FC7399"/>
    <w:rsid w:val="35FDB01C"/>
    <w:rsid w:val="35FEE94B"/>
    <w:rsid w:val="36040CF1"/>
    <w:rsid w:val="360450BA"/>
    <w:rsid w:val="36068F5F"/>
    <w:rsid w:val="3607609F"/>
    <w:rsid w:val="3607E1B2"/>
    <w:rsid w:val="3609241D"/>
    <w:rsid w:val="36095D64"/>
    <w:rsid w:val="3609A7CA"/>
    <w:rsid w:val="3609C2C5"/>
    <w:rsid w:val="360A3E2E"/>
    <w:rsid w:val="360D821B"/>
    <w:rsid w:val="360ED5F8"/>
    <w:rsid w:val="361011D8"/>
    <w:rsid w:val="3610B4BA"/>
    <w:rsid w:val="36157645"/>
    <w:rsid w:val="36160F30"/>
    <w:rsid w:val="36170313"/>
    <w:rsid w:val="361822AD"/>
    <w:rsid w:val="36198713"/>
    <w:rsid w:val="361BDD23"/>
    <w:rsid w:val="361D1F51"/>
    <w:rsid w:val="361F4347"/>
    <w:rsid w:val="361FFB67"/>
    <w:rsid w:val="362417D4"/>
    <w:rsid w:val="362B39E8"/>
    <w:rsid w:val="362D0037"/>
    <w:rsid w:val="3630235B"/>
    <w:rsid w:val="36305DD7"/>
    <w:rsid w:val="36310B78"/>
    <w:rsid w:val="36339874"/>
    <w:rsid w:val="363724BA"/>
    <w:rsid w:val="3638CCB1"/>
    <w:rsid w:val="36393779"/>
    <w:rsid w:val="36395133"/>
    <w:rsid w:val="3639F076"/>
    <w:rsid w:val="363B3FAB"/>
    <w:rsid w:val="363C1BA5"/>
    <w:rsid w:val="363DFDE8"/>
    <w:rsid w:val="3640632D"/>
    <w:rsid w:val="3642DE3E"/>
    <w:rsid w:val="3645188D"/>
    <w:rsid w:val="3646836B"/>
    <w:rsid w:val="36478B80"/>
    <w:rsid w:val="364C2937"/>
    <w:rsid w:val="364EFE00"/>
    <w:rsid w:val="36516E37"/>
    <w:rsid w:val="3653D25E"/>
    <w:rsid w:val="3656607C"/>
    <w:rsid w:val="36598607"/>
    <w:rsid w:val="365AD5D5"/>
    <w:rsid w:val="365B05C0"/>
    <w:rsid w:val="365C4162"/>
    <w:rsid w:val="365C97CE"/>
    <w:rsid w:val="365D8616"/>
    <w:rsid w:val="365E1BBB"/>
    <w:rsid w:val="365E2056"/>
    <w:rsid w:val="36618B31"/>
    <w:rsid w:val="36619C13"/>
    <w:rsid w:val="3666ED82"/>
    <w:rsid w:val="36688232"/>
    <w:rsid w:val="3668FBEC"/>
    <w:rsid w:val="366F651D"/>
    <w:rsid w:val="3672099F"/>
    <w:rsid w:val="36745464"/>
    <w:rsid w:val="3676B979"/>
    <w:rsid w:val="36772DBA"/>
    <w:rsid w:val="3678009F"/>
    <w:rsid w:val="367813B2"/>
    <w:rsid w:val="3678CBA3"/>
    <w:rsid w:val="367C451F"/>
    <w:rsid w:val="367CBA0F"/>
    <w:rsid w:val="367EB3DF"/>
    <w:rsid w:val="3684A553"/>
    <w:rsid w:val="3685403F"/>
    <w:rsid w:val="368859DB"/>
    <w:rsid w:val="368B4B11"/>
    <w:rsid w:val="368BB453"/>
    <w:rsid w:val="36937663"/>
    <w:rsid w:val="3694717D"/>
    <w:rsid w:val="36990629"/>
    <w:rsid w:val="36993156"/>
    <w:rsid w:val="369AB377"/>
    <w:rsid w:val="369C195A"/>
    <w:rsid w:val="369DE41E"/>
    <w:rsid w:val="36A006F5"/>
    <w:rsid w:val="36A263F3"/>
    <w:rsid w:val="36A34AFC"/>
    <w:rsid w:val="36A36008"/>
    <w:rsid w:val="36A3EAF4"/>
    <w:rsid w:val="36A405C9"/>
    <w:rsid w:val="36A4D7CE"/>
    <w:rsid w:val="36A6A6C3"/>
    <w:rsid w:val="36A71135"/>
    <w:rsid w:val="36A80E92"/>
    <w:rsid w:val="36A87F86"/>
    <w:rsid w:val="36A8FDAD"/>
    <w:rsid w:val="36AC5DA7"/>
    <w:rsid w:val="36ACC63B"/>
    <w:rsid w:val="36B02FD6"/>
    <w:rsid w:val="36B17C1B"/>
    <w:rsid w:val="36B2E430"/>
    <w:rsid w:val="36B3DA8A"/>
    <w:rsid w:val="36B6DA71"/>
    <w:rsid w:val="36B81F69"/>
    <w:rsid w:val="36BA8118"/>
    <w:rsid w:val="36BA9F2E"/>
    <w:rsid w:val="36BB0431"/>
    <w:rsid w:val="36BF408D"/>
    <w:rsid w:val="36BF654A"/>
    <w:rsid w:val="36C55A23"/>
    <w:rsid w:val="36C57E34"/>
    <w:rsid w:val="36C89C98"/>
    <w:rsid w:val="36CAF3AD"/>
    <w:rsid w:val="36CBCDE3"/>
    <w:rsid w:val="36CCFB53"/>
    <w:rsid w:val="36CD7F3C"/>
    <w:rsid w:val="36CFD2BA"/>
    <w:rsid w:val="36D2C62C"/>
    <w:rsid w:val="36D3D091"/>
    <w:rsid w:val="36D4A2F2"/>
    <w:rsid w:val="36D553F0"/>
    <w:rsid w:val="36D574E5"/>
    <w:rsid w:val="36D6505D"/>
    <w:rsid w:val="36D8C7A7"/>
    <w:rsid w:val="36D94C3A"/>
    <w:rsid w:val="36D98B05"/>
    <w:rsid w:val="36DABDFF"/>
    <w:rsid w:val="36DB6A56"/>
    <w:rsid w:val="36DF9707"/>
    <w:rsid w:val="36DFFD7F"/>
    <w:rsid w:val="36E279F1"/>
    <w:rsid w:val="36E56696"/>
    <w:rsid w:val="36E58CD0"/>
    <w:rsid w:val="36E60E2C"/>
    <w:rsid w:val="36E6F29E"/>
    <w:rsid w:val="36E83B6D"/>
    <w:rsid w:val="36EAFE7C"/>
    <w:rsid w:val="36EDDBB0"/>
    <w:rsid w:val="36EDFE11"/>
    <w:rsid w:val="36EF2D0C"/>
    <w:rsid w:val="36EF9856"/>
    <w:rsid w:val="36F0B558"/>
    <w:rsid w:val="36F587A2"/>
    <w:rsid w:val="36F6718A"/>
    <w:rsid w:val="36F9CE9D"/>
    <w:rsid w:val="36FA8564"/>
    <w:rsid w:val="36FE1C9D"/>
    <w:rsid w:val="36FE2957"/>
    <w:rsid w:val="36FF0129"/>
    <w:rsid w:val="36FF26D4"/>
    <w:rsid w:val="3701C528"/>
    <w:rsid w:val="370256D0"/>
    <w:rsid w:val="37028645"/>
    <w:rsid w:val="37061001"/>
    <w:rsid w:val="3707FB41"/>
    <w:rsid w:val="37094A68"/>
    <w:rsid w:val="370A4E7E"/>
    <w:rsid w:val="370AA22C"/>
    <w:rsid w:val="370C3D24"/>
    <w:rsid w:val="370E3317"/>
    <w:rsid w:val="37106918"/>
    <w:rsid w:val="3711FFDE"/>
    <w:rsid w:val="3715D051"/>
    <w:rsid w:val="37162589"/>
    <w:rsid w:val="37163605"/>
    <w:rsid w:val="37172EF2"/>
    <w:rsid w:val="3717D421"/>
    <w:rsid w:val="371967E8"/>
    <w:rsid w:val="3719EBFD"/>
    <w:rsid w:val="371AB612"/>
    <w:rsid w:val="371BDFA6"/>
    <w:rsid w:val="37272A15"/>
    <w:rsid w:val="372772CA"/>
    <w:rsid w:val="372AD7C7"/>
    <w:rsid w:val="372C6219"/>
    <w:rsid w:val="372C7A28"/>
    <w:rsid w:val="372C89C7"/>
    <w:rsid w:val="372CC347"/>
    <w:rsid w:val="372D296C"/>
    <w:rsid w:val="37312396"/>
    <w:rsid w:val="37347EF3"/>
    <w:rsid w:val="3736E8DA"/>
    <w:rsid w:val="3737CAAA"/>
    <w:rsid w:val="373A078F"/>
    <w:rsid w:val="3740D9E8"/>
    <w:rsid w:val="374285D1"/>
    <w:rsid w:val="3745B3B8"/>
    <w:rsid w:val="3745D24F"/>
    <w:rsid w:val="3746C86A"/>
    <w:rsid w:val="3748C6C3"/>
    <w:rsid w:val="3749EAA0"/>
    <w:rsid w:val="374A2909"/>
    <w:rsid w:val="374AD160"/>
    <w:rsid w:val="374FD016"/>
    <w:rsid w:val="37502C9D"/>
    <w:rsid w:val="3750F61C"/>
    <w:rsid w:val="3755A387"/>
    <w:rsid w:val="37587396"/>
    <w:rsid w:val="37592CB6"/>
    <w:rsid w:val="3759BB32"/>
    <w:rsid w:val="375ADDA0"/>
    <w:rsid w:val="375B8A65"/>
    <w:rsid w:val="375BC459"/>
    <w:rsid w:val="375BF4BE"/>
    <w:rsid w:val="375C76E8"/>
    <w:rsid w:val="375EF1C9"/>
    <w:rsid w:val="3763354A"/>
    <w:rsid w:val="3765B55B"/>
    <w:rsid w:val="3767523C"/>
    <w:rsid w:val="3767B3F2"/>
    <w:rsid w:val="376812AE"/>
    <w:rsid w:val="3768512E"/>
    <w:rsid w:val="37697208"/>
    <w:rsid w:val="376A7871"/>
    <w:rsid w:val="376B605B"/>
    <w:rsid w:val="376B71C1"/>
    <w:rsid w:val="376CC14F"/>
    <w:rsid w:val="376DE21C"/>
    <w:rsid w:val="3770360F"/>
    <w:rsid w:val="37715EE3"/>
    <w:rsid w:val="3772A10D"/>
    <w:rsid w:val="3772B9CC"/>
    <w:rsid w:val="37730503"/>
    <w:rsid w:val="37748F5D"/>
    <w:rsid w:val="3775E78B"/>
    <w:rsid w:val="3777019C"/>
    <w:rsid w:val="37787A4E"/>
    <w:rsid w:val="37796F25"/>
    <w:rsid w:val="377C2BC3"/>
    <w:rsid w:val="377D767D"/>
    <w:rsid w:val="377F880A"/>
    <w:rsid w:val="37802327"/>
    <w:rsid w:val="3780795D"/>
    <w:rsid w:val="37816997"/>
    <w:rsid w:val="378247B8"/>
    <w:rsid w:val="3782B91F"/>
    <w:rsid w:val="3784939E"/>
    <w:rsid w:val="37850475"/>
    <w:rsid w:val="3785C1BF"/>
    <w:rsid w:val="3787828A"/>
    <w:rsid w:val="37891123"/>
    <w:rsid w:val="378C2223"/>
    <w:rsid w:val="378E1ED0"/>
    <w:rsid w:val="378ED2FD"/>
    <w:rsid w:val="379555E6"/>
    <w:rsid w:val="3795E89E"/>
    <w:rsid w:val="37966751"/>
    <w:rsid w:val="3796BC6E"/>
    <w:rsid w:val="379A0701"/>
    <w:rsid w:val="379A2FA3"/>
    <w:rsid w:val="379B2AC3"/>
    <w:rsid w:val="379BF4C0"/>
    <w:rsid w:val="37A1BE52"/>
    <w:rsid w:val="37AA6267"/>
    <w:rsid w:val="37AB342E"/>
    <w:rsid w:val="37AF4EE5"/>
    <w:rsid w:val="37AF53EC"/>
    <w:rsid w:val="37AF5B2D"/>
    <w:rsid w:val="37AF9F49"/>
    <w:rsid w:val="37B3313F"/>
    <w:rsid w:val="37B4DDA4"/>
    <w:rsid w:val="37B57942"/>
    <w:rsid w:val="37B73EDD"/>
    <w:rsid w:val="37B8A603"/>
    <w:rsid w:val="37B93FF5"/>
    <w:rsid w:val="37BB7FCA"/>
    <w:rsid w:val="37BD3AAB"/>
    <w:rsid w:val="37C08642"/>
    <w:rsid w:val="37C16AEC"/>
    <w:rsid w:val="37C1E051"/>
    <w:rsid w:val="37C2A712"/>
    <w:rsid w:val="37C3B717"/>
    <w:rsid w:val="37C447A3"/>
    <w:rsid w:val="37C479CE"/>
    <w:rsid w:val="37C4BA1A"/>
    <w:rsid w:val="37C6F17B"/>
    <w:rsid w:val="37C79A8E"/>
    <w:rsid w:val="37C92F03"/>
    <w:rsid w:val="37C995A1"/>
    <w:rsid w:val="37CE7FD1"/>
    <w:rsid w:val="37CE9182"/>
    <w:rsid w:val="37D063BB"/>
    <w:rsid w:val="37D144B2"/>
    <w:rsid w:val="37D342DD"/>
    <w:rsid w:val="37D39ADF"/>
    <w:rsid w:val="37D79E56"/>
    <w:rsid w:val="37D7B78C"/>
    <w:rsid w:val="37D9E5DD"/>
    <w:rsid w:val="37DFF9AB"/>
    <w:rsid w:val="37E0AB60"/>
    <w:rsid w:val="37E2555D"/>
    <w:rsid w:val="37E2889F"/>
    <w:rsid w:val="37E7FEE4"/>
    <w:rsid w:val="37ECF862"/>
    <w:rsid w:val="37ECFBA4"/>
    <w:rsid w:val="37F3D9D9"/>
    <w:rsid w:val="37F3FB8F"/>
    <w:rsid w:val="37F634C3"/>
    <w:rsid w:val="37F76FB9"/>
    <w:rsid w:val="37F7A9C2"/>
    <w:rsid w:val="37FB3383"/>
    <w:rsid w:val="37FB465B"/>
    <w:rsid w:val="37FD0778"/>
    <w:rsid w:val="38012741"/>
    <w:rsid w:val="38019FE7"/>
    <w:rsid w:val="3802425E"/>
    <w:rsid w:val="380250DB"/>
    <w:rsid w:val="38042A8E"/>
    <w:rsid w:val="38046E9F"/>
    <w:rsid w:val="38053F35"/>
    <w:rsid w:val="3805F557"/>
    <w:rsid w:val="380746AF"/>
    <w:rsid w:val="38085221"/>
    <w:rsid w:val="380888E7"/>
    <w:rsid w:val="38096312"/>
    <w:rsid w:val="3809F042"/>
    <w:rsid w:val="380A1A05"/>
    <w:rsid w:val="380BDC62"/>
    <w:rsid w:val="380DA2DE"/>
    <w:rsid w:val="3810FDD4"/>
    <w:rsid w:val="3815DFA7"/>
    <w:rsid w:val="3818041A"/>
    <w:rsid w:val="3818B829"/>
    <w:rsid w:val="381AB221"/>
    <w:rsid w:val="381BFEE9"/>
    <w:rsid w:val="381C8451"/>
    <w:rsid w:val="381E576F"/>
    <w:rsid w:val="381EF84A"/>
    <w:rsid w:val="382106E5"/>
    <w:rsid w:val="38219151"/>
    <w:rsid w:val="3821DB95"/>
    <w:rsid w:val="3822FB7A"/>
    <w:rsid w:val="3824B3A4"/>
    <w:rsid w:val="3826AB1B"/>
    <w:rsid w:val="382903CE"/>
    <w:rsid w:val="382A91BC"/>
    <w:rsid w:val="382C88F9"/>
    <w:rsid w:val="382D7E3E"/>
    <w:rsid w:val="38326E89"/>
    <w:rsid w:val="38346CA2"/>
    <w:rsid w:val="3835152A"/>
    <w:rsid w:val="3835B296"/>
    <w:rsid w:val="3836C554"/>
    <w:rsid w:val="3836C6BB"/>
    <w:rsid w:val="38388FB0"/>
    <w:rsid w:val="383B164D"/>
    <w:rsid w:val="383E5112"/>
    <w:rsid w:val="383E9750"/>
    <w:rsid w:val="383FF0C1"/>
    <w:rsid w:val="38405E40"/>
    <w:rsid w:val="384219A7"/>
    <w:rsid w:val="384233E6"/>
    <w:rsid w:val="38449BEA"/>
    <w:rsid w:val="3846E8D3"/>
    <w:rsid w:val="38479099"/>
    <w:rsid w:val="384BFC53"/>
    <w:rsid w:val="384E5A88"/>
    <w:rsid w:val="3850EF59"/>
    <w:rsid w:val="3851F7C2"/>
    <w:rsid w:val="38542FC8"/>
    <w:rsid w:val="385499A1"/>
    <w:rsid w:val="38569685"/>
    <w:rsid w:val="3856A643"/>
    <w:rsid w:val="3856DA0B"/>
    <w:rsid w:val="38579732"/>
    <w:rsid w:val="3857A3B9"/>
    <w:rsid w:val="3859A2EF"/>
    <w:rsid w:val="385BD5D6"/>
    <w:rsid w:val="385CE7AD"/>
    <w:rsid w:val="385E0940"/>
    <w:rsid w:val="385FE871"/>
    <w:rsid w:val="386078CB"/>
    <w:rsid w:val="3860F1D5"/>
    <w:rsid w:val="3863D9DF"/>
    <w:rsid w:val="386416A0"/>
    <w:rsid w:val="3864171C"/>
    <w:rsid w:val="3868AEB8"/>
    <w:rsid w:val="38695658"/>
    <w:rsid w:val="386EB61B"/>
    <w:rsid w:val="38729A83"/>
    <w:rsid w:val="3873835D"/>
    <w:rsid w:val="3873E803"/>
    <w:rsid w:val="387406E2"/>
    <w:rsid w:val="387413E5"/>
    <w:rsid w:val="387574CE"/>
    <w:rsid w:val="387612A7"/>
    <w:rsid w:val="3876C1B1"/>
    <w:rsid w:val="387AE056"/>
    <w:rsid w:val="38824A24"/>
    <w:rsid w:val="38829835"/>
    <w:rsid w:val="38840F10"/>
    <w:rsid w:val="388491ED"/>
    <w:rsid w:val="388619C2"/>
    <w:rsid w:val="3886793A"/>
    <w:rsid w:val="3886F360"/>
    <w:rsid w:val="3887A861"/>
    <w:rsid w:val="3887CBD5"/>
    <w:rsid w:val="388DD33B"/>
    <w:rsid w:val="388F7E6C"/>
    <w:rsid w:val="3893CFAB"/>
    <w:rsid w:val="38958F87"/>
    <w:rsid w:val="3896097B"/>
    <w:rsid w:val="389655C5"/>
    <w:rsid w:val="3896C11F"/>
    <w:rsid w:val="3898C9D9"/>
    <w:rsid w:val="389D67AF"/>
    <w:rsid w:val="389E4C6A"/>
    <w:rsid w:val="389E9E26"/>
    <w:rsid w:val="38A40A41"/>
    <w:rsid w:val="38A7830F"/>
    <w:rsid w:val="38A984C6"/>
    <w:rsid w:val="38A9E056"/>
    <w:rsid w:val="38AA0836"/>
    <w:rsid w:val="38AA3B57"/>
    <w:rsid w:val="38AB1FCF"/>
    <w:rsid w:val="38ABB499"/>
    <w:rsid w:val="38AC3AA6"/>
    <w:rsid w:val="38AE6889"/>
    <w:rsid w:val="38AEA93E"/>
    <w:rsid w:val="38AFB8A3"/>
    <w:rsid w:val="38B051EB"/>
    <w:rsid w:val="38B4543C"/>
    <w:rsid w:val="38B70D09"/>
    <w:rsid w:val="38B82868"/>
    <w:rsid w:val="38B90801"/>
    <w:rsid w:val="38BEFC63"/>
    <w:rsid w:val="38C6CE23"/>
    <w:rsid w:val="38C6E499"/>
    <w:rsid w:val="38C80BA3"/>
    <w:rsid w:val="38CB989D"/>
    <w:rsid w:val="38CCA4A6"/>
    <w:rsid w:val="38CFF997"/>
    <w:rsid w:val="38D0047C"/>
    <w:rsid w:val="38D21377"/>
    <w:rsid w:val="38D2B283"/>
    <w:rsid w:val="38D5E639"/>
    <w:rsid w:val="38DA062A"/>
    <w:rsid w:val="38DA82EE"/>
    <w:rsid w:val="38DAEDE9"/>
    <w:rsid w:val="38DC317A"/>
    <w:rsid w:val="38DE24D6"/>
    <w:rsid w:val="38E45D42"/>
    <w:rsid w:val="38E472B0"/>
    <w:rsid w:val="38E4CA18"/>
    <w:rsid w:val="38EB9393"/>
    <w:rsid w:val="38EC600A"/>
    <w:rsid w:val="38EC6A1E"/>
    <w:rsid w:val="38EE28F3"/>
    <w:rsid w:val="38F0112D"/>
    <w:rsid w:val="38F5F08F"/>
    <w:rsid w:val="38F7F235"/>
    <w:rsid w:val="38FD105D"/>
    <w:rsid w:val="38FDBC22"/>
    <w:rsid w:val="3902B2B7"/>
    <w:rsid w:val="390675B0"/>
    <w:rsid w:val="39073464"/>
    <w:rsid w:val="3908A8E6"/>
    <w:rsid w:val="390967AC"/>
    <w:rsid w:val="390AD067"/>
    <w:rsid w:val="390B227A"/>
    <w:rsid w:val="390C355E"/>
    <w:rsid w:val="390E3680"/>
    <w:rsid w:val="390E5A97"/>
    <w:rsid w:val="3910F561"/>
    <w:rsid w:val="391522F5"/>
    <w:rsid w:val="39154FF3"/>
    <w:rsid w:val="3915DC47"/>
    <w:rsid w:val="3915EBAD"/>
    <w:rsid w:val="3915ED21"/>
    <w:rsid w:val="391A046E"/>
    <w:rsid w:val="391B9B34"/>
    <w:rsid w:val="391EE34B"/>
    <w:rsid w:val="39212931"/>
    <w:rsid w:val="3923425B"/>
    <w:rsid w:val="39234E3C"/>
    <w:rsid w:val="3923F015"/>
    <w:rsid w:val="392446E3"/>
    <w:rsid w:val="392453D1"/>
    <w:rsid w:val="39254DA7"/>
    <w:rsid w:val="3927400F"/>
    <w:rsid w:val="3927F66D"/>
    <w:rsid w:val="3929BEEE"/>
    <w:rsid w:val="392A60F6"/>
    <w:rsid w:val="392A78FE"/>
    <w:rsid w:val="392AF5FE"/>
    <w:rsid w:val="392CFA50"/>
    <w:rsid w:val="392FBDCC"/>
    <w:rsid w:val="3939A628"/>
    <w:rsid w:val="393A3D3D"/>
    <w:rsid w:val="393C1904"/>
    <w:rsid w:val="393E6E68"/>
    <w:rsid w:val="393EB123"/>
    <w:rsid w:val="39434DB5"/>
    <w:rsid w:val="3943DF8C"/>
    <w:rsid w:val="39458A59"/>
    <w:rsid w:val="3945A2B7"/>
    <w:rsid w:val="3945C76D"/>
    <w:rsid w:val="39460125"/>
    <w:rsid w:val="39471F91"/>
    <w:rsid w:val="394A8DCB"/>
    <w:rsid w:val="394AFDBD"/>
    <w:rsid w:val="394CA6D9"/>
    <w:rsid w:val="394DF921"/>
    <w:rsid w:val="394E9E1E"/>
    <w:rsid w:val="394F0488"/>
    <w:rsid w:val="39502F0A"/>
    <w:rsid w:val="3951AA4F"/>
    <w:rsid w:val="39525866"/>
    <w:rsid w:val="3953C2D3"/>
    <w:rsid w:val="3953CE90"/>
    <w:rsid w:val="3954E113"/>
    <w:rsid w:val="395598DC"/>
    <w:rsid w:val="3956EE53"/>
    <w:rsid w:val="395736DA"/>
    <w:rsid w:val="3957CBBF"/>
    <w:rsid w:val="395BD1D3"/>
    <w:rsid w:val="395C6EA3"/>
    <w:rsid w:val="395D770B"/>
    <w:rsid w:val="395D9DB8"/>
    <w:rsid w:val="395DF243"/>
    <w:rsid w:val="395F6191"/>
    <w:rsid w:val="3962700E"/>
    <w:rsid w:val="3962C0B3"/>
    <w:rsid w:val="3962D10F"/>
    <w:rsid w:val="3964303E"/>
    <w:rsid w:val="396858DB"/>
    <w:rsid w:val="39687161"/>
    <w:rsid w:val="396BCAD5"/>
    <w:rsid w:val="396C9814"/>
    <w:rsid w:val="396C9CBA"/>
    <w:rsid w:val="396E5011"/>
    <w:rsid w:val="3971661D"/>
    <w:rsid w:val="3971A076"/>
    <w:rsid w:val="3972761E"/>
    <w:rsid w:val="3977F92A"/>
    <w:rsid w:val="3978536A"/>
    <w:rsid w:val="397A7F15"/>
    <w:rsid w:val="397AEDE9"/>
    <w:rsid w:val="397B54B8"/>
    <w:rsid w:val="397BE79D"/>
    <w:rsid w:val="397BF7FA"/>
    <w:rsid w:val="3980445F"/>
    <w:rsid w:val="3983CF45"/>
    <w:rsid w:val="3984ADF7"/>
    <w:rsid w:val="3984CE82"/>
    <w:rsid w:val="3987178A"/>
    <w:rsid w:val="398811FE"/>
    <w:rsid w:val="3988631C"/>
    <w:rsid w:val="398A82AC"/>
    <w:rsid w:val="398B1EEF"/>
    <w:rsid w:val="398E02A6"/>
    <w:rsid w:val="398E1366"/>
    <w:rsid w:val="3991CA34"/>
    <w:rsid w:val="3994AF0D"/>
    <w:rsid w:val="399519AC"/>
    <w:rsid w:val="3997B4E5"/>
    <w:rsid w:val="3998F964"/>
    <w:rsid w:val="39992E4C"/>
    <w:rsid w:val="39A0758D"/>
    <w:rsid w:val="39A4097F"/>
    <w:rsid w:val="39A51171"/>
    <w:rsid w:val="39A5C1B6"/>
    <w:rsid w:val="39A7809D"/>
    <w:rsid w:val="39A78736"/>
    <w:rsid w:val="39AC84C0"/>
    <w:rsid w:val="39B2FE03"/>
    <w:rsid w:val="39B93EBD"/>
    <w:rsid w:val="39BAD34F"/>
    <w:rsid w:val="39BE3621"/>
    <w:rsid w:val="39BFAC6C"/>
    <w:rsid w:val="39C11D30"/>
    <w:rsid w:val="39C6CC8C"/>
    <w:rsid w:val="39C79C3A"/>
    <w:rsid w:val="39CDBE31"/>
    <w:rsid w:val="39CE95BF"/>
    <w:rsid w:val="39D0D563"/>
    <w:rsid w:val="39D1335D"/>
    <w:rsid w:val="39D2C524"/>
    <w:rsid w:val="39D2DB85"/>
    <w:rsid w:val="39D302E2"/>
    <w:rsid w:val="39D41049"/>
    <w:rsid w:val="39D5EC9E"/>
    <w:rsid w:val="39D98056"/>
    <w:rsid w:val="39DB679A"/>
    <w:rsid w:val="39DCD408"/>
    <w:rsid w:val="39DD8541"/>
    <w:rsid w:val="39DEF81C"/>
    <w:rsid w:val="39DFE33C"/>
    <w:rsid w:val="39E27591"/>
    <w:rsid w:val="39E28230"/>
    <w:rsid w:val="39E4297A"/>
    <w:rsid w:val="39E691C4"/>
    <w:rsid w:val="39E6C1BD"/>
    <w:rsid w:val="39E84522"/>
    <w:rsid w:val="39EB3DAD"/>
    <w:rsid w:val="39ED6A95"/>
    <w:rsid w:val="39F093D0"/>
    <w:rsid w:val="39F24E8B"/>
    <w:rsid w:val="39F9ADE1"/>
    <w:rsid w:val="39FA4D3B"/>
    <w:rsid w:val="39FB79C6"/>
    <w:rsid w:val="39FB93B1"/>
    <w:rsid w:val="39FBDB97"/>
    <w:rsid w:val="39FBE6FA"/>
    <w:rsid w:val="39FDCF84"/>
    <w:rsid w:val="39FDD73F"/>
    <w:rsid w:val="39FFCB79"/>
    <w:rsid w:val="3A007148"/>
    <w:rsid w:val="3A009200"/>
    <w:rsid w:val="3A01DC1D"/>
    <w:rsid w:val="3A04A2CB"/>
    <w:rsid w:val="3A05CE6C"/>
    <w:rsid w:val="3A0CC62A"/>
    <w:rsid w:val="3A0D4A60"/>
    <w:rsid w:val="3A0FD2AF"/>
    <w:rsid w:val="3A1043C5"/>
    <w:rsid w:val="3A1113F1"/>
    <w:rsid w:val="3A13CEA5"/>
    <w:rsid w:val="3A14CFA9"/>
    <w:rsid w:val="3A14E59A"/>
    <w:rsid w:val="3A152D11"/>
    <w:rsid w:val="3A15BF88"/>
    <w:rsid w:val="3A19521A"/>
    <w:rsid w:val="3A1DA7A5"/>
    <w:rsid w:val="3A20624E"/>
    <w:rsid w:val="3A2065C1"/>
    <w:rsid w:val="3A22722C"/>
    <w:rsid w:val="3A234610"/>
    <w:rsid w:val="3A24FADA"/>
    <w:rsid w:val="3A251F42"/>
    <w:rsid w:val="3A255274"/>
    <w:rsid w:val="3A28C440"/>
    <w:rsid w:val="3A294DC3"/>
    <w:rsid w:val="3A29F80B"/>
    <w:rsid w:val="3A2AAEE8"/>
    <w:rsid w:val="3A2B71EF"/>
    <w:rsid w:val="3A2BA0FD"/>
    <w:rsid w:val="3A2D7304"/>
    <w:rsid w:val="3A2DBD54"/>
    <w:rsid w:val="3A2DF370"/>
    <w:rsid w:val="3A30C0A6"/>
    <w:rsid w:val="3A30E280"/>
    <w:rsid w:val="3A3191B9"/>
    <w:rsid w:val="3A322869"/>
    <w:rsid w:val="3A3322FA"/>
    <w:rsid w:val="3A36B643"/>
    <w:rsid w:val="3A3845A3"/>
    <w:rsid w:val="3A3A059E"/>
    <w:rsid w:val="3A3D4E86"/>
    <w:rsid w:val="3A3D76A5"/>
    <w:rsid w:val="3A3DBC7F"/>
    <w:rsid w:val="3A3DD004"/>
    <w:rsid w:val="3A3F1CAA"/>
    <w:rsid w:val="3A40B9EA"/>
    <w:rsid w:val="3A421B73"/>
    <w:rsid w:val="3A42F37A"/>
    <w:rsid w:val="3A439ED2"/>
    <w:rsid w:val="3A44FC17"/>
    <w:rsid w:val="3A468C03"/>
    <w:rsid w:val="3A48075C"/>
    <w:rsid w:val="3A4A5F9A"/>
    <w:rsid w:val="3A4C86F7"/>
    <w:rsid w:val="3A4ECFBE"/>
    <w:rsid w:val="3A4FBB6F"/>
    <w:rsid w:val="3A534266"/>
    <w:rsid w:val="3A54C689"/>
    <w:rsid w:val="3A555D38"/>
    <w:rsid w:val="3A563597"/>
    <w:rsid w:val="3A57259E"/>
    <w:rsid w:val="3A58306B"/>
    <w:rsid w:val="3A5890BE"/>
    <w:rsid w:val="3A5B1595"/>
    <w:rsid w:val="3A5B33A5"/>
    <w:rsid w:val="3A5D9F54"/>
    <w:rsid w:val="3A601E47"/>
    <w:rsid w:val="3A611938"/>
    <w:rsid w:val="3A62FD4C"/>
    <w:rsid w:val="3A635901"/>
    <w:rsid w:val="3A64DB9C"/>
    <w:rsid w:val="3A6617D2"/>
    <w:rsid w:val="3A6718A5"/>
    <w:rsid w:val="3A674A54"/>
    <w:rsid w:val="3A67D6DA"/>
    <w:rsid w:val="3A68F14D"/>
    <w:rsid w:val="3A6B3304"/>
    <w:rsid w:val="3A6E4601"/>
    <w:rsid w:val="3A6E82E4"/>
    <w:rsid w:val="3A6EF37E"/>
    <w:rsid w:val="3A700DBB"/>
    <w:rsid w:val="3A70BD94"/>
    <w:rsid w:val="3A710C5A"/>
    <w:rsid w:val="3A71CE2B"/>
    <w:rsid w:val="3A72082C"/>
    <w:rsid w:val="3A722C2A"/>
    <w:rsid w:val="3A762946"/>
    <w:rsid w:val="3A788DC0"/>
    <w:rsid w:val="3A7A6783"/>
    <w:rsid w:val="3A7C346F"/>
    <w:rsid w:val="3A7D82F4"/>
    <w:rsid w:val="3A7EDA0C"/>
    <w:rsid w:val="3A7FD255"/>
    <w:rsid w:val="3A856325"/>
    <w:rsid w:val="3A860549"/>
    <w:rsid w:val="3A87BB67"/>
    <w:rsid w:val="3A893621"/>
    <w:rsid w:val="3A8C53F8"/>
    <w:rsid w:val="3A8D7469"/>
    <w:rsid w:val="3A9272E1"/>
    <w:rsid w:val="3A966BC5"/>
    <w:rsid w:val="3A968682"/>
    <w:rsid w:val="3A973C0F"/>
    <w:rsid w:val="3A999253"/>
    <w:rsid w:val="3A9AF23B"/>
    <w:rsid w:val="3A9D22DB"/>
    <w:rsid w:val="3A9E1B36"/>
    <w:rsid w:val="3A9F419E"/>
    <w:rsid w:val="3AA1B05C"/>
    <w:rsid w:val="3AA2DCFE"/>
    <w:rsid w:val="3AA30908"/>
    <w:rsid w:val="3AA4F53E"/>
    <w:rsid w:val="3AA5444E"/>
    <w:rsid w:val="3AA6D525"/>
    <w:rsid w:val="3AAA9B59"/>
    <w:rsid w:val="3AABF216"/>
    <w:rsid w:val="3AAEEA76"/>
    <w:rsid w:val="3AAF1E3E"/>
    <w:rsid w:val="3AAF3859"/>
    <w:rsid w:val="3AB68870"/>
    <w:rsid w:val="3AB8E4EA"/>
    <w:rsid w:val="3ABD25AA"/>
    <w:rsid w:val="3ABD5EBD"/>
    <w:rsid w:val="3ABE759D"/>
    <w:rsid w:val="3AC02F73"/>
    <w:rsid w:val="3AC1BCCA"/>
    <w:rsid w:val="3AC31070"/>
    <w:rsid w:val="3AC5061B"/>
    <w:rsid w:val="3AC517EF"/>
    <w:rsid w:val="3AC5857B"/>
    <w:rsid w:val="3AC73762"/>
    <w:rsid w:val="3AC8833D"/>
    <w:rsid w:val="3ACCD0B8"/>
    <w:rsid w:val="3ACCE72F"/>
    <w:rsid w:val="3AD2C2E3"/>
    <w:rsid w:val="3AD489A8"/>
    <w:rsid w:val="3AD53FBB"/>
    <w:rsid w:val="3ADC38CD"/>
    <w:rsid w:val="3ADE3146"/>
    <w:rsid w:val="3AE266C3"/>
    <w:rsid w:val="3AE79A71"/>
    <w:rsid w:val="3AEA122A"/>
    <w:rsid w:val="3AEA830F"/>
    <w:rsid w:val="3AEAFDAA"/>
    <w:rsid w:val="3AEC2DC5"/>
    <w:rsid w:val="3AED7BB2"/>
    <w:rsid w:val="3AF2A6DE"/>
    <w:rsid w:val="3AF2E445"/>
    <w:rsid w:val="3AF3D002"/>
    <w:rsid w:val="3AF60B0E"/>
    <w:rsid w:val="3AF670E2"/>
    <w:rsid w:val="3AF71B8B"/>
    <w:rsid w:val="3AF8AC76"/>
    <w:rsid w:val="3AF8D993"/>
    <w:rsid w:val="3AFD1102"/>
    <w:rsid w:val="3AFD9FE7"/>
    <w:rsid w:val="3AFE1AA6"/>
    <w:rsid w:val="3AFEAD4F"/>
    <w:rsid w:val="3B00AE5E"/>
    <w:rsid w:val="3B03D9F7"/>
    <w:rsid w:val="3B06D0D2"/>
    <w:rsid w:val="3B0902A4"/>
    <w:rsid w:val="3B0B36FC"/>
    <w:rsid w:val="3B0D0EFE"/>
    <w:rsid w:val="3B0DE57D"/>
    <w:rsid w:val="3B103794"/>
    <w:rsid w:val="3B10D99B"/>
    <w:rsid w:val="3B10F89D"/>
    <w:rsid w:val="3B11323F"/>
    <w:rsid w:val="3B12D4F9"/>
    <w:rsid w:val="3B136C73"/>
    <w:rsid w:val="3B19E1C0"/>
    <w:rsid w:val="3B19F36E"/>
    <w:rsid w:val="3B1C832A"/>
    <w:rsid w:val="3B1CE47B"/>
    <w:rsid w:val="3B1CF9E5"/>
    <w:rsid w:val="3B1D2270"/>
    <w:rsid w:val="3B1F8D45"/>
    <w:rsid w:val="3B203C3B"/>
    <w:rsid w:val="3B232388"/>
    <w:rsid w:val="3B2680DB"/>
    <w:rsid w:val="3B27F8C9"/>
    <w:rsid w:val="3B291C3F"/>
    <w:rsid w:val="3B2A0A7E"/>
    <w:rsid w:val="3B2AB55C"/>
    <w:rsid w:val="3B2B86DE"/>
    <w:rsid w:val="3B2CD8EB"/>
    <w:rsid w:val="3B2D0E45"/>
    <w:rsid w:val="3B301C8D"/>
    <w:rsid w:val="3B30A6FF"/>
    <w:rsid w:val="3B31AF35"/>
    <w:rsid w:val="3B332A36"/>
    <w:rsid w:val="3B336C53"/>
    <w:rsid w:val="3B351E2B"/>
    <w:rsid w:val="3B35EA95"/>
    <w:rsid w:val="3B37C471"/>
    <w:rsid w:val="3B3A30BE"/>
    <w:rsid w:val="3B3B3D7D"/>
    <w:rsid w:val="3B3BA452"/>
    <w:rsid w:val="3B3CD09F"/>
    <w:rsid w:val="3B3DF3C2"/>
    <w:rsid w:val="3B40BAF7"/>
    <w:rsid w:val="3B425350"/>
    <w:rsid w:val="3B42863C"/>
    <w:rsid w:val="3B45A2D1"/>
    <w:rsid w:val="3B480A68"/>
    <w:rsid w:val="3B48B45E"/>
    <w:rsid w:val="3B48F3E3"/>
    <w:rsid w:val="3B4986F1"/>
    <w:rsid w:val="3B499D30"/>
    <w:rsid w:val="3B4CA59C"/>
    <w:rsid w:val="3B4FF453"/>
    <w:rsid w:val="3B504AC0"/>
    <w:rsid w:val="3B505EB9"/>
    <w:rsid w:val="3B5269C5"/>
    <w:rsid w:val="3B539AF4"/>
    <w:rsid w:val="3B54749D"/>
    <w:rsid w:val="3B5912B9"/>
    <w:rsid w:val="3B5B3287"/>
    <w:rsid w:val="3B5B39EA"/>
    <w:rsid w:val="3B5B75DA"/>
    <w:rsid w:val="3B5DFE91"/>
    <w:rsid w:val="3B5EC0C0"/>
    <w:rsid w:val="3B60F92E"/>
    <w:rsid w:val="3B642324"/>
    <w:rsid w:val="3B6446D5"/>
    <w:rsid w:val="3B69E538"/>
    <w:rsid w:val="3B6AD1EC"/>
    <w:rsid w:val="3B6D1A13"/>
    <w:rsid w:val="3B6D37ED"/>
    <w:rsid w:val="3B703874"/>
    <w:rsid w:val="3B70C92B"/>
    <w:rsid w:val="3B70D23F"/>
    <w:rsid w:val="3B72B9B0"/>
    <w:rsid w:val="3B730D67"/>
    <w:rsid w:val="3B741674"/>
    <w:rsid w:val="3B743085"/>
    <w:rsid w:val="3B75157C"/>
    <w:rsid w:val="3B792A74"/>
    <w:rsid w:val="3B7E9373"/>
    <w:rsid w:val="3B80FD74"/>
    <w:rsid w:val="3B811293"/>
    <w:rsid w:val="3B811A01"/>
    <w:rsid w:val="3B814A26"/>
    <w:rsid w:val="3B82E20F"/>
    <w:rsid w:val="3B85A510"/>
    <w:rsid w:val="3B85CE52"/>
    <w:rsid w:val="3B8892ED"/>
    <w:rsid w:val="3B88DD92"/>
    <w:rsid w:val="3B89537C"/>
    <w:rsid w:val="3B8B62BA"/>
    <w:rsid w:val="3B8C5F9E"/>
    <w:rsid w:val="3B8D8695"/>
    <w:rsid w:val="3B9146CF"/>
    <w:rsid w:val="3B9219FB"/>
    <w:rsid w:val="3B921F01"/>
    <w:rsid w:val="3B92538B"/>
    <w:rsid w:val="3B926728"/>
    <w:rsid w:val="3B92F640"/>
    <w:rsid w:val="3B95F9CF"/>
    <w:rsid w:val="3B9606F3"/>
    <w:rsid w:val="3B977A1D"/>
    <w:rsid w:val="3B9780A9"/>
    <w:rsid w:val="3B978CAA"/>
    <w:rsid w:val="3B98AB0B"/>
    <w:rsid w:val="3B98FE6C"/>
    <w:rsid w:val="3B9B5E63"/>
    <w:rsid w:val="3B9E4248"/>
    <w:rsid w:val="3B9EA7BA"/>
    <w:rsid w:val="3BA05946"/>
    <w:rsid w:val="3BAEE0FE"/>
    <w:rsid w:val="3BB1D5D8"/>
    <w:rsid w:val="3BB33B78"/>
    <w:rsid w:val="3BB5BBD9"/>
    <w:rsid w:val="3BB63BF7"/>
    <w:rsid w:val="3BB737A9"/>
    <w:rsid w:val="3BB76F69"/>
    <w:rsid w:val="3BB77FAC"/>
    <w:rsid w:val="3BB7D89D"/>
    <w:rsid w:val="3BB8E604"/>
    <w:rsid w:val="3BB93073"/>
    <w:rsid w:val="3BBAD2D3"/>
    <w:rsid w:val="3BBCF852"/>
    <w:rsid w:val="3BBE7C0C"/>
    <w:rsid w:val="3BBFD9C4"/>
    <w:rsid w:val="3BBFEE3F"/>
    <w:rsid w:val="3BC201ED"/>
    <w:rsid w:val="3BC2B4BC"/>
    <w:rsid w:val="3BC38B5D"/>
    <w:rsid w:val="3BC3C934"/>
    <w:rsid w:val="3BC5BACA"/>
    <w:rsid w:val="3BC6FD3B"/>
    <w:rsid w:val="3BC82813"/>
    <w:rsid w:val="3BCB5A5A"/>
    <w:rsid w:val="3BCDE04A"/>
    <w:rsid w:val="3BCE5845"/>
    <w:rsid w:val="3BCF9F56"/>
    <w:rsid w:val="3BD003F9"/>
    <w:rsid w:val="3BD14D9D"/>
    <w:rsid w:val="3BD1CFF8"/>
    <w:rsid w:val="3BD235A1"/>
    <w:rsid w:val="3BD3BB82"/>
    <w:rsid w:val="3BD53D30"/>
    <w:rsid w:val="3BD641B0"/>
    <w:rsid w:val="3BD77D81"/>
    <w:rsid w:val="3BD9E2E4"/>
    <w:rsid w:val="3BDFE124"/>
    <w:rsid w:val="3BE0D571"/>
    <w:rsid w:val="3BE25F12"/>
    <w:rsid w:val="3BE71B32"/>
    <w:rsid w:val="3BE89732"/>
    <w:rsid w:val="3BEE0C34"/>
    <w:rsid w:val="3BEE2687"/>
    <w:rsid w:val="3BEF8764"/>
    <w:rsid w:val="3BF07E89"/>
    <w:rsid w:val="3BF3B063"/>
    <w:rsid w:val="3BF6FB0A"/>
    <w:rsid w:val="3BF8AC87"/>
    <w:rsid w:val="3BFA2AD8"/>
    <w:rsid w:val="3BFAF1C3"/>
    <w:rsid w:val="3BFB71DA"/>
    <w:rsid w:val="3BFB8BE1"/>
    <w:rsid w:val="3BFBBAAB"/>
    <w:rsid w:val="3BFE3CEE"/>
    <w:rsid w:val="3BFE444C"/>
    <w:rsid w:val="3C000A7C"/>
    <w:rsid w:val="3C0186BB"/>
    <w:rsid w:val="3C01AFD8"/>
    <w:rsid w:val="3C026CC9"/>
    <w:rsid w:val="3C0587F3"/>
    <w:rsid w:val="3C071069"/>
    <w:rsid w:val="3C086224"/>
    <w:rsid w:val="3C090C02"/>
    <w:rsid w:val="3C09691B"/>
    <w:rsid w:val="3C0BE7B0"/>
    <w:rsid w:val="3C0BEBC9"/>
    <w:rsid w:val="3C0D434B"/>
    <w:rsid w:val="3C0DC37F"/>
    <w:rsid w:val="3C0F8CC5"/>
    <w:rsid w:val="3C112147"/>
    <w:rsid w:val="3C12855B"/>
    <w:rsid w:val="3C12E217"/>
    <w:rsid w:val="3C1431B1"/>
    <w:rsid w:val="3C1AA519"/>
    <w:rsid w:val="3C1AE3E6"/>
    <w:rsid w:val="3C1DAD94"/>
    <w:rsid w:val="3C1E5970"/>
    <w:rsid w:val="3C1FED68"/>
    <w:rsid w:val="3C1FFA7E"/>
    <w:rsid w:val="3C25BE2B"/>
    <w:rsid w:val="3C2C0243"/>
    <w:rsid w:val="3C2D1587"/>
    <w:rsid w:val="3C2DDB50"/>
    <w:rsid w:val="3C2F0D92"/>
    <w:rsid w:val="3C2F9EFC"/>
    <w:rsid w:val="3C305493"/>
    <w:rsid w:val="3C32F0D7"/>
    <w:rsid w:val="3C33351F"/>
    <w:rsid w:val="3C346652"/>
    <w:rsid w:val="3C37A364"/>
    <w:rsid w:val="3C37B2E7"/>
    <w:rsid w:val="3C393844"/>
    <w:rsid w:val="3C3A4380"/>
    <w:rsid w:val="3C3B39F4"/>
    <w:rsid w:val="3C3C9F1C"/>
    <w:rsid w:val="3C3E2C83"/>
    <w:rsid w:val="3C40EC1C"/>
    <w:rsid w:val="3C41B948"/>
    <w:rsid w:val="3C4332E8"/>
    <w:rsid w:val="3C437D7D"/>
    <w:rsid w:val="3C43E84F"/>
    <w:rsid w:val="3C4569B1"/>
    <w:rsid w:val="3C45FBC2"/>
    <w:rsid w:val="3C49B3C2"/>
    <w:rsid w:val="3C4BD070"/>
    <w:rsid w:val="3C4CCAF0"/>
    <w:rsid w:val="3C542AE4"/>
    <w:rsid w:val="3C570BBE"/>
    <w:rsid w:val="3C58CDF0"/>
    <w:rsid w:val="3C5DA105"/>
    <w:rsid w:val="3C5EF18F"/>
    <w:rsid w:val="3C601271"/>
    <w:rsid w:val="3C65C591"/>
    <w:rsid w:val="3C669603"/>
    <w:rsid w:val="3C673375"/>
    <w:rsid w:val="3C6864EB"/>
    <w:rsid w:val="3C692706"/>
    <w:rsid w:val="3C6968E0"/>
    <w:rsid w:val="3C6C97D5"/>
    <w:rsid w:val="3C6F66FB"/>
    <w:rsid w:val="3C700B37"/>
    <w:rsid w:val="3C7052F5"/>
    <w:rsid w:val="3C7097E1"/>
    <w:rsid w:val="3C746E4A"/>
    <w:rsid w:val="3C763758"/>
    <w:rsid w:val="3C770F85"/>
    <w:rsid w:val="3C7D8C3E"/>
    <w:rsid w:val="3C8145D3"/>
    <w:rsid w:val="3C816A1F"/>
    <w:rsid w:val="3C816BCB"/>
    <w:rsid w:val="3C85FD8E"/>
    <w:rsid w:val="3C868BF0"/>
    <w:rsid w:val="3C87CF3C"/>
    <w:rsid w:val="3C889FED"/>
    <w:rsid w:val="3C8953CB"/>
    <w:rsid w:val="3C8A6E91"/>
    <w:rsid w:val="3C8CEE3C"/>
    <w:rsid w:val="3C8DA71C"/>
    <w:rsid w:val="3C8DAA98"/>
    <w:rsid w:val="3C8F00B2"/>
    <w:rsid w:val="3C900D1F"/>
    <w:rsid w:val="3C90D561"/>
    <w:rsid w:val="3C919373"/>
    <w:rsid w:val="3C91F5A6"/>
    <w:rsid w:val="3C94F075"/>
    <w:rsid w:val="3C97CE65"/>
    <w:rsid w:val="3C987C75"/>
    <w:rsid w:val="3C9926E2"/>
    <w:rsid w:val="3C9A6FF0"/>
    <w:rsid w:val="3C9BB2D3"/>
    <w:rsid w:val="3CA3DAE9"/>
    <w:rsid w:val="3CAA15D0"/>
    <w:rsid w:val="3CAC69E3"/>
    <w:rsid w:val="3CAE1571"/>
    <w:rsid w:val="3CAEC645"/>
    <w:rsid w:val="3CAF3806"/>
    <w:rsid w:val="3CB02424"/>
    <w:rsid w:val="3CB3F28E"/>
    <w:rsid w:val="3CB617B4"/>
    <w:rsid w:val="3CB61881"/>
    <w:rsid w:val="3CB8A392"/>
    <w:rsid w:val="3CB9D4EB"/>
    <w:rsid w:val="3CBBF713"/>
    <w:rsid w:val="3CBCB42F"/>
    <w:rsid w:val="3CBF1294"/>
    <w:rsid w:val="3CC06E35"/>
    <w:rsid w:val="3CC14210"/>
    <w:rsid w:val="3CC364DD"/>
    <w:rsid w:val="3CC37CB7"/>
    <w:rsid w:val="3CC4890D"/>
    <w:rsid w:val="3CC746CE"/>
    <w:rsid w:val="3CCB4FDF"/>
    <w:rsid w:val="3CD0A5C6"/>
    <w:rsid w:val="3CD3E504"/>
    <w:rsid w:val="3CD55B80"/>
    <w:rsid w:val="3CD7BA28"/>
    <w:rsid w:val="3CDF5EA9"/>
    <w:rsid w:val="3CDFDCAE"/>
    <w:rsid w:val="3CE0993B"/>
    <w:rsid w:val="3CE34812"/>
    <w:rsid w:val="3CE36EF3"/>
    <w:rsid w:val="3CE5CE7A"/>
    <w:rsid w:val="3CE6A58C"/>
    <w:rsid w:val="3CE9A27B"/>
    <w:rsid w:val="3CED313C"/>
    <w:rsid w:val="3CEE3CB9"/>
    <w:rsid w:val="3CEEBE5F"/>
    <w:rsid w:val="3CF12EBC"/>
    <w:rsid w:val="3CF25D70"/>
    <w:rsid w:val="3CF28B0B"/>
    <w:rsid w:val="3CF54A4A"/>
    <w:rsid w:val="3CF5F632"/>
    <w:rsid w:val="3CF64306"/>
    <w:rsid w:val="3CF71D3E"/>
    <w:rsid w:val="3CF8B2FF"/>
    <w:rsid w:val="3CFA0B87"/>
    <w:rsid w:val="3CFA6866"/>
    <w:rsid w:val="3CFC5C4F"/>
    <w:rsid w:val="3CFD8CFE"/>
    <w:rsid w:val="3CFEFF9A"/>
    <w:rsid w:val="3CFFD1C2"/>
    <w:rsid w:val="3D0083D4"/>
    <w:rsid w:val="3D036FD5"/>
    <w:rsid w:val="3D0393F9"/>
    <w:rsid w:val="3D039BD6"/>
    <w:rsid w:val="3D080A27"/>
    <w:rsid w:val="3D089F4D"/>
    <w:rsid w:val="3D09BE33"/>
    <w:rsid w:val="3D0AAA25"/>
    <w:rsid w:val="3D0C4E48"/>
    <w:rsid w:val="3D0DE04C"/>
    <w:rsid w:val="3D0F5D58"/>
    <w:rsid w:val="3D104C65"/>
    <w:rsid w:val="3D129790"/>
    <w:rsid w:val="3D1380E4"/>
    <w:rsid w:val="3D1AE5A0"/>
    <w:rsid w:val="3D1D67E7"/>
    <w:rsid w:val="3D22189F"/>
    <w:rsid w:val="3D22B631"/>
    <w:rsid w:val="3D24E6E8"/>
    <w:rsid w:val="3D26D665"/>
    <w:rsid w:val="3D26E3BB"/>
    <w:rsid w:val="3D271C9B"/>
    <w:rsid w:val="3D29E659"/>
    <w:rsid w:val="3D2EE401"/>
    <w:rsid w:val="3D306895"/>
    <w:rsid w:val="3D3B20E3"/>
    <w:rsid w:val="3D3CC963"/>
    <w:rsid w:val="3D3F78EC"/>
    <w:rsid w:val="3D3FCF8D"/>
    <w:rsid w:val="3D41198C"/>
    <w:rsid w:val="3D438100"/>
    <w:rsid w:val="3D43F754"/>
    <w:rsid w:val="3D4545C6"/>
    <w:rsid w:val="3D4D1E1E"/>
    <w:rsid w:val="3D4E5C53"/>
    <w:rsid w:val="3D4E6B8C"/>
    <w:rsid w:val="3D4E8647"/>
    <w:rsid w:val="3D4F1A87"/>
    <w:rsid w:val="3D4F6D4B"/>
    <w:rsid w:val="3D5233B1"/>
    <w:rsid w:val="3D539205"/>
    <w:rsid w:val="3D55BA92"/>
    <w:rsid w:val="3D55D438"/>
    <w:rsid w:val="3D56031B"/>
    <w:rsid w:val="3D56295D"/>
    <w:rsid w:val="3D563978"/>
    <w:rsid w:val="3D58206D"/>
    <w:rsid w:val="3D58A034"/>
    <w:rsid w:val="3D58D5FC"/>
    <w:rsid w:val="3D591706"/>
    <w:rsid w:val="3D5A9EC5"/>
    <w:rsid w:val="3D5B0DD8"/>
    <w:rsid w:val="3D5B4FE0"/>
    <w:rsid w:val="3D5D6D09"/>
    <w:rsid w:val="3D5F8AF4"/>
    <w:rsid w:val="3D630C99"/>
    <w:rsid w:val="3D63E5B2"/>
    <w:rsid w:val="3D641A3B"/>
    <w:rsid w:val="3D643236"/>
    <w:rsid w:val="3D64A9AF"/>
    <w:rsid w:val="3D664618"/>
    <w:rsid w:val="3D69245A"/>
    <w:rsid w:val="3D6991A3"/>
    <w:rsid w:val="3D6DA059"/>
    <w:rsid w:val="3D6E170E"/>
    <w:rsid w:val="3D6E6684"/>
    <w:rsid w:val="3D6EA608"/>
    <w:rsid w:val="3D6F1A97"/>
    <w:rsid w:val="3D722840"/>
    <w:rsid w:val="3D72A761"/>
    <w:rsid w:val="3D7320B2"/>
    <w:rsid w:val="3D75D073"/>
    <w:rsid w:val="3D793AAE"/>
    <w:rsid w:val="3D79C359"/>
    <w:rsid w:val="3D79E443"/>
    <w:rsid w:val="3D7D01A0"/>
    <w:rsid w:val="3D7EB101"/>
    <w:rsid w:val="3D822DF9"/>
    <w:rsid w:val="3D862178"/>
    <w:rsid w:val="3D87CB48"/>
    <w:rsid w:val="3D87FCD2"/>
    <w:rsid w:val="3D8873E2"/>
    <w:rsid w:val="3D8B35DC"/>
    <w:rsid w:val="3D8B936A"/>
    <w:rsid w:val="3D8C8143"/>
    <w:rsid w:val="3D8C8633"/>
    <w:rsid w:val="3D8DFAA1"/>
    <w:rsid w:val="3D8F66FB"/>
    <w:rsid w:val="3D8F8338"/>
    <w:rsid w:val="3D8FD5B4"/>
    <w:rsid w:val="3D90041B"/>
    <w:rsid w:val="3D9012DD"/>
    <w:rsid w:val="3D958077"/>
    <w:rsid w:val="3D9853D3"/>
    <w:rsid w:val="3D987A3D"/>
    <w:rsid w:val="3D98F822"/>
    <w:rsid w:val="3D99A8D9"/>
    <w:rsid w:val="3D9B4A5D"/>
    <w:rsid w:val="3D9CDD4D"/>
    <w:rsid w:val="3D9DF436"/>
    <w:rsid w:val="3D9EA07E"/>
    <w:rsid w:val="3D9F57DF"/>
    <w:rsid w:val="3DA34D1B"/>
    <w:rsid w:val="3DA6B647"/>
    <w:rsid w:val="3DABA4D1"/>
    <w:rsid w:val="3DAD8F3F"/>
    <w:rsid w:val="3DAF9A5D"/>
    <w:rsid w:val="3DB39408"/>
    <w:rsid w:val="3DBCB0D2"/>
    <w:rsid w:val="3DBD66E0"/>
    <w:rsid w:val="3DBDB99D"/>
    <w:rsid w:val="3DBF8A9D"/>
    <w:rsid w:val="3DC05BA3"/>
    <w:rsid w:val="3DC0A2BD"/>
    <w:rsid w:val="3DC46C34"/>
    <w:rsid w:val="3DC92F98"/>
    <w:rsid w:val="3DCB588C"/>
    <w:rsid w:val="3DCCDD9E"/>
    <w:rsid w:val="3DCEC9B4"/>
    <w:rsid w:val="3DD218D9"/>
    <w:rsid w:val="3DD3F04A"/>
    <w:rsid w:val="3DD49BC9"/>
    <w:rsid w:val="3DD4F617"/>
    <w:rsid w:val="3DD6B169"/>
    <w:rsid w:val="3DD7130F"/>
    <w:rsid w:val="3DD7420A"/>
    <w:rsid w:val="3DDF6F75"/>
    <w:rsid w:val="3DE0857D"/>
    <w:rsid w:val="3DE26F95"/>
    <w:rsid w:val="3DE36D13"/>
    <w:rsid w:val="3DE495F0"/>
    <w:rsid w:val="3DE4F4F9"/>
    <w:rsid w:val="3DE55814"/>
    <w:rsid w:val="3DE56F08"/>
    <w:rsid w:val="3DE8E283"/>
    <w:rsid w:val="3DEB0692"/>
    <w:rsid w:val="3DED3DAC"/>
    <w:rsid w:val="3DF0ACF8"/>
    <w:rsid w:val="3DF25555"/>
    <w:rsid w:val="3DF325E3"/>
    <w:rsid w:val="3DF84314"/>
    <w:rsid w:val="3DF89B11"/>
    <w:rsid w:val="3DFA1B24"/>
    <w:rsid w:val="3DFB4E94"/>
    <w:rsid w:val="3DFF6D7D"/>
    <w:rsid w:val="3E008E96"/>
    <w:rsid w:val="3E037F60"/>
    <w:rsid w:val="3E050A9E"/>
    <w:rsid w:val="3E079A24"/>
    <w:rsid w:val="3E07B61C"/>
    <w:rsid w:val="3E08BF55"/>
    <w:rsid w:val="3E0A1D15"/>
    <w:rsid w:val="3E0A4968"/>
    <w:rsid w:val="3E0B56F7"/>
    <w:rsid w:val="3E0B762D"/>
    <w:rsid w:val="3E0C5068"/>
    <w:rsid w:val="3E0D89FF"/>
    <w:rsid w:val="3E0DC6AB"/>
    <w:rsid w:val="3E0EE73C"/>
    <w:rsid w:val="3E0F7E7F"/>
    <w:rsid w:val="3E0FF274"/>
    <w:rsid w:val="3E1034D2"/>
    <w:rsid w:val="3E113251"/>
    <w:rsid w:val="3E120BF1"/>
    <w:rsid w:val="3E12B68C"/>
    <w:rsid w:val="3E13DC7A"/>
    <w:rsid w:val="3E1407D5"/>
    <w:rsid w:val="3E155868"/>
    <w:rsid w:val="3E174C46"/>
    <w:rsid w:val="3E17E0E3"/>
    <w:rsid w:val="3E1ED538"/>
    <w:rsid w:val="3E1F96E9"/>
    <w:rsid w:val="3E1FA524"/>
    <w:rsid w:val="3E206FF5"/>
    <w:rsid w:val="3E2168E9"/>
    <w:rsid w:val="3E21ACEB"/>
    <w:rsid w:val="3E23C4BD"/>
    <w:rsid w:val="3E248617"/>
    <w:rsid w:val="3E2498F8"/>
    <w:rsid w:val="3E27EE7A"/>
    <w:rsid w:val="3E28A3BE"/>
    <w:rsid w:val="3E2A237B"/>
    <w:rsid w:val="3E2C8AD5"/>
    <w:rsid w:val="3E349363"/>
    <w:rsid w:val="3E34FEC0"/>
    <w:rsid w:val="3E37337A"/>
    <w:rsid w:val="3E39F39C"/>
    <w:rsid w:val="3E3CF3F1"/>
    <w:rsid w:val="3E3DC155"/>
    <w:rsid w:val="3E3E0DC2"/>
    <w:rsid w:val="3E3E396D"/>
    <w:rsid w:val="3E42168C"/>
    <w:rsid w:val="3E42478F"/>
    <w:rsid w:val="3E429C95"/>
    <w:rsid w:val="3E42A158"/>
    <w:rsid w:val="3E4434E4"/>
    <w:rsid w:val="3E44FE5B"/>
    <w:rsid w:val="3E45BFD5"/>
    <w:rsid w:val="3E45C5BE"/>
    <w:rsid w:val="3E47C1DC"/>
    <w:rsid w:val="3E48972D"/>
    <w:rsid w:val="3E4DBD75"/>
    <w:rsid w:val="3E4E4681"/>
    <w:rsid w:val="3E51FBB8"/>
    <w:rsid w:val="3E52464F"/>
    <w:rsid w:val="3E5256B3"/>
    <w:rsid w:val="3E539036"/>
    <w:rsid w:val="3E569CBC"/>
    <w:rsid w:val="3E57E2F9"/>
    <w:rsid w:val="3E5973F7"/>
    <w:rsid w:val="3E59FCB3"/>
    <w:rsid w:val="3E5C4DE2"/>
    <w:rsid w:val="3E5DFFC4"/>
    <w:rsid w:val="3E5F78D0"/>
    <w:rsid w:val="3E61706D"/>
    <w:rsid w:val="3E64420C"/>
    <w:rsid w:val="3E682082"/>
    <w:rsid w:val="3E6959E6"/>
    <w:rsid w:val="3E6B056E"/>
    <w:rsid w:val="3E6C9F7C"/>
    <w:rsid w:val="3E721F6D"/>
    <w:rsid w:val="3E731115"/>
    <w:rsid w:val="3E73B1EA"/>
    <w:rsid w:val="3E73B408"/>
    <w:rsid w:val="3E764D07"/>
    <w:rsid w:val="3E792AA9"/>
    <w:rsid w:val="3E7988A5"/>
    <w:rsid w:val="3E7BAD2C"/>
    <w:rsid w:val="3E7F8C57"/>
    <w:rsid w:val="3E850B85"/>
    <w:rsid w:val="3E866DE0"/>
    <w:rsid w:val="3E8674EA"/>
    <w:rsid w:val="3E8691F1"/>
    <w:rsid w:val="3E88C257"/>
    <w:rsid w:val="3E8975F2"/>
    <w:rsid w:val="3E8CCDD0"/>
    <w:rsid w:val="3E92650B"/>
    <w:rsid w:val="3E961A62"/>
    <w:rsid w:val="3E977BA6"/>
    <w:rsid w:val="3E98F8C2"/>
    <w:rsid w:val="3E991763"/>
    <w:rsid w:val="3E9953E1"/>
    <w:rsid w:val="3E9B88F7"/>
    <w:rsid w:val="3E9C86DB"/>
    <w:rsid w:val="3E9E0DC5"/>
    <w:rsid w:val="3E9FC94A"/>
    <w:rsid w:val="3EA1C910"/>
    <w:rsid w:val="3EA1F15F"/>
    <w:rsid w:val="3EA44E9F"/>
    <w:rsid w:val="3EA569F7"/>
    <w:rsid w:val="3EA5CE2B"/>
    <w:rsid w:val="3EA607C3"/>
    <w:rsid w:val="3EA60F5F"/>
    <w:rsid w:val="3EA6C61F"/>
    <w:rsid w:val="3EA90610"/>
    <w:rsid w:val="3EAAEFDD"/>
    <w:rsid w:val="3EAC1CB4"/>
    <w:rsid w:val="3EAE1CF1"/>
    <w:rsid w:val="3EB0864C"/>
    <w:rsid w:val="3EB0DA53"/>
    <w:rsid w:val="3EB5D293"/>
    <w:rsid w:val="3EB5DC62"/>
    <w:rsid w:val="3EB6B5D6"/>
    <w:rsid w:val="3EB77211"/>
    <w:rsid w:val="3EB8F459"/>
    <w:rsid w:val="3EBB2259"/>
    <w:rsid w:val="3EBC582D"/>
    <w:rsid w:val="3EC1458B"/>
    <w:rsid w:val="3EC5A1D3"/>
    <w:rsid w:val="3EC5EEB2"/>
    <w:rsid w:val="3ECAD4E6"/>
    <w:rsid w:val="3ECC2AF7"/>
    <w:rsid w:val="3ECD5156"/>
    <w:rsid w:val="3ECDEA72"/>
    <w:rsid w:val="3ECE38D4"/>
    <w:rsid w:val="3ECF1F07"/>
    <w:rsid w:val="3ED2CDB3"/>
    <w:rsid w:val="3ED3D7B3"/>
    <w:rsid w:val="3ED7DDB0"/>
    <w:rsid w:val="3ED9E8D9"/>
    <w:rsid w:val="3EDA50DF"/>
    <w:rsid w:val="3EDD922B"/>
    <w:rsid w:val="3EDD9D78"/>
    <w:rsid w:val="3EDE0223"/>
    <w:rsid w:val="3EDE6EEC"/>
    <w:rsid w:val="3EDF423D"/>
    <w:rsid w:val="3EDFBBAD"/>
    <w:rsid w:val="3EDFF609"/>
    <w:rsid w:val="3EE078BF"/>
    <w:rsid w:val="3EE14C3B"/>
    <w:rsid w:val="3EE3F467"/>
    <w:rsid w:val="3EE41C72"/>
    <w:rsid w:val="3EE8D902"/>
    <w:rsid w:val="3EED9BC3"/>
    <w:rsid w:val="3EEE05CA"/>
    <w:rsid w:val="3EEE78B9"/>
    <w:rsid w:val="3EEEB64C"/>
    <w:rsid w:val="3EF4843A"/>
    <w:rsid w:val="3EF4983E"/>
    <w:rsid w:val="3EF597AF"/>
    <w:rsid w:val="3EFFFE5A"/>
    <w:rsid w:val="3F032DCC"/>
    <w:rsid w:val="3F0626EB"/>
    <w:rsid w:val="3F072CFB"/>
    <w:rsid w:val="3F086C86"/>
    <w:rsid w:val="3F088908"/>
    <w:rsid w:val="3F0A634F"/>
    <w:rsid w:val="3F0BA771"/>
    <w:rsid w:val="3F0D71F8"/>
    <w:rsid w:val="3F119A69"/>
    <w:rsid w:val="3F1434C1"/>
    <w:rsid w:val="3F155C80"/>
    <w:rsid w:val="3F164CBB"/>
    <w:rsid w:val="3F16C7DA"/>
    <w:rsid w:val="3F172475"/>
    <w:rsid w:val="3F19E2A4"/>
    <w:rsid w:val="3F1CF37B"/>
    <w:rsid w:val="3F1F4E0B"/>
    <w:rsid w:val="3F24AFCC"/>
    <w:rsid w:val="3F273195"/>
    <w:rsid w:val="3F289C89"/>
    <w:rsid w:val="3F291B2C"/>
    <w:rsid w:val="3F294A18"/>
    <w:rsid w:val="3F2D969F"/>
    <w:rsid w:val="3F2F1F17"/>
    <w:rsid w:val="3F30F033"/>
    <w:rsid w:val="3F331F29"/>
    <w:rsid w:val="3F351BF7"/>
    <w:rsid w:val="3F39F863"/>
    <w:rsid w:val="3F3CD743"/>
    <w:rsid w:val="3F3F8CDF"/>
    <w:rsid w:val="3F414C37"/>
    <w:rsid w:val="3F41F18C"/>
    <w:rsid w:val="3F42D959"/>
    <w:rsid w:val="3F449F3C"/>
    <w:rsid w:val="3F48427F"/>
    <w:rsid w:val="3F4A2484"/>
    <w:rsid w:val="3F4A78FC"/>
    <w:rsid w:val="3F4B24BD"/>
    <w:rsid w:val="3F4D0083"/>
    <w:rsid w:val="3F4D94E4"/>
    <w:rsid w:val="3F4E30BF"/>
    <w:rsid w:val="3F5073FC"/>
    <w:rsid w:val="3F525870"/>
    <w:rsid w:val="3F52CD95"/>
    <w:rsid w:val="3F55F7C7"/>
    <w:rsid w:val="3F5988BF"/>
    <w:rsid w:val="3F5B00A8"/>
    <w:rsid w:val="3F5E33CF"/>
    <w:rsid w:val="3F601ED3"/>
    <w:rsid w:val="3F63B4D1"/>
    <w:rsid w:val="3F678F54"/>
    <w:rsid w:val="3F685340"/>
    <w:rsid w:val="3F68F937"/>
    <w:rsid w:val="3F6A9484"/>
    <w:rsid w:val="3F6D9FAE"/>
    <w:rsid w:val="3F6E0E36"/>
    <w:rsid w:val="3F6E46DA"/>
    <w:rsid w:val="3F6E90BE"/>
    <w:rsid w:val="3F6EB3F8"/>
    <w:rsid w:val="3F6F821C"/>
    <w:rsid w:val="3F727AAF"/>
    <w:rsid w:val="3F760BE7"/>
    <w:rsid w:val="3F7765F7"/>
    <w:rsid w:val="3F77FD0C"/>
    <w:rsid w:val="3F794135"/>
    <w:rsid w:val="3F7B50BB"/>
    <w:rsid w:val="3F81176A"/>
    <w:rsid w:val="3F827323"/>
    <w:rsid w:val="3F838501"/>
    <w:rsid w:val="3F84662C"/>
    <w:rsid w:val="3F84819C"/>
    <w:rsid w:val="3F852A0B"/>
    <w:rsid w:val="3F86C487"/>
    <w:rsid w:val="3F870D22"/>
    <w:rsid w:val="3F97C6A1"/>
    <w:rsid w:val="3F9B4B11"/>
    <w:rsid w:val="3F9BD150"/>
    <w:rsid w:val="3F9FB315"/>
    <w:rsid w:val="3F9FFAF3"/>
    <w:rsid w:val="3FA0E29E"/>
    <w:rsid w:val="3FA127CF"/>
    <w:rsid w:val="3FA19096"/>
    <w:rsid w:val="3FA67DCA"/>
    <w:rsid w:val="3FA6C194"/>
    <w:rsid w:val="3FA88C6A"/>
    <w:rsid w:val="3FA9CCB7"/>
    <w:rsid w:val="3FAA2F5E"/>
    <w:rsid w:val="3FB18A15"/>
    <w:rsid w:val="3FB5318A"/>
    <w:rsid w:val="3FB73D25"/>
    <w:rsid w:val="3FBD6F47"/>
    <w:rsid w:val="3FBFFF8B"/>
    <w:rsid w:val="3FC0B60C"/>
    <w:rsid w:val="3FC55532"/>
    <w:rsid w:val="3FC7C32E"/>
    <w:rsid w:val="3FC9826B"/>
    <w:rsid w:val="3FC9FE5B"/>
    <w:rsid w:val="3FCD80AA"/>
    <w:rsid w:val="3FD05EE7"/>
    <w:rsid w:val="3FD3CCF6"/>
    <w:rsid w:val="3FD442B1"/>
    <w:rsid w:val="3FD4479A"/>
    <w:rsid w:val="3FD6B9E2"/>
    <w:rsid w:val="3FD7B645"/>
    <w:rsid w:val="3FD92C40"/>
    <w:rsid w:val="3FDB62E2"/>
    <w:rsid w:val="3FDC0510"/>
    <w:rsid w:val="3FE194D3"/>
    <w:rsid w:val="3FE30332"/>
    <w:rsid w:val="3FE39ACC"/>
    <w:rsid w:val="3FE794AB"/>
    <w:rsid w:val="3FE9E592"/>
    <w:rsid w:val="3FEA59DB"/>
    <w:rsid w:val="3FEC6231"/>
    <w:rsid w:val="3FED7574"/>
    <w:rsid w:val="3FED804B"/>
    <w:rsid w:val="3FEDFDB2"/>
    <w:rsid w:val="3FEFA99A"/>
    <w:rsid w:val="3FEFDA74"/>
    <w:rsid w:val="3FF23887"/>
    <w:rsid w:val="3FF4119D"/>
    <w:rsid w:val="3FF42B90"/>
    <w:rsid w:val="3FF54565"/>
    <w:rsid w:val="3FF60393"/>
    <w:rsid w:val="3FF731AF"/>
    <w:rsid w:val="3FFBF74A"/>
    <w:rsid w:val="3FFCF46A"/>
    <w:rsid w:val="3FFDD5A0"/>
    <w:rsid w:val="3FFF122C"/>
    <w:rsid w:val="3FFF21B7"/>
    <w:rsid w:val="4001AD0B"/>
    <w:rsid w:val="40031545"/>
    <w:rsid w:val="40048ABE"/>
    <w:rsid w:val="400530E0"/>
    <w:rsid w:val="4006C7E6"/>
    <w:rsid w:val="40072A3C"/>
    <w:rsid w:val="4007B708"/>
    <w:rsid w:val="40093964"/>
    <w:rsid w:val="400ABE9F"/>
    <w:rsid w:val="400C53F4"/>
    <w:rsid w:val="400DE60E"/>
    <w:rsid w:val="400F7E35"/>
    <w:rsid w:val="401011B8"/>
    <w:rsid w:val="401091CE"/>
    <w:rsid w:val="40118123"/>
    <w:rsid w:val="4017224F"/>
    <w:rsid w:val="401736BE"/>
    <w:rsid w:val="4017A51C"/>
    <w:rsid w:val="4017B9B0"/>
    <w:rsid w:val="4017F1B9"/>
    <w:rsid w:val="4018ADE7"/>
    <w:rsid w:val="401BA2CF"/>
    <w:rsid w:val="401E4DE6"/>
    <w:rsid w:val="40210286"/>
    <w:rsid w:val="4021A056"/>
    <w:rsid w:val="40229560"/>
    <w:rsid w:val="4025C5A3"/>
    <w:rsid w:val="4027F5E8"/>
    <w:rsid w:val="40290CE4"/>
    <w:rsid w:val="40291311"/>
    <w:rsid w:val="402919D5"/>
    <w:rsid w:val="4029D3EB"/>
    <w:rsid w:val="402C3918"/>
    <w:rsid w:val="403003BF"/>
    <w:rsid w:val="40300E9F"/>
    <w:rsid w:val="40340822"/>
    <w:rsid w:val="4036BD80"/>
    <w:rsid w:val="403701E0"/>
    <w:rsid w:val="4039CF69"/>
    <w:rsid w:val="403D24BE"/>
    <w:rsid w:val="403D93B4"/>
    <w:rsid w:val="403F5DB1"/>
    <w:rsid w:val="40418CE3"/>
    <w:rsid w:val="4046EA86"/>
    <w:rsid w:val="40491D4A"/>
    <w:rsid w:val="404F5CD4"/>
    <w:rsid w:val="4051B70E"/>
    <w:rsid w:val="405855CD"/>
    <w:rsid w:val="4059A010"/>
    <w:rsid w:val="405BB3B5"/>
    <w:rsid w:val="405C9FED"/>
    <w:rsid w:val="405EA1ED"/>
    <w:rsid w:val="405F528F"/>
    <w:rsid w:val="405FE86F"/>
    <w:rsid w:val="40632B5D"/>
    <w:rsid w:val="40640C32"/>
    <w:rsid w:val="4067975E"/>
    <w:rsid w:val="4069DE86"/>
    <w:rsid w:val="4070D798"/>
    <w:rsid w:val="40724F4A"/>
    <w:rsid w:val="40746701"/>
    <w:rsid w:val="40755DEB"/>
    <w:rsid w:val="4075EFCA"/>
    <w:rsid w:val="40770E4C"/>
    <w:rsid w:val="4078794D"/>
    <w:rsid w:val="407C1C31"/>
    <w:rsid w:val="407C30AE"/>
    <w:rsid w:val="407C64FC"/>
    <w:rsid w:val="407F81C9"/>
    <w:rsid w:val="40808370"/>
    <w:rsid w:val="40817847"/>
    <w:rsid w:val="4084567E"/>
    <w:rsid w:val="408FF3BF"/>
    <w:rsid w:val="4094E60B"/>
    <w:rsid w:val="40979B53"/>
    <w:rsid w:val="409C492C"/>
    <w:rsid w:val="409D6BAE"/>
    <w:rsid w:val="409D7F3E"/>
    <w:rsid w:val="409EDCD5"/>
    <w:rsid w:val="409F9FD9"/>
    <w:rsid w:val="40A4FFD4"/>
    <w:rsid w:val="40A5213B"/>
    <w:rsid w:val="40A59EA5"/>
    <w:rsid w:val="40A6B694"/>
    <w:rsid w:val="40A84130"/>
    <w:rsid w:val="40A97394"/>
    <w:rsid w:val="40AA5E07"/>
    <w:rsid w:val="40AB28CE"/>
    <w:rsid w:val="40AC895D"/>
    <w:rsid w:val="40B0F97B"/>
    <w:rsid w:val="40B20263"/>
    <w:rsid w:val="40B29CE0"/>
    <w:rsid w:val="40B44FE4"/>
    <w:rsid w:val="40B8CF00"/>
    <w:rsid w:val="40BAF869"/>
    <w:rsid w:val="40C0195C"/>
    <w:rsid w:val="40C0602F"/>
    <w:rsid w:val="40C09478"/>
    <w:rsid w:val="40C172F3"/>
    <w:rsid w:val="40C2C854"/>
    <w:rsid w:val="40C324AB"/>
    <w:rsid w:val="40C52922"/>
    <w:rsid w:val="40C70AE1"/>
    <w:rsid w:val="40C7215B"/>
    <w:rsid w:val="40C754C3"/>
    <w:rsid w:val="40C8DA4D"/>
    <w:rsid w:val="40CAE413"/>
    <w:rsid w:val="40CD2139"/>
    <w:rsid w:val="40CEE78A"/>
    <w:rsid w:val="40CF7671"/>
    <w:rsid w:val="40CF86F6"/>
    <w:rsid w:val="40CFA7A3"/>
    <w:rsid w:val="40D26E6C"/>
    <w:rsid w:val="40D84851"/>
    <w:rsid w:val="40D8559F"/>
    <w:rsid w:val="40D90924"/>
    <w:rsid w:val="40D9195E"/>
    <w:rsid w:val="40DB5ADD"/>
    <w:rsid w:val="40DDDBB6"/>
    <w:rsid w:val="40DDE4C3"/>
    <w:rsid w:val="40DE793B"/>
    <w:rsid w:val="40E07680"/>
    <w:rsid w:val="40E13243"/>
    <w:rsid w:val="40E14724"/>
    <w:rsid w:val="40E2766D"/>
    <w:rsid w:val="40E54001"/>
    <w:rsid w:val="40E5CF50"/>
    <w:rsid w:val="40E67E6B"/>
    <w:rsid w:val="40E96BA4"/>
    <w:rsid w:val="40EA8DB4"/>
    <w:rsid w:val="40EAF8EA"/>
    <w:rsid w:val="40EC7393"/>
    <w:rsid w:val="40EC8646"/>
    <w:rsid w:val="40EE6195"/>
    <w:rsid w:val="40EF07E3"/>
    <w:rsid w:val="40EF0C67"/>
    <w:rsid w:val="40EF28A5"/>
    <w:rsid w:val="40EFC8B0"/>
    <w:rsid w:val="40EFFCCD"/>
    <w:rsid w:val="40F0EFD6"/>
    <w:rsid w:val="40F10FC1"/>
    <w:rsid w:val="40F40EE6"/>
    <w:rsid w:val="40F47836"/>
    <w:rsid w:val="40F7B6FC"/>
    <w:rsid w:val="40F7BC8C"/>
    <w:rsid w:val="40F7E6E5"/>
    <w:rsid w:val="40F954C0"/>
    <w:rsid w:val="40F9BE72"/>
    <w:rsid w:val="40FA07AF"/>
    <w:rsid w:val="40FBB183"/>
    <w:rsid w:val="40FC99E1"/>
    <w:rsid w:val="40FD9ED7"/>
    <w:rsid w:val="40FF0E62"/>
    <w:rsid w:val="41029EE0"/>
    <w:rsid w:val="410A2461"/>
    <w:rsid w:val="410AC1C0"/>
    <w:rsid w:val="410CFF9E"/>
    <w:rsid w:val="410DA627"/>
    <w:rsid w:val="410E3DF2"/>
    <w:rsid w:val="410FACE0"/>
    <w:rsid w:val="41120CC2"/>
    <w:rsid w:val="41150BD2"/>
    <w:rsid w:val="41172955"/>
    <w:rsid w:val="41189ADB"/>
    <w:rsid w:val="411B60CF"/>
    <w:rsid w:val="411BE969"/>
    <w:rsid w:val="411CF0AF"/>
    <w:rsid w:val="4120ACB3"/>
    <w:rsid w:val="4121495C"/>
    <w:rsid w:val="4122D6E3"/>
    <w:rsid w:val="41243790"/>
    <w:rsid w:val="4125B40F"/>
    <w:rsid w:val="41270577"/>
    <w:rsid w:val="412C42E8"/>
    <w:rsid w:val="412EA3B7"/>
    <w:rsid w:val="412FF0CD"/>
    <w:rsid w:val="4131CF75"/>
    <w:rsid w:val="4131D4B1"/>
    <w:rsid w:val="41328F5D"/>
    <w:rsid w:val="4139F3CC"/>
    <w:rsid w:val="413A21A5"/>
    <w:rsid w:val="413A4E8F"/>
    <w:rsid w:val="413BCC7A"/>
    <w:rsid w:val="413C6114"/>
    <w:rsid w:val="413C9B76"/>
    <w:rsid w:val="413DFDD6"/>
    <w:rsid w:val="41401EA9"/>
    <w:rsid w:val="41413460"/>
    <w:rsid w:val="4141A6E0"/>
    <w:rsid w:val="4143BCDE"/>
    <w:rsid w:val="414488A7"/>
    <w:rsid w:val="41456A4A"/>
    <w:rsid w:val="414911C2"/>
    <w:rsid w:val="4149E79A"/>
    <w:rsid w:val="414B4F66"/>
    <w:rsid w:val="414C2497"/>
    <w:rsid w:val="4150E261"/>
    <w:rsid w:val="4152471D"/>
    <w:rsid w:val="41539F26"/>
    <w:rsid w:val="41586704"/>
    <w:rsid w:val="415A4AD0"/>
    <w:rsid w:val="415C04AD"/>
    <w:rsid w:val="415D9F6B"/>
    <w:rsid w:val="415DA528"/>
    <w:rsid w:val="415F4AD6"/>
    <w:rsid w:val="41622127"/>
    <w:rsid w:val="4162E300"/>
    <w:rsid w:val="416373B4"/>
    <w:rsid w:val="4168E70E"/>
    <w:rsid w:val="416A3D8E"/>
    <w:rsid w:val="416A886A"/>
    <w:rsid w:val="416CEB53"/>
    <w:rsid w:val="416E9C3D"/>
    <w:rsid w:val="416FCBF1"/>
    <w:rsid w:val="4171E189"/>
    <w:rsid w:val="4172004D"/>
    <w:rsid w:val="4172B82A"/>
    <w:rsid w:val="41734325"/>
    <w:rsid w:val="4174EBD4"/>
    <w:rsid w:val="4175B549"/>
    <w:rsid w:val="417653BC"/>
    <w:rsid w:val="41768639"/>
    <w:rsid w:val="4177177A"/>
    <w:rsid w:val="4177B622"/>
    <w:rsid w:val="4179976A"/>
    <w:rsid w:val="417A6095"/>
    <w:rsid w:val="417B1E95"/>
    <w:rsid w:val="417CD64B"/>
    <w:rsid w:val="417F29F2"/>
    <w:rsid w:val="41814ADE"/>
    <w:rsid w:val="4183C493"/>
    <w:rsid w:val="4185A5B1"/>
    <w:rsid w:val="4189D2E3"/>
    <w:rsid w:val="418A18C2"/>
    <w:rsid w:val="418B756C"/>
    <w:rsid w:val="418CEAB0"/>
    <w:rsid w:val="418DA664"/>
    <w:rsid w:val="41911C80"/>
    <w:rsid w:val="4191E11D"/>
    <w:rsid w:val="4192A09E"/>
    <w:rsid w:val="4192D22D"/>
    <w:rsid w:val="41941A82"/>
    <w:rsid w:val="41957929"/>
    <w:rsid w:val="4195EF8B"/>
    <w:rsid w:val="419AF749"/>
    <w:rsid w:val="419BBF53"/>
    <w:rsid w:val="41A00B18"/>
    <w:rsid w:val="41A52B77"/>
    <w:rsid w:val="41A6A1CD"/>
    <w:rsid w:val="41A6AF7A"/>
    <w:rsid w:val="41A6B9DF"/>
    <w:rsid w:val="41A76CE3"/>
    <w:rsid w:val="41A98998"/>
    <w:rsid w:val="41A9911C"/>
    <w:rsid w:val="41AE2E8F"/>
    <w:rsid w:val="41B0DB0F"/>
    <w:rsid w:val="41B537A4"/>
    <w:rsid w:val="41B547D1"/>
    <w:rsid w:val="41B84A17"/>
    <w:rsid w:val="41C02CAC"/>
    <w:rsid w:val="41C2BD2A"/>
    <w:rsid w:val="41C2C3A0"/>
    <w:rsid w:val="41C674EC"/>
    <w:rsid w:val="41C6F3C9"/>
    <w:rsid w:val="41C8EA9D"/>
    <w:rsid w:val="41CB273C"/>
    <w:rsid w:val="41CD7A9B"/>
    <w:rsid w:val="41D09F25"/>
    <w:rsid w:val="41D0C4E9"/>
    <w:rsid w:val="41D29AD0"/>
    <w:rsid w:val="41D2A22C"/>
    <w:rsid w:val="41D2A654"/>
    <w:rsid w:val="41D31ADB"/>
    <w:rsid w:val="41D52D0D"/>
    <w:rsid w:val="41D59BF7"/>
    <w:rsid w:val="41D5CEEF"/>
    <w:rsid w:val="41D7DFB9"/>
    <w:rsid w:val="41D90502"/>
    <w:rsid w:val="41D9DC70"/>
    <w:rsid w:val="41DB7699"/>
    <w:rsid w:val="41DC5C12"/>
    <w:rsid w:val="41DCD907"/>
    <w:rsid w:val="41DD44FF"/>
    <w:rsid w:val="41DD570C"/>
    <w:rsid w:val="41E0806F"/>
    <w:rsid w:val="41E0E99A"/>
    <w:rsid w:val="41E2596A"/>
    <w:rsid w:val="41E45E73"/>
    <w:rsid w:val="41E5966A"/>
    <w:rsid w:val="41EBCCCC"/>
    <w:rsid w:val="41EC2DCA"/>
    <w:rsid w:val="41EDC6C2"/>
    <w:rsid w:val="41F03157"/>
    <w:rsid w:val="41F28D20"/>
    <w:rsid w:val="41F30108"/>
    <w:rsid w:val="41F3949E"/>
    <w:rsid w:val="41F3A2BE"/>
    <w:rsid w:val="41F549AD"/>
    <w:rsid w:val="41F565EC"/>
    <w:rsid w:val="41F5FAA5"/>
    <w:rsid w:val="41F79ED2"/>
    <w:rsid w:val="41F7B248"/>
    <w:rsid w:val="41F802FF"/>
    <w:rsid w:val="41FE410E"/>
    <w:rsid w:val="41FE63DA"/>
    <w:rsid w:val="42019777"/>
    <w:rsid w:val="42025080"/>
    <w:rsid w:val="420280B5"/>
    <w:rsid w:val="420302A1"/>
    <w:rsid w:val="420354FB"/>
    <w:rsid w:val="42048C99"/>
    <w:rsid w:val="42068A4F"/>
    <w:rsid w:val="420A7932"/>
    <w:rsid w:val="420B662A"/>
    <w:rsid w:val="420C10A5"/>
    <w:rsid w:val="420D9569"/>
    <w:rsid w:val="420F7012"/>
    <w:rsid w:val="420FE40A"/>
    <w:rsid w:val="4211B402"/>
    <w:rsid w:val="4214C958"/>
    <w:rsid w:val="421BA83C"/>
    <w:rsid w:val="421D0698"/>
    <w:rsid w:val="421E2184"/>
    <w:rsid w:val="421E57AA"/>
    <w:rsid w:val="421E7587"/>
    <w:rsid w:val="42249533"/>
    <w:rsid w:val="4225D6FA"/>
    <w:rsid w:val="422689C9"/>
    <w:rsid w:val="4229560F"/>
    <w:rsid w:val="4229DA7F"/>
    <w:rsid w:val="422C1663"/>
    <w:rsid w:val="422ECF1D"/>
    <w:rsid w:val="422ED061"/>
    <w:rsid w:val="423191B0"/>
    <w:rsid w:val="42371793"/>
    <w:rsid w:val="42379A98"/>
    <w:rsid w:val="42382E6F"/>
    <w:rsid w:val="423EC1D7"/>
    <w:rsid w:val="4240FBED"/>
    <w:rsid w:val="42429281"/>
    <w:rsid w:val="42444B8F"/>
    <w:rsid w:val="4246A2F4"/>
    <w:rsid w:val="424B4F18"/>
    <w:rsid w:val="424DD749"/>
    <w:rsid w:val="42519DC1"/>
    <w:rsid w:val="4253270F"/>
    <w:rsid w:val="425355B8"/>
    <w:rsid w:val="42558CFF"/>
    <w:rsid w:val="4258157D"/>
    <w:rsid w:val="42589F07"/>
    <w:rsid w:val="425922A4"/>
    <w:rsid w:val="425ADC11"/>
    <w:rsid w:val="425B01AD"/>
    <w:rsid w:val="425D5126"/>
    <w:rsid w:val="425D5516"/>
    <w:rsid w:val="425F4754"/>
    <w:rsid w:val="42618CBA"/>
    <w:rsid w:val="4263AF02"/>
    <w:rsid w:val="42650354"/>
    <w:rsid w:val="42660652"/>
    <w:rsid w:val="42673CE7"/>
    <w:rsid w:val="4269BA7A"/>
    <w:rsid w:val="426B8EB9"/>
    <w:rsid w:val="426C20BE"/>
    <w:rsid w:val="426F47F6"/>
    <w:rsid w:val="4270036F"/>
    <w:rsid w:val="42728B67"/>
    <w:rsid w:val="427481D4"/>
    <w:rsid w:val="42753A6A"/>
    <w:rsid w:val="4275CC5F"/>
    <w:rsid w:val="42779DFE"/>
    <w:rsid w:val="4278B723"/>
    <w:rsid w:val="427A106E"/>
    <w:rsid w:val="427CAD85"/>
    <w:rsid w:val="427DDC84"/>
    <w:rsid w:val="427E34DC"/>
    <w:rsid w:val="42823F0A"/>
    <w:rsid w:val="4282403C"/>
    <w:rsid w:val="4284B6C9"/>
    <w:rsid w:val="4285B05D"/>
    <w:rsid w:val="4285C2CA"/>
    <w:rsid w:val="42865434"/>
    <w:rsid w:val="42877680"/>
    <w:rsid w:val="4287B96E"/>
    <w:rsid w:val="428A2D1D"/>
    <w:rsid w:val="428B78E6"/>
    <w:rsid w:val="428BDC8D"/>
    <w:rsid w:val="42908E54"/>
    <w:rsid w:val="4291F361"/>
    <w:rsid w:val="429203FF"/>
    <w:rsid w:val="4293A28E"/>
    <w:rsid w:val="42956F39"/>
    <w:rsid w:val="429706EB"/>
    <w:rsid w:val="429A40F5"/>
    <w:rsid w:val="429A4C8E"/>
    <w:rsid w:val="429ADBC5"/>
    <w:rsid w:val="429B9D2B"/>
    <w:rsid w:val="429BB6C0"/>
    <w:rsid w:val="429E5206"/>
    <w:rsid w:val="429E937B"/>
    <w:rsid w:val="429EA09A"/>
    <w:rsid w:val="42A2D4C5"/>
    <w:rsid w:val="42A4E240"/>
    <w:rsid w:val="42A91397"/>
    <w:rsid w:val="42AC3C59"/>
    <w:rsid w:val="42AF519F"/>
    <w:rsid w:val="42AFD937"/>
    <w:rsid w:val="42AFFAF1"/>
    <w:rsid w:val="42B11727"/>
    <w:rsid w:val="42B63C2E"/>
    <w:rsid w:val="42B720AC"/>
    <w:rsid w:val="42BB54C3"/>
    <w:rsid w:val="42BC2433"/>
    <w:rsid w:val="42BD3B8E"/>
    <w:rsid w:val="42C2E49B"/>
    <w:rsid w:val="42C36FDA"/>
    <w:rsid w:val="42C727C7"/>
    <w:rsid w:val="42C8DC13"/>
    <w:rsid w:val="42C8FF2D"/>
    <w:rsid w:val="42C984D7"/>
    <w:rsid w:val="42CD177A"/>
    <w:rsid w:val="42CE4745"/>
    <w:rsid w:val="42CED985"/>
    <w:rsid w:val="42CF015A"/>
    <w:rsid w:val="42D1550C"/>
    <w:rsid w:val="42D2CB75"/>
    <w:rsid w:val="42D62EB6"/>
    <w:rsid w:val="42D7C33C"/>
    <w:rsid w:val="42D91B53"/>
    <w:rsid w:val="42DE8AF6"/>
    <w:rsid w:val="42DFDD85"/>
    <w:rsid w:val="42E289EF"/>
    <w:rsid w:val="42E4CCE2"/>
    <w:rsid w:val="42E5CA49"/>
    <w:rsid w:val="42E63080"/>
    <w:rsid w:val="42E9E4C9"/>
    <w:rsid w:val="42ED22AE"/>
    <w:rsid w:val="42EE126B"/>
    <w:rsid w:val="42EE9B4E"/>
    <w:rsid w:val="42F087AC"/>
    <w:rsid w:val="42F46E96"/>
    <w:rsid w:val="42F4706B"/>
    <w:rsid w:val="42F96003"/>
    <w:rsid w:val="42FCC190"/>
    <w:rsid w:val="42FE5B0C"/>
    <w:rsid w:val="42FE6EFA"/>
    <w:rsid w:val="42FFE29A"/>
    <w:rsid w:val="4302F25B"/>
    <w:rsid w:val="43056724"/>
    <w:rsid w:val="43069DB9"/>
    <w:rsid w:val="430A0CC9"/>
    <w:rsid w:val="430B3BA9"/>
    <w:rsid w:val="430B5C6F"/>
    <w:rsid w:val="430D3FCC"/>
    <w:rsid w:val="430D7F6F"/>
    <w:rsid w:val="430DA785"/>
    <w:rsid w:val="430ED7EF"/>
    <w:rsid w:val="431079CA"/>
    <w:rsid w:val="4310FFF7"/>
    <w:rsid w:val="43115530"/>
    <w:rsid w:val="43119F85"/>
    <w:rsid w:val="4312BF62"/>
    <w:rsid w:val="43170889"/>
    <w:rsid w:val="43172894"/>
    <w:rsid w:val="431765C0"/>
    <w:rsid w:val="4317AB38"/>
    <w:rsid w:val="431925A4"/>
    <w:rsid w:val="431C9992"/>
    <w:rsid w:val="431E1C00"/>
    <w:rsid w:val="431E69D3"/>
    <w:rsid w:val="431EB524"/>
    <w:rsid w:val="4320219E"/>
    <w:rsid w:val="432254C2"/>
    <w:rsid w:val="4322865B"/>
    <w:rsid w:val="4325885F"/>
    <w:rsid w:val="43263E9E"/>
    <w:rsid w:val="4326CF4A"/>
    <w:rsid w:val="432C4BE9"/>
    <w:rsid w:val="432C7F7C"/>
    <w:rsid w:val="432C91D7"/>
    <w:rsid w:val="432E3FDE"/>
    <w:rsid w:val="432EA337"/>
    <w:rsid w:val="432EEFC1"/>
    <w:rsid w:val="432EF9FB"/>
    <w:rsid w:val="432F3DCB"/>
    <w:rsid w:val="432FE991"/>
    <w:rsid w:val="432FF754"/>
    <w:rsid w:val="43314292"/>
    <w:rsid w:val="43354115"/>
    <w:rsid w:val="4335B434"/>
    <w:rsid w:val="4336DD47"/>
    <w:rsid w:val="4338A591"/>
    <w:rsid w:val="4339812B"/>
    <w:rsid w:val="433BC71B"/>
    <w:rsid w:val="433D474E"/>
    <w:rsid w:val="433D93D8"/>
    <w:rsid w:val="433E1C0B"/>
    <w:rsid w:val="43401997"/>
    <w:rsid w:val="4340C290"/>
    <w:rsid w:val="4340E6EF"/>
    <w:rsid w:val="4344B257"/>
    <w:rsid w:val="43483100"/>
    <w:rsid w:val="434D0956"/>
    <w:rsid w:val="434DA87F"/>
    <w:rsid w:val="434E8823"/>
    <w:rsid w:val="434F86F8"/>
    <w:rsid w:val="4350486B"/>
    <w:rsid w:val="435322E3"/>
    <w:rsid w:val="435328A3"/>
    <w:rsid w:val="43558621"/>
    <w:rsid w:val="4359B999"/>
    <w:rsid w:val="435D606D"/>
    <w:rsid w:val="435EE976"/>
    <w:rsid w:val="435FB3C4"/>
    <w:rsid w:val="43604FF6"/>
    <w:rsid w:val="4360D0FE"/>
    <w:rsid w:val="43614611"/>
    <w:rsid w:val="4364A418"/>
    <w:rsid w:val="4365099B"/>
    <w:rsid w:val="436794B4"/>
    <w:rsid w:val="4368E013"/>
    <w:rsid w:val="43691C9A"/>
    <w:rsid w:val="436C69E5"/>
    <w:rsid w:val="436E7DCF"/>
    <w:rsid w:val="436FEEE8"/>
    <w:rsid w:val="437027FA"/>
    <w:rsid w:val="437AA22D"/>
    <w:rsid w:val="437AA3DC"/>
    <w:rsid w:val="437C2090"/>
    <w:rsid w:val="437CCC46"/>
    <w:rsid w:val="437ED89E"/>
    <w:rsid w:val="438022A6"/>
    <w:rsid w:val="43802353"/>
    <w:rsid w:val="43825ED5"/>
    <w:rsid w:val="4384F71A"/>
    <w:rsid w:val="438921EB"/>
    <w:rsid w:val="43896B55"/>
    <w:rsid w:val="43898B47"/>
    <w:rsid w:val="438A030A"/>
    <w:rsid w:val="438C5135"/>
    <w:rsid w:val="438FD1FD"/>
    <w:rsid w:val="43900FA8"/>
    <w:rsid w:val="43918A0B"/>
    <w:rsid w:val="439350B2"/>
    <w:rsid w:val="439928C2"/>
    <w:rsid w:val="439A3A68"/>
    <w:rsid w:val="439C2847"/>
    <w:rsid w:val="439D4D60"/>
    <w:rsid w:val="43A09B71"/>
    <w:rsid w:val="43A283AA"/>
    <w:rsid w:val="43A2B4D9"/>
    <w:rsid w:val="43A4F52A"/>
    <w:rsid w:val="43A6D1B4"/>
    <w:rsid w:val="43A8168B"/>
    <w:rsid w:val="43A82D04"/>
    <w:rsid w:val="43A9FF92"/>
    <w:rsid w:val="43AC0AE7"/>
    <w:rsid w:val="43AFBF7F"/>
    <w:rsid w:val="43B42F1B"/>
    <w:rsid w:val="43B4BC30"/>
    <w:rsid w:val="43B5A41B"/>
    <w:rsid w:val="43B81EB5"/>
    <w:rsid w:val="43B97EED"/>
    <w:rsid w:val="43B9CCD7"/>
    <w:rsid w:val="43BD91A1"/>
    <w:rsid w:val="43BF4EDB"/>
    <w:rsid w:val="43C22435"/>
    <w:rsid w:val="43C48DDF"/>
    <w:rsid w:val="43C9CABF"/>
    <w:rsid w:val="43C9F397"/>
    <w:rsid w:val="43CC12AC"/>
    <w:rsid w:val="43D323CB"/>
    <w:rsid w:val="43D4F770"/>
    <w:rsid w:val="43D7DEF2"/>
    <w:rsid w:val="43D97ADE"/>
    <w:rsid w:val="43DA078A"/>
    <w:rsid w:val="43DC2677"/>
    <w:rsid w:val="43DD9003"/>
    <w:rsid w:val="43E040BF"/>
    <w:rsid w:val="43E26AFC"/>
    <w:rsid w:val="43E60559"/>
    <w:rsid w:val="43E83183"/>
    <w:rsid w:val="43EEA02E"/>
    <w:rsid w:val="43EEF7C1"/>
    <w:rsid w:val="43F0FB90"/>
    <w:rsid w:val="43F398AD"/>
    <w:rsid w:val="43F4EB31"/>
    <w:rsid w:val="43F71A89"/>
    <w:rsid w:val="43F7A2E6"/>
    <w:rsid w:val="43F966EE"/>
    <w:rsid w:val="43FA9799"/>
    <w:rsid w:val="43FB1265"/>
    <w:rsid w:val="43FEFD2D"/>
    <w:rsid w:val="43FF6421"/>
    <w:rsid w:val="43FF6C9B"/>
    <w:rsid w:val="44016FAB"/>
    <w:rsid w:val="440171EB"/>
    <w:rsid w:val="440264F0"/>
    <w:rsid w:val="440307D4"/>
    <w:rsid w:val="44040746"/>
    <w:rsid w:val="44043F15"/>
    <w:rsid w:val="440C6430"/>
    <w:rsid w:val="440FCFED"/>
    <w:rsid w:val="44102223"/>
    <w:rsid w:val="4410612D"/>
    <w:rsid w:val="4410A2C8"/>
    <w:rsid w:val="4413BC4E"/>
    <w:rsid w:val="44157C67"/>
    <w:rsid w:val="44192300"/>
    <w:rsid w:val="44199A3D"/>
    <w:rsid w:val="441B39D7"/>
    <w:rsid w:val="441C3897"/>
    <w:rsid w:val="441C7D7D"/>
    <w:rsid w:val="441D96CF"/>
    <w:rsid w:val="442089C8"/>
    <w:rsid w:val="4424C07C"/>
    <w:rsid w:val="4426D294"/>
    <w:rsid w:val="4429F23F"/>
    <w:rsid w:val="442A0FA0"/>
    <w:rsid w:val="442BB405"/>
    <w:rsid w:val="442CE332"/>
    <w:rsid w:val="442D4844"/>
    <w:rsid w:val="442E9264"/>
    <w:rsid w:val="443098FA"/>
    <w:rsid w:val="4430D4DF"/>
    <w:rsid w:val="44317706"/>
    <w:rsid w:val="44344724"/>
    <w:rsid w:val="44356951"/>
    <w:rsid w:val="443A9915"/>
    <w:rsid w:val="443B0D3E"/>
    <w:rsid w:val="443DD35B"/>
    <w:rsid w:val="443F8871"/>
    <w:rsid w:val="44412B80"/>
    <w:rsid w:val="444179D5"/>
    <w:rsid w:val="4442632D"/>
    <w:rsid w:val="44438D36"/>
    <w:rsid w:val="44439DF4"/>
    <w:rsid w:val="4445419E"/>
    <w:rsid w:val="4447C7C2"/>
    <w:rsid w:val="444919A9"/>
    <w:rsid w:val="444970CE"/>
    <w:rsid w:val="444D0204"/>
    <w:rsid w:val="4450806F"/>
    <w:rsid w:val="4451AB66"/>
    <w:rsid w:val="445411FA"/>
    <w:rsid w:val="445540C3"/>
    <w:rsid w:val="44587073"/>
    <w:rsid w:val="445A183E"/>
    <w:rsid w:val="445C0418"/>
    <w:rsid w:val="445D4DFA"/>
    <w:rsid w:val="445DF968"/>
    <w:rsid w:val="445EE31D"/>
    <w:rsid w:val="445F1E84"/>
    <w:rsid w:val="445FDA7C"/>
    <w:rsid w:val="4460BBA5"/>
    <w:rsid w:val="4461D983"/>
    <w:rsid w:val="44648652"/>
    <w:rsid w:val="4464A68F"/>
    <w:rsid w:val="446839DB"/>
    <w:rsid w:val="446B8C63"/>
    <w:rsid w:val="446D24E3"/>
    <w:rsid w:val="446E302E"/>
    <w:rsid w:val="44736465"/>
    <w:rsid w:val="44783ED1"/>
    <w:rsid w:val="4479A1A3"/>
    <w:rsid w:val="4479CA98"/>
    <w:rsid w:val="447AD9AF"/>
    <w:rsid w:val="447BA8B5"/>
    <w:rsid w:val="447C1065"/>
    <w:rsid w:val="447D637B"/>
    <w:rsid w:val="447DAF41"/>
    <w:rsid w:val="447F40C2"/>
    <w:rsid w:val="447F62D0"/>
    <w:rsid w:val="44804C86"/>
    <w:rsid w:val="4480A9C5"/>
    <w:rsid w:val="4481E423"/>
    <w:rsid w:val="4482F4BC"/>
    <w:rsid w:val="44853E18"/>
    <w:rsid w:val="4485918F"/>
    <w:rsid w:val="4487BF05"/>
    <w:rsid w:val="44881788"/>
    <w:rsid w:val="4488531F"/>
    <w:rsid w:val="4489DB7F"/>
    <w:rsid w:val="448AA3C2"/>
    <w:rsid w:val="448BA921"/>
    <w:rsid w:val="448D4A25"/>
    <w:rsid w:val="448FC3F7"/>
    <w:rsid w:val="44915FFF"/>
    <w:rsid w:val="4491FCD1"/>
    <w:rsid w:val="44920BB7"/>
    <w:rsid w:val="4492AFAC"/>
    <w:rsid w:val="4492DC82"/>
    <w:rsid w:val="449431D3"/>
    <w:rsid w:val="44970C1A"/>
    <w:rsid w:val="44974A10"/>
    <w:rsid w:val="4499DCAB"/>
    <w:rsid w:val="4499E112"/>
    <w:rsid w:val="449BC802"/>
    <w:rsid w:val="449F7AFF"/>
    <w:rsid w:val="44A02D1C"/>
    <w:rsid w:val="44A35FEB"/>
    <w:rsid w:val="44A3CC25"/>
    <w:rsid w:val="44A5FEB0"/>
    <w:rsid w:val="44A9670E"/>
    <w:rsid w:val="44AA7EA1"/>
    <w:rsid w:val="44AC32BA"/>
    <w:rsid w:val="44ADD915"/>
    <w:rsid w:val="44AE0F2C"/>
    <w:rsid w:val="44AF940E"/>
    <w:rsid w:val="44B16085"/>
    <w:rsid w:val="44B1634B"/>
    <w:rsid w:val="44B25089"/>
    <w:rsid w:val="44B44F11"/>
    <w:rsid w:val="44B540B2"/>
    <w:rsid w:val="44B6330D"/>
    <w:rsid w:val="44BC25A7"/>
    <w:rsid w:val="44BE5326"/>
    <w:rsid w:val="44C0BDD7"/>
    <w:rsid w:val="44C0E769"/>
    <w:rsid w:val="44C2475E"/>
    <w:rsid w:val="44C3F567"/>
    <w:rsid w:val="44C561E5"/>
    <w:rsid w:val="44C9681C"/>
    <w:rsid w:val="44CA98B9"/>
    <w:rsid w:val="44CB75EE"/>
    <w:rsid w:val="44CCAA8B"/>
    <w:rsid w:val="44CDD0B2"/>
    <w:rsid w:val="44CE50C5"/>
    <w:rsid w:val="44CF9D2B"/>
    <w:rsid w:val="44D30EEE"/>
    <w:rsid w:val="44D398B6"/>
    <w:rsid w:val="44D56E1A"/>
    <w:rsid w:val="44DA7532"/>
    <w:rsid w:val="44DBD4D8"/>
    <w:rsid w:val="44DC54DA"/>
    <w:rsid w:val="44DCD050"/>
    <w:rsid w:val="44DD58DF"/>
    <w:rsid w:val="44DFFF6B"/>
    <w:rsid w:val="44E09381"/>
    <w:rsid w:val="44E2678D"/>
    <w:rsid w:val="44E285AD"/>
    <w:rsid w:val="44E3E87F"/>
    <w:rsid w:val="44E40352"/>
    <w:rsid w:val="44E5B5D4"/>
    <w:rsid w:val="44E6097E"/>
    <w:rsid w:val="44E7C48A"/>
    <w:rsid w:val="44E8A120"/>
    <w:rsid w:val="44EA739B"/>
    <w:rsid w:val="44EB85F7"/>
    <w:rsid w:val="44EB9C3D"/>
    <w:rsid w:val="44EFF40E"/>
    <w:rsid w:val="44F128DF"/>
    <w:rsid w:val="44F50C69"/>
    <w:rsid w:val="44F56D50"/>
    <w:rsid w:val="4500C655"/>
    <w:rsid w:val="4505B8CF"/>
    <w:rsid w:val="450848B1"/>
    <w:rsid w:val="4509DA99"/>
    <w:rsid w:val="450A2FCF"/>
    <w:rsid w:val="450E0F31"/>
    <w:rsid w:val="450E17FE"/>
    <w:rsid w:val="450E29C8"/>
    <w:rsid w:val="45104272"/>
    <w:rsid w:val="4510DCEA"/>
    <w:rsid w:val="451232A8"/>
    <w:rsid w:val="4513A0FE"/>
    <w:rsid w:val="45147F37"/>
    <w:rsid w:val="4514E8EC"/>
    <w:rsid w:val="45157BC4"/>
    <w:rsid w:val="451AC77F"/>
    <w:rsid w:val="451CD3B2"/>
    <w:rsid w:val="451FE79E"/>
    <w:rsid w:val="45273AA9"/>
    <w:rsid w:val="452BCE42"/>
    <w:rsid w:val="452EE940"/>
    <w:rsid w:val="45314784"/>
    <w:rsid w:val="453160F0"/>
    <w:rsid w:val="4531B310"/>
    <w:rsid w:val="45329E3D"/>
    <w:rsid w:val="4533B4E2"/>
    <w:rsid w:val="4535A879"/>
    <w:rsid w:val="4535EB8A"/>
    <w:rsid w:val="453818E1"/>
    <w:rsid w:val="453A699F"/>
    <w:rsid w:val="453BB430"/>
    <w:rsid w:val="453E30A8"/>
    <w:rsid w:val="453E86BF"/>
    <w:rsid w:val="453FF637"/>
    <w:rsid w:val="454011AD"/>
    <w:rsid w:val="45417C10"/>
    <w:rsid w:val="4541C3F3"/>
    <w:rsid w:val="454369CC"/>
    <w:rsid w:val="45453B5A"/>
    <w:rsid w:val="45460AB5"/>
    <w:rsid w:val="45467FF5"/>
    <w:rsid w:val="4546C960"/>
    <w:rsid w:val="454A3C0B"/>
    <w:rsid w:val="454D1D61"/>
    <w:rsid w:val="454DBD8E"/>
    <w:rsid w:val="454E4435"/>
    <w:rsid w:val="454F1462"/>
    <w:rsid w:val="4551747C"/>
    <w:rsid w:val="455650BE"/>
    <w:rsid w:val="4556DBB5"/>
    <w:rsid w:val="4557B0B5"/>
    <w:rsid w:val="45588D3E"/>
    <w:rsid w:val="455DB4E9"/>
    <w:rsid w:val="455DCF08"/>
    <w:rsid w:val="455DDC27"/>
    <w:rsid w:val="455E88A7"/>
    <w:rsid w:val="455EDC81"/>
    <w:rsid w:val="45605D21"/>
    <w:rsid w:val="4560B871"/>
    <w:rsid w:val="45633BAD"/>
    <w:rsid w:val="4565B8F9"/>
    <w:rsid w:val="4565F4D2"/>
    <w:rsid w:val="456758C7"/>
    <w:rsid w:val="456BCF7C"/>
    <w:rsid w:val="456CC66B"/>
    <w:rsid w:val="456D8305"/>
    <w:rsid w:val="456E7512"/>
    <w:rsid w:val="4570A3E8"/>
    <w:rsid w:val="457353C4"/>
    <w:rsid w:val="45741D6E"/>
    <w:rsid w:val="457CC0F8"/>
    <w:rsid w:val="457E322F"/>
    <w:rsid w:val="45803B64"/>
    <w:rsid w:val="4580F0BB"/>
    <w:rsid w:val="45824313"/>
    <w:rsid w:val="4586B3BD"/>
    <w:rsid w:val="4586D2C7"/>
    <w:rsid w:val="4586EF2F"/>
    <w:rsid w:val="45874202"/>
    <w:rsid w:val="45896D70"/>
    <w:rsid w:val="4589725B"/>
    <w:rsid w:val="458AA78A"/>
    <w:rsid w:val="458B3FAD"/>
    <w:rsid w:val="458B8C27"/>
    <w:rsid w:val="458BB48C"/>
    <w:rsid w:val="458E35D5"/>
    <w:rsid w:val="458FF97E"/>
    <w:rsid w:val="4590D9C6"/>
    <w:rsid w:val="459154BE"/>
    <w:rsid w:val="4593A33E"/>
    <w:rsid w:val="45943E9B"/>
    <w:rsid w:val="45972123"/>
    <w:rsid w:val="4598CDC3"/>
    <w:rsid w:val="459C138F"/>
    <w:rsid w:val="459E7AD8"/>
    <w:rsid w:val="459F14DF"/>
    <w:rsid w:val="459F68CB"/>
    <w:rsid w:val="459F6BBE"/>
    <w:rsid w:val="45A0925C"/>
    <w:rsid w:val="45A39FCD"/>
    <w:rsid w:val="45A3E334"/>
    <w:rsid w:val="45A520EA"/>
    <w:rsid w:val="45A68496"/>
    <w:rsid w:val="45A71077"/>
    <w:rsid w:val="45A772BF"/>
    <w:rsid w:val="45A9CA0A"/>
    <w:rsid w:val="45ACF97A"/>
    <w:rsid w:val="45AF26E1"/>
    <w:rsid w:val="45AFBAAD"/>
    <w:rsid w:val="45B01CC6"/>
    <w:rsid w:val="45B7068B"/>
    <w:rsid w:val="45B7DB98"/>
    <w:rsid w:val="45B86E11"/>
    <w:rsid w:val="45B94986"/>
    <w:rsid w:val="45BB20CC"/>
    <w:rsid w:val="45BCABFF"/>
    <w:rsid w:val="45BEF8CD"/>
    <w:rsid w:val="45BF67B2"/>
    <w:rsid w:val="45C0076F"/>
    <w:rsid w:val="45C3063B"/>
    <w:rsid w:val="45C3A316"/>
    <w:rsid w:val="45C3A503"/>
    <w:rsid w:val="45C68447"/>
    <w:rsid w:val="45C866D6"/>
    <w:rsid w:val="45CD957C"/>
    <w:rsid w:val="45CDDAE9"/>
    <w:rsid w:val="45D0CA60"/>
    <w:rsid w:val="45D6331B"/>
    <w:rsid w:val="45D6EB6D"/>
    <w:rsid w:val="45D80EF5"/>
    <w:rsid w:val="45D93841"/>
    <w:rsid w:val="45D99790"/>
    <w:rsid w:val="45DAAEB3"/>
    <w:rsid w:val="45DD4138"/>
    <w:rsid w:val="45DD6B78"/>
    <w:rsid w:val="45DDE71C"/>
    <w:rsid w:val="45DF61CA"/>
    <w:rsid w:val="45E1D7C0"/>
    <w:rsid w:val="45E85DAA"/>
    <w:rsid w:val="45E8DDE2"/>
    <w:rsid w:val="45EA44C6"/>
    <w:rsid w:val="45EB5107"/>
    <w:rsid w:val="45EC657E"/>
    <w:rsid w:val="45EC8DC7"/>
    <w:rsid w:val="45EDF124"/>
    <w:rsid w:val="45EFBDF0"/>
    <w:rsid w:val="45F000D5"/>
    <w:rsid w:val="45F0EC2E"/>
    <w:rsid w:val="45F748B6"/>
    <w:rsid w:val="45F9473E"/>
    <w:rsid w:val="45F969D5"/>
    <w:rsid w:val="45F9E023"/>
    <w:rsid w:val="460014CD"/>
    <w:rsid w:val="46016606"/>
    <w:rsid w:val="460247AC"/>
    <w:rsid w:val="460454B3"/>
    <w:rsid w:val="46063830"/>
    <w:rsid w:val="4607C0F7"/>
    <w:rsid w:val="4608D238"/>
    <w:rsid w:val="461027EB"/>
    <w:rsid w:val="46113270"/>
    <w:rsid w:val="4613B936"/>
    <w:rsid w:val="4615A48D"/>
    <w:rsid w:val="46161CF3"/>
    <w:rsid w:val="46192E90"/>
    <w:rsid w:val="461AABDE"/>
    <w:rsid w:val="461AAF59"/>
    <w:rsid w:val="461D458F"/>
    <w:rsid w:val="461FF545"/>
    <w:rsid w:val="462012BD"/>
    <w:rsid w:val="46202C14"/>
    <w:rsid w:val="462589AD"/>
    <w:rsid w:val="4625CB27"/>
    <w:rsid w:val="46261AA7"/>
    <w:rsid w:val="462CE95A"/>
    <w:rsid w:val="462EBBB4"/>
    <w:rsid w:val="4631F7A7"/>
    <w:rsid w:val="46348FCD"/>
    <w:rsid w:val="46365249"/>
    <w:rsid w:val="4636C3AB"/>
    <w:rsid w:val="463A04F5"/>
    <w:rsid w:val="46405799"/>
    <w:rsid w:val="46411F9B"/>
    <w:rsid w:val="46426C84"/>
    <w:rsid w:val="4646504D"/>
    <w:rsid w:val="46483C76"/>
    <w:rsid w:val="46486F77"/>
    <w:rsid w:val="464AAFDB"/>
    <w:rsid w:val="464B1CAA"/>
    <w:rsid w:val="464B2491"/>
    <w:rsid w:val="464EFB6D"/>
    <w:rsid w:val="464F0DA3"/>
    <w:rsid w:val="46508A40"/>
    <w:rsid w:val="46528C1B"/>
    <w:rsid w:val="4653A4E6"/>
    <w:rsid w:val="465518CA"/>
    <w:rsid w:val="4655E01A"/>
    <w:rsid w:val="465651C9"/>
    <w:rsid w:val="4657B0B8"/>
    <w:rsid w:val="4659BE60"/>
    <w:rsid w:val="465AE1F1"/>
    <w:rsid w:val="465DDB1F"/>
    <w:rsid w:val="465F169D"/>
    <w:rsid w:val="46625DDF"/>
    <w:rsid w:val="4663B50D"/>
    <w:rsid w:val="46643390"/>
    <w:rsid w:val="466486D0"/>
    <w:rsid w:val="4665D268"/>
    <w:rsid w:val="46697F60"/>
    <w:rsid w:val="466C7940"/>
    <w:rsid w:val="466CDEF3"/>
    <w:rsid w:val="466CEFAF"/>
    <w:rsid w:val="466D54BE"/>
    <w:rsid w:val="466DC32F"/>
    <w:rsid w:val="466E7E09"/>
    <w:rsid w:val="466FF775"/>
    <w:rsid w:val="467724A5"/>
    <w:rsid w:val="4677ABFF"/>
    <w:rsid w:val="46780940"/>
    <w:rsid w:val="46797CFD"/>
    <w:rsid w:val="467AA49C"/>
    <w:rsid w:val="467B265A"/>
    <w:rsid w:val="467E5311"/>
    <w:rsid w:val="46827C58"/>
    <w:rsid w:val="4683A6E2"/>
    <w:rsid w:val="4683F222"/>
    <w:rsid w:val="4684E2E2"/>
    <w:rsid w:val="46873BAA"/>
    <w:rsid w:val="4689C052"/>
    <w:rsid w:val="4689E4FF"/>
    <w:rsid w:val="468C4209"/>
    <w:rsid w:val="468CBEC8"/>
    <w:rsid w:val="468DA613"/>
    <w:rsid w:val="468E169F"/>
    <w:rsid w:val="468FCF00"/>
    <w:rsid w:val="46962AD7"/>
    <w:rsid w:val="46966FD1"/>
    <w:rsid w:val="4696BE2C"/>
    <w:rsid w:val="4696C7F8"/>
    <w:rsid w:val="4698E74E"/>
    <w:rsid w:val="469951A8"/>
    <w:rsid w:val="46996F9C"/>
    <w:rsid w:val="469E594F"/>
    <w:rsid w:val="46A045B9"/>
    <w:rsid w:val="46A1D312"/>
    <w:rsid w:val="46A340ED"/>
    <w:rsid w:val="46A5DA6B"/>
    <w:rsid w:val="46A78E73"/>
    <w:rsid w:val="46A911DC"/>
    <w:rsid w:val="46A9859D"/>
    <w:rsid w:val="46AD7DAC"/>
    <w:rsid w:val="46AF7246"/>
    <w:rsid w:val="46B44B25"/>
    <w:rsid w:val="46B4E90D"/>
    <w:rsid w:val="46B57958"/>
    <w:rsid w:val="46B6F07D"/>
    <w:rsid w:val="46B7DF37"/>
    <w:rsid w:val="46B7EF46"/>
    <w:rsid w:val="46B90853"/>
    <w:rsid w:val="46BA1E0E"/>
    <w:rsid w:val="46BAA85D"/>
    <w:rsid w:val="46BD1A84"/>
    <w:rsid w:val="46C0B216"/>
    <w:rsid w:val="46C59DAD"/>
    <w:rsid w:val="46CCC267"/>
    <w:rsid w:val="46CCDA37"/>
    <w:rsid w:val="46CF3958"/>
    <w:rsid w:val="46D01027"/>
    <w:rsid w:val="46D21DA9"/>
    <w:rsid w:val="46D5610F"/>
    <w:rsid w:val="46DAEEC6"/>
    <w:rsid w:val="46DB5ABB"/>
    <w:rsid w:val="46DBE508"/>
    <w:rsid w:val="46DC1F0B"/>
    <w:rsid w:val="46DC65CB"/>
    <w:rsid w:val="46DE2DBB"/>
    <w:rsid w:val="46DF9611"/>
    <w:rsid w:val="46DFFB7D"/>
    <w:rsid w:val="46E1100C"/>
    <w:rsid w:val="46E241EA"/>
    <w:rsid w:val="46E39B70"/>
    <w:rsid w:val="46E5DCB4"/>
    <w:rsid w:val="46E612B8"/>
    <w:rsid w:val="46EBCEC4"/>
    <w:rsid w:val="46EF73F8"/>
    <w:rsid w:val="46EFF202"/>
    <w:rsid w:val="46F00B99"/>
    <w:rsid w:val="46F336B8"/>
    <w:rsid w:val="46F3699A"/>
    <w:rsid w:val="46F52E74"/>
    <w:rsid w:val="46F64E3C"/>
    <w:rsid w:val="46F8232D"/>
    <w:rsid w:val="46F891AF"/>
    <w:rsid w:val="4700B472"/>
    <w:rsid w:val="4701F723"/>
    <w:rsid w:val="4702F148"/>
    <w:rsid w:val="47034747"/>
    <w:rsid w:val="4709BE04"/>
    <w:rsid w:val="470C68D0"/>
    <w:rsid w:val="4710EF2A"/>
    <w:rsid w:val="47126204"/>
    <w:rsid w:val="47174856"/>
    <w:rsid w:val="47178C1A"/>
    <w:rsid w:val="4718418E"/>
    <w:rsid w:val="471BBD64"/>
    <w:rsid w:val="471D0DB1"/>
    <w:rsid w:val="471EB983"/>
    <w:rsid w:val="471F04D7"/>
    <w:rsid w:val="472527C8"/>
    <w:rsid w:val="4725764B"/>
    <w:rsid w:val="4725D27E"/>
    <w:rsid w:val="472667E6"/>
    <w:rsid w:val="4727BB7A"/>
    <w:rsid w:val="472859A9"/>
    <w:rsid w:val="472ACF72"/>
    <w:rsid w:val="472ADD59"/>
    <w:rsid w:val="472B5FBC"/>
    <w:rsid w:val="472D801A"/>
    <w:rsid w:val="47310E1F"/>
    <w:rsid w:val="47322910"/>
    <w:rsid w:val="47346D3F"/>
    <w:rsid w:val="47349168"/>
    <w:rsid w:val="473870D1"/>
    <w:rsid w:val="47388A10"/>
    <w:rsid w:val="473A5F5F"/>
    <w:rsid w:val="473C62BD"/>
    <w:rsid w:val="473E60EC"/>
    <w:rsid w:val="4740C418"/>
    <w:rsid w:val="47415E9C"/>
    <w:rsid w:val="474173FD"/>
    <w:rsid w:val="4741D428"/>
    <w:rsid w:val="4744AE4A"/>
    <w:rsid w:val="47454EE6"/>
    <w:rsid w:val="47457011"/>
    <w:rsid w:val="4748FF35"/>
    <w:rsid w:val="474963FF"/>
    <w:rsid w:val="47497CDF"/>
    <w:rsid w:val="4749FE5D"/>
    <w:rsid w:val="474A5508"/>
    <w:rsid w:val="474BED27"/>
    <w:rsid w:val="474D5495"/>
    <w:rsid w:val="474DA51E"/>
    <w:rsid w:val="4750F7CF"/>
    <w:rsid w:val="4751F320"/>
    <w:rsid w:val="47556815"/>
    <w:rsid w:val="4755C12D"/>
    <w:rsid w:val="475B67EA"/>
    <w:rsid w:val="475D7BED"/>
    <w:rsid w:val="4760344B"/>
    <w:rsid w:val="47615A2B"/>
    <w:rsid w:val="47655135"/>
    <w:rsid w:val="476E9D18"/>
    <w:rsid w:val="476F46D0"/>
    <w:rsid w:val="4770BD67"/>
    <w:rsid w:val="4771FA39"/>
    <w:rsid w:val="477412BE"/>
    <w:rsid w:val="47769584"/>
    <w:rsid w:val="4777F6D6"/>
    <w:rsid w:val="4777FACD"/>
    <w:rsid w:val="4778AD40"/>
    <w:rsid w:val="477D8449"/>
    <w:rsid w:val="477D9076"/>
    <w:rsid w:val="477EBDF7"/>
    <w:rsid w:val="477F854B"/>
    <w:rsid w:val="4780DA32"/>
    <w:rsid w:val="4781447E"/>
    <w:rsid w:val="47842951"/>
    <w:rsid w:val="478870C2"/>
    <w:rsid w:val="47911244"/>
    <w:rsid w:val="47926EC3"/>
    <w:rsid w:val="479363C3"/>
    <w:rsid w:val="47941EC9"/>
    <w:rsid w:val="4797360A"/>
    <w:rsid w:val="47999F87"/>
    <w:rsid w:val="479A03C7"/>
    <w:rsid w:val="479CCDC1"/>
    <w:rsid w:val="479D1B60"/>
    <w:rsid w:val="479E066C"/>
    <w:rsid w:val="479F2F3A"/>
    <w:rsid w:val="479FC16D"/>
    <w:rsid w:val="47A39399"/>
    <w:rsid w:val="47A70A07"/>
    <w:rsid w:val="47ABB48F"/>
    <w:rsid w:val="47AED470"/>
    <w:rsid w:val="47AF11D5"/>
    <w:rsid w:val="47B3CC7C"/>
    <w:rsid w:val="47B76B59"/>
    <w:rsid w:val="47B7C333"/>
    <w:rsid w:val="47B926B2"/>
    <w:rsid w:val="47BA90EA"/>
    <w:rsid w:val="47BBB084"/>
    <w:rsid w:val="47BFF94C"/>
    <w:rsid w:val="47C05C60"/>
    <w:rsid w:val="47C65820"/>
    <w:rsid w:val="47C85944"/>
    <w:rsid w:val="47C8F3D3"/>
    <w:rsid w:val="47CBFFE3"/>
    <w:rsid w:val="47CF0BDE"/>
    <w:rsid w:val="47D08D67"/>
    <w:rsid w:val="47D404E1"/>
    <w:rsid w:val="47DBC9A1"/>
    <w:rsid w:val="47DDA314"/>
    <w:rsid w:val="47DFB172"/>
    <w:rsid w:val="47E47ABA"/>
    <w:rsid w:val="47E831A4"/>
    <w:rsid w:val="47E9C575"/>
    <w:rsid w:val="47EA9BB0"/>
    <w:rsid w:val="47EB9B92"/>
    <w:rsid w:val="47EC93BF"/>
    <w:rsid w:val="47F096F9"/>
    <w:rsid w:val="47F1EBC4"/>
    <w:rsid w:val="47F27EF4"/>
    <w:rsid w:val="47F5C543"/>
    <w:rsid w:val="47F5DDE6"/>
    <w:rsid w:val="47F5F77E"/>
    <w:rsid w:val="47F7B081"/>
    <w:rsid w:val="47F7E7E1"/>
    <w:rsid w:val="47FA3D91"/>
    <w:rsid w:val="47FCDCF2"/>
    <w:rsid w:val="47FD3C58"/>
    <w:rsid w:val="47FF3734"/>
    <w:rsid w:val="47FF779C"/>
    <w:rsid w:val="48002B85"/>
    <w:rsid w:val="4801F337"/>
    <w:rsid w:val="4802C79A"/>
    <w:rsid w:val="4805C383"/>
    <w:rsid w:val="48071C1D"/>
    <w:rsid w:val="480AB61E"/>
    <w:rsid w:val="480AE44D"/>
    <w:rsid w:val="48109805"/>
    <w:rsid w:val="4810A587"/>
    <w:rsid w:val="4811B00A"/>
    <w:rsid w:val="481454BB"/>
    <w:rsid w:val="48146473"/>
    <w:rsid w:val="48173755"/>
    <w:rsid w:val="481C9A41"/>
    <w:rsid w:val="481D57A0"/>
    <w:rsid w:val="481FF678"/>
    <w:rsid w:val="482138DA"/>
    <w:rsid w:val="4822634F"/>
    <w:rsid w:val="4824C395"/>
    <w:rsid w:val="4825355D"/>
    <w:rsid w:val="482610FB"/>
    <w:rsid w:val="48285846"/>
    <w:rsid w:val="482D33BA"/>
    <w:rsid w:val="482D4365"/>
    <w:rsid w:val="48303F5D"/>
    <w:rsid w:val="48311143"/>
    <w:rsid w:val="483119FC"/>
    <w:rsid w:val="4832CB61"/>
    <w:rsid w:val="4833E597"/>
    <w:rsid w:val="4834A9F1"/>
    <w:rsid w:val="483621E5"/>
    <w:rsid w:val="4836E4BB"/>
    <w:rsid w:val="4838FB41"/>
    <w:rsid w:val="48391A1E"/>
    <w:rsid w:val="483AB062"/>
    <w:rsid w:val="483C21C8"/>
    <w:rsid w:val="483CA220"/>
    <w:rsid w:val="483D2C86"/>
    <w:rsid w:val="483E20C7"/>
    <w:rsid w:val="483E3B69"/>
    <w:rsid w:val="483FC9E0"/>
    <w:rsid w:val="48427DE6"/>
    <w:rsid w:val="4845AE66"/>
    <w:rsid w:val="48479E19"/>
    <w:rsid w:val="484850D5"/>
    <w:rsid w:val="484E8B8B"/>
    <w:rsid w:val="484FC3A8"/>
    <w:rsid w:val="4853BEBC"/>
    <w:rsid w:val="4855B9D9"/>
    <w:rsid w:val="485C4F3E"/>
    <w:rsid w:val="485CF035"/>
    <w:rsid w:val="485DAD08"/>
    <w:rsid w:val="485F5140"/>
    <w:rsid w:val="48606F84"/>
    <w:rsid w:val="486071AB"/>
    <w:rsid w:val="48615645"/>
    <w:rsid w:val="48616D23"/>
    <w:rsid w:val="4863760F"/>
    <w:rsid w:val="48659EF2"/>
    <w:rsid w:val="4869CA79"/>
    <w:rsid w:val="486ABDB1"/>
    <w:rsid w:val="486D8DC2"/>
    <w:rsid w:val="486E650B"/>
    <w:rsid w:val="486EE8EC"/>
    <w:rsid w:val="487470A4"/>
    <w:rsid w:val="4875750A"/>
    <w:rsid w:val="48797599"/>
    <w:rsid w:val="487A6F0B"/>
    <w:rsid w:val="487B846D"/>
    <w:rsid w:val="487D93A6"/>
    <w:rsid w:val="487D992E"/>
    <w:rsid w:val="487E2DE4"/>
    <w:rsid w:val="487F47EF"/>
    <w:rsid w:val="488017CE"/>
    <w:rsid w:val="488048ED"/>
    <w:rsid w:val="48808D8A"/>
    <w:rsid w:val="4882C3CA"/>
    <w:rsid w:val="4883F738"/>
    <w:rsid w:val="48852A68"/>
    <w:rsid w:val="48854D80"/>
    <w:rsid w:val="48854ECB"/>
    <w:rsid w:val="48856A4E"/>
    <w:rsid w:val="4887DD5F"/>
    <w:rsid w:val="488CDF68"/>
    <w:rsid w:val="488CE038"/>
    <w:rsid w:val="488DCE94"/>
    <w:rsid w:val="488EE3FB"/>
    <w:rsid w:val="4890800C"/>
    <w:rsid w:val="48920AD3"/>
    <w:rsid w:val="489764C8"/>
    <w:rsid w:val="4898C90A"/>
    <w:rsid w:val="4898CA32"/>
    <w:rsid w:val="4899EFB0"/>
    <w:rsid w:val="489A20AB"/>
    <w:rsid w:val="489F428E"/>
    <w:rsid w:val="48A20C99"/>
    <w:rsid w:val="48A30976"/>
    <w:rsid w:val="48A51E76"/>
    <w:rsid w:val="48A6A17B"/>
    <w:rsid w:val="48A8BD77"/>
    <w:rsid w:val="48A9543E"/>
    <w:rsid w:val="48AAF608"/>
    <w:rsid w:val="48AB25DF"/>
    <w:rsid w:val="48ABD97A"/>
    <w:rsid w:val="48AD12F3"/>
    <w:rsid w:val="48B05300"/>
    <w:rsid w:val="48B2A59E"/>
    <w:rsid w:val="48B5FD54"/>
    <w:rsid w:val="48B781F6"/>
    <w:rsid w:val="48BA8CB6"/>
    <w:rsid w:val="48BBBC2D"/>
    <w:rsid w:val="48BEBABA"/>
    <w:rsid w:val="48C43A33"/>
    <w:rsid w:val="48C57554"/>
    <w:rsid w:val="48C89D34"/>
    <w:rsid w:val="48C9E184"/>
    <w:rsid w:val="48CC5382"/>
    <w:rsid w:val="48CE3211"/>
    <w:rsid w:val="48CF594A"/>
    <w:rsid w:val="48D3E962"/>
    <w:rsid w:val="48D4A9AE"/>
    <w:rsid w:val="48D4DA20"/>
    <w:rsid w:val="48D7BBC0"/>
    <w:rsid w:val="48DB34E7"/>
    <w:rsid w:val="48DBCA3F"/>
    <w:rsid w:val="48DC126E"/>
    <w:rsid w:val="48DE3A3E"/>
    <w:rsid w:val="48E05C76"/>
    <w:rsid w:val="48E3856A"/>
    <w:rsid w:val="48E3A052"/>
    <w:rsid w:val="48E5F05E"/>
    <w:rsid w:val="48E63820"/>
    <w:rsid w:val="48E7967D"/>
    <w:rsid w:val="48EBEF09"/>
    <w:rsid w:val="48EFF01D"/>
    <w:rsid w:val="48F1C459"/>
    <w:rsid w:val="48F26EC9"/>
    <w:rsid w:val="48F3DF1D"/>
    <w:rsid w:val="48F623D7"/>
    <w:rsid w:val="48F7EB13"/>
    <w:rsid w:val="48FA4D83"/>
    <w:rsid w:val="48FCB2C4"/>
    <w:rsid w:val="48FD3812"/>
    <w:rsid w:val="48FDF998"/>
    <w:rsid w:val="48FE31B4"/>
    <w:rsid w:val="48FF5826"/>
    <w:rsid w:val="49018073"/>
    <w:rsid w:val="490268EB"/>
    <w:rsid w:val="49030A76"/>
    <w:rsid w:val="4904B406"/>
    <w:rsid w:val="4905C1B5"/>
    <w:rsid w:val="4907089D"/>
    <w:rsid w:val="490A0F96"/>
    <w:rsid w:val="490A19FA"/>
    <w:rsid w:val="490B0091"/>
    <w:rsid w:val="490B8BF4"/>
    <w:rsid w:val="4911B2D7"/>
    <w:rsid w:val="4911C875"/>
    <w:rsid w:val="49143421"/>
    <w:rsid w:val="4914C35D"/>
    <w:rsid w:val="4915A102"/>
    <w:rsid w:val="4915EE4D"/>
    <w:rsid w:val="491694D0"/>
    <w:rsid w:val="49182D73"/>
    <w:rsid w:val="4919E2B6"/>
    <w:rsid w:val="491A7B96"/>
    <w:rsid w:val="491C0F35"/>
    <w:rsid w:val="491D8740"/>
    <w:rsid w:val="491EA7F6"/>
    <w:rsid w:val="491FCFFC"/>
    <w:rsid w:val="4920B182"/>
    <w:rsid w:val="4920F780"/>
    <w:rsid w:val="4920FA42"/>
    <w:rsid w:val="4920FAE6"/>
    <w:rsid w:val="49211F06"/>
    <w:rsid w:val="4922DE73"/>
    <w:rsid w:val="4923A1FD"/>
    <w:rsid w:val="4925257F"/>
    <w:rsid w:val="49284BD5"/>
    <w:rsid w:val="492893C1"/>
    <w:rsid w:val="4929D8B6"/>
    <w:rsid w:val="492C0B03"/>
    <w:rsid w:val="492D2367"/>
    <w:rsid w:val="492D915D"/>
    <w:rsid w:val="492F53A1"/>
    <w:rsid w:val="492FB6DD"/>
    <w:rsid w:val="493186EA"/>
    <w:rsid w:val="49353DD8"/>
    <w:rsid w:val="4935C6F6"/>
    <w:rsid w:val="49399AF1"/>
    <w:rsid w:val="493CF2DF"/>
    <w:rsid w:val="49402A28"/>
    <w:rsid w:val="4941718C"/>
    <w:rsid w:val="49442687"/>
    <w:rsid w:val="4946544D"/>
    <w:rsid w:val="49470753"/>
    <w:rsid w:val="494B294C"/>
    <w:rsid w:val="494D7CC4"/>
    <w:rsid w:val="494E4C19"/>
    <w:rsid w:val="4952BB42"/>
    <w:rsid w:val="4956C914"/>
    <w:rsid w:val="4956E853"/>
    <w:rsid w:val="49587397"/>
    <w:rsid w:val="495B0C3C"/>
    <w:rsid w:val="495B8237"/>
    <w:rsid w:val="495C9E53"/>
    <w:rsid w:val="495FCC0B"/>
    <w:rsid w:val="4962ED74"/>
    <w:rsid w:val="496343F3"/>
    <w:rsid w:val="496409A6"/>
    <w:rsid w:val="496505BC"/>
    <w:rsid w:val="4965CD5C"/>
    <w:rsid w:val="4965D7D9"/>
    <w:rsid w:val="496611E1"/>
    <w:rsid w:val="496B1278"/>
    <w:rsid w:val="496B30FF"/>
    <w:rsid w:val="496EE7A8"/>
    <w:rsid w:val="496F3925"/>
    <w:rsid w:val="49727C7F"/>
    <w:rsid w:val="4976D186"/>
    <w:rsid w:val="49775B11"/>
    <w:rsid w:val="497774C0"/>
    <w:rsid w:val="49786F9B"/>
    <w:rsid w:val="49788B6D"/>
    <w:rsid w:val="497B176B"/>
    <w:rsid w:val="497C5883"/>
    <w:rsid w:val="497CD831"/>
    <w:rsid w:val="497D9972"/>
    <w:rsid w:val="497F860E"/>
    <w:rsid w:val="49836330"/>
    <w:rsid w:val="49846B88"/>
    <w:rsid w:val="49866AD5"/>
    <w:rsid w:val="498CC84F"/>
    <w:rsid w:val="498F2A34"/>
    <w:rsid w:val="49904865"/>
    <w:rsid w:val="4992C729"/>
    <w:rsid w:val="4993359E"/>
    <w:rsid w:val="49936D32"/>
    <w:rsid w:val="4993891D"/>
    <w:rsid w:val="4995C57D"/>
    <w:rsid w:val="499616C4"/>
    <w:rsid w:val="49981E8D"/>
    <w:rsid w:val="4999F30F"/>
    <w:rsid w:val="499D87C6"/>
    <w:rsid w:val="49A113D8"/>
    <w:rsid w:val="49A21C8F"/>
    <w:rsid w:val="49A30B00"/>
    <w:rsid w:val="49A4153A"/>
    <w:rsid w:val="49A7E8FB"/>
    <w:rsid w:val="49A8B6EA"/>
    <w:rsid w:val="49A9142C"/>
    <w:rsid w:val="49ABC08C"/>
    <w:rsid w:val="49ACB1D5"/>
    <w:rsid w:val="49ADED81"/>
    <w:rsid w:val="49AF9FB9"/>
    <w:rsid w:val="49B1668E"/>
    <w:rsid w:val="49B24465"/>
    <w:rsid w:val="49B2D3AD"/>
    <w:rsid w:val="49B31096"/>
    <w:rsid w:val="49B32442"/>
    <w:rsid w:val="49B44C08"/>
    <w:rsid w:val="49BBA5D2"/>
    <w:rsid w:val="49BCEE1C"/>
    <w:rsid w:val="49BE8DD4"/>
    <w:rsid w:val="49BEF641"/>
    <w:rsid w:val="49C37BF1"/>
    <w:rsid w:val="49C7684D"/>
    <w:rsid w:val="49CAEE75"/>
    <w:rsid w:val="49D36469"/>
    <w:rsid w:val="49D43670"/>
    <w:rsid w:val="49D464C3"/>
    <w:rsid w:val="49D46659"/>
    <w:rsid w:val="49D7A8BB"/>
    <w:rsid w:val="49DA176B"/>
    <w:rsid w:val="49DAE1EB"/>
    <w:rsid w:val="49DB74B5"/>
    <w:rsid w:val="49DBAE60"/>
    <w:rsid w:val="49DECC6F"/>
    <w:rsid w:val="49E015E8"/>
    <w:rsid w:val="49E3B4A8"/>
    <w:rsid w:val="49E6200A"/>
    <w:rsid w:val="49E7ACF5"/>
    <w:rsid w:val="49EBB8A0"/>
    <w:rsid w:val="49EF7DF6"/>
    <w:rsid w:val="49F1CF75"/>
    <w:rsid w:val="49F33F64"/>
    <w:rsid w:val="49F36D97"/>
    <w:rsid w:val="49F6CA62"/>
    <w:rsid w:val="49F8ABA5"/>
    <w:rsid w:val="49FC2751"/>
    <w:rsid w:val="49FCDCDE"/>
    <w:rsid w:val="4A02CCCB"/>
    <w:rsid w:val="4A060BBE"/>
    <w:rsid w:val="4A06EDE8"/>
    <w:rsid w:val="4A08B85C"/>
    <w:rsid w:val="4A0DB4EA"/>
    <w:rsid w:val="4A1073EF"/>
    <w:rsid w:val="4A109556"/>
    <w:rsid w:val="4A115825"/>
    <w:rsid w:val="4A13AD6E"/>
    <w:rsid w:val="4A16912F"/>
    <w:rsid w:val="4A1815D0"/>
    <w:rsid w:val="4A19E248"/>
    <w:rsid w:val="4A1EE26B"/>
    <w:rsid w:val="4A203308"/>
    <w:rsid w:val="4A24487D"/>
    <w:rsid w:val="4A2464D5"/>
    <w:rsid w:val="4A2A207B"/>
    <w:rsid w:val="4A2A9863"/>
    <w:rsid w:val="4A2ABD15"/>
    <w:rsid w:val="4A2AD150"/>
    <w:rsid w:val="4A2E0DB7"/>
    <w:rsid w:val="4A2F7CF5"/>
    <w:rsid w:val="4A31ADEA"/>
    <w:rsid w:val="4A32C285"/>
    <w:rsid w:val="4A376B94"/>
    <w:rsid w:val="4A37B7E5"/>
    <w:rsid w:val="4A400D67"/>
    <w:rsid w:val="4A40B5AA"/>
    <w:rsid w:val="4A40BD10"/>
    <w:rsid w:val="4A4118BD"/>
    <w:rsid w:val="4A41E635"/>
    <w:rsid w:val="4A4639A6"/>
    <w:rsid w:val="4A4ACC61"/>
    <w:rsid w:val="4A4B5DE3"/>
    <w:rsid w:val="4A4CEF42"/>
    <w:rsid w:val="4A4EDF96"/>
    <w:rsid w:val="4A505028"/>
    <w:rsid w:val="4A50FC49"/>
    <w:rsid w:val="4A514422"/>
    <w:rsid w:val="4A523846"/>
    <w:rsid w:val="4A562453"/>
    <w:rsid w:val="4A5A1CDD"/>
    <w:rsid w:val="4A5A75CE"/>
    <w:rsid w:val="4A5D6C76"/>
    <w:rsid w:val="4A600A94"/>
    <w:rsid w:val="4A6691C1"/>
    <w:rsid w:val="4A66D7D7"/>
    <w:rsid w:val="4A675197"/>
    <w:rsid w:val="4A69CC93"/>
    <w:rsid w:val="4A6B1B5A"/>
    <w:rsid w:val="4A6B598B"/>
    <w:rsid w:val="4A6CCDA0"/>
    <w:rsid w:val="4A6D3F43"/>
    <w:rsid w:val="4A6DE425"/>
    <w:rsid w:val="4A6DEBFA"/>
    <w:rsid w:val="4A712131"/>
    <w:rsid w:val="4A726A53"/>
    <w:rsid w:val="4A743B8C"/>
    <w:rsid w:val="4A75CC7B"/>
    <w:rsid w:val="4A76F4B9"/>
    <w:rsid w:val="4A770466"/>
    <w:rsid w:val="4A77CEDE"/>
    <w:rsid w:val="4A7A48EB"/>
    <w:rsid w:val="4A7C1FCD"/>
    <w:rsid w:val="4A7DABCE"/>
    <w:rsid w:val="4A7E38B5"/>
    <w:rsid w:val="4A822BB3"/>
    <w:rsid w:val="4A8274A8"/>
    <w:rsid w:val="4A8603A8"/>
    <w:rsid w:val="4A8743DC"/>
    <w:rsid w:val="4A87AFBC"/>
    <w:rsid w:val="4A87E588"/>
    <w:rsid w:val="4A89205C"/>
    <w:rsid w:val="4A8ADDB5"/>
    <w:rsid w:val="4A8AE4F1"/>
    <w:rsid w:val="4A8E5D5A"/>
    <w:rsid w:val="4A8E693B"/>
    <w:rsid w:val="4A914172"/>
    <w:rsid w:val="4A934615"/>
    <w:rsid w:val="4A941D42"/>
    <w:rsid w:val="4A946EC7"/>
    <w:rsid w:val="4A9A5CEA"/>
    <w:rsid w:val="4A9AD7DB"/>
    <w:rsid w:val="4A9AFEDB"/>
    <w:rsid w:val="4A9BF454"/>
    <w:rsid w:val="4A9C3AE7"/>
    <w:rsid w:val="4AA3006C"/>
    <w:rsid w:val="4AA5771E"/>
    <w:rsid w:val="4AA69F70"/>
    <w:rsid w:val="4AA73F63"/>
    <w:rsid w:val="4AA78355"/>
    <w:rsid w:val="4AA88D67"/>
    <w:rsid w:val="4AA960CC"/>
    <w:rsid w:val="4AAAB0AA"/>
    <w:rsid w:val="4AB0D89B"/>
    <w:rsid w:val="4AB8C4C7"/>
    <w:rsid w:val="4AB9F86F"/>
    <w:rsid w:val="4ABB912B"/>
    <w:rsid w:val="4ABE57F9"/>
    <w:rsid w:val="4ABE59CD"/>
    <w:rsid w:val="4AC1633A"/>
    <w:rsid w:val="4AC2BE04"/>
    <w:rsid w:val="4AC7E1D5"/>
    <w:rsid w:val="4AC7EA25"/>
    <w:rsid w:val="4AC92DBB"/>
    <w:rsid w:val="4AC94407"/>
    <w:rsid w:val="4ACDC94B"/>
    <w:rsid w:val="4ACF68D8"/>
    <w:rsid w:val="4ACFEBB6"/>
    <w:rsid w:val="4AD11AE2"/>
    <w:rsid w:val="4AD3B3D0"/>
    <w:rsid w:val="4AD669D3"/>
    <w:rsid w:val="4ADA0905"/>
    <w:rsid w:val="4ADC8719"/>
    <w:rsid w:val="4ADCFA8D"/>
    <w:rsid w:val="4ADF3AB3"/>
    <w:rsid w:val="4AE1C574"/>
    <w:rsid w:val="4AE46C70"/>
    <w:rsid w:val="4AE67C6B"/>
    <w:rsid w:val="4AE7B39F"/>
    <w:rsid w:val="4AE7C974"/>
    <w:rsid w:val="4AE903E7"/>
    <w:rsid w:val="4AE9DD3A"/>
    <w:rsid w:val="4AEAD4CE"/>
    <w:rsid w:val="4AEEFDC5"/>
    <w:rsid w:val="4AF1ADE2"/>
    <w:rsid w:val="4AF4009B"/>
    <w:rsid w:val="4AF43E1B"/>
    <w:rsid w:val="4AF4BFC7"/>
    <w:rsid w:val="4AF4D312"/>
    <w:rsid w:val="4AF4D34B"/>
    <w:rsid w:val="4AF6EB30"/>
    <w:rsid w:val="4AF9B7C0"/>
    <w:rsid w:val="4AFB6E7E"/>
    <w:rsid w:val="4AFDD738"/>
    <w:rsid w:val="4AFE131A"/>
    <w:rsid w:val="4AFF1CB0"/>
    <w:rsid w:val="4AFF4EF4"/>
    <w:rsid w:val="4B01BC8B"/>
    <w:rsid w:val="4B01D0F4"/>
    <w:rsid w:val="4B02750E"/>
    <w:rsid w:val="4B033BDC"/>
    <w:rsid w:val="4B03786E"/>
    <w:rsid w:val="4B09E0F9"/>
    <w:rsid w:val="4B0B5C7E"/>
    <w:rsid w:val="4B0C2300"/>
    <w:rsid w:val="4B0D6C71"/>
    <w:rsid w:val="4B0E7BE7"/>
    <w:rsid w:val="4B13300E"/>
    <w:rsid w:val="4B14DF73"/>
    <w:rsid w:val="4B17EC34"/>
    <w:rsid w:val="4B184E0D"/>
    <w:rsid w:val="4B1973A9"/>
    <w:rsid w:val="4B1B4706"/>
    <w:rsid w:val="4B1D55C0"/>
    <w:rsid w:val="4B1F26FC"/>
    <w:rsid w:val="4B2025FC"/>
    <w:rsid w:val="4B202D72"/>
    <w:rsid w:val="4B210C6F"/>
    <w:rsid w:val="4B23BD90"/>
    <w:rsid w:val="4B241DE6"/>
    <w:rsid w:val="4B24A2F8"/>
    <w:rsid w:val="4B24D2FB"/>
    <w:rsid w:val="4B27EF6F"/>
    <w:rsid w:val="4B2C2C4D"/>
    <w:rsid w:val="4B2C6059"/>
    <w:rsid w:val="4B2E4E08"/>
    <w:rsid w:val="4B2EE64B"/>
    <w:rsid w:val="4B314837"/>
    <w:rsid w:val="4B343DF1"/>
    <w:rsid w:val="4B35A493"/>
    <w:rsid w:val="4B39F84A"/>
    <w:rsid w:val="4B3A0E4B"/>
    <w:rsid w:val="4B3A2593"/>
    <w:rsid w:val="4B3A5A2D"/>
    <w:rsid w:val="4B3AF90E"/>
    <w:rsid w:val="4B3B4620"/>
    <w:rsid w:val="4B3DF4A0"/>
    <w:rsid w:val="4B413854"/>
    <w:rsid w:val="4B41CD26"/>
    <w:rsid w:val="4B4264E4"/>
    <w:rsid w:val="4B432971"/>
    <w:rsid w:val="4B46EB83"/>
    <w:rsid w:val="4B479E06"/>
    <w:rsid w:val="4B4D5CBA"/>
    <w:rsid w:val="4B4FC174"/>
    <w:rsid w:val="4B55A807"/>
    <w:rsid w:val="4B561848"/>
    <w:rsid w:val="4B57F438"/>
    <w:rsid w:val="4B583FA1"/>
    <w:rsid w:val="4B58C563"/>
    <w:rsid w:val="4B58D193"/>
    <w:rsid w:val="4B59E86F"/>
    <w:rsid w:val="4B5A10FB"/>
    <w:rsid w:val="4B5A6D36"/>
    <w:rsid w:val="4B5C80C4"/>
    <w:rsid w:val="4B5D1D6A"/>
    <w:rsid w:val="4B5D2A26"/>
    <w:rsid w:val="4B5EF129"/>
    <w:rsid w:val="4B61139F"/>
    <w:rsid w:val="4B65F835"/>
    <w:rsid w:val="4B66C289"/>
    <w:rsid w:val="4B69FF16"/>
    <w:rsid w:val="4B6C87A4"/>
    <w:rsid w:val="4B6DD9BB"/>
    <w:rsid w:val="4B6E71D7"/>
    <w:rsid w:val="4B6F4638"/>
    <w:rsid w:val="4B701873"/>
    <w:rsid w:val="4B70F991"/>
    <w:rsid w:val="4B710AD6"/>
    <w:rsid w:val="4B72DF26"/>
    <w:rsid w:val="4B739E94"/>
    <w:rsid w:val="4B743F10"/>
    <w:rsid w:val="4B76DFCC"/>
    <w:rsid w:val="4B77033D"/>
    <w:rsid w:val="4B7A8FA6"/>
    <w:rsid w:val="4B7CADC2"/>
    <w:rsid w:val="4B7E886C"/>
    <w:rsid w:val="4B7E8D9C"/>
    <w:rsid w:val="4B83181E"/>
    <w:rsid w:val="4B849559"/>
    <w:rsid w:val="4B857A9F"/>
    <w:rsid w:val="4B8A5AEE"/>
    <w:rsid w:val="4B8B186C"/>
    <w:rsid w:val="4B8B5E6F"/>
    <w:rsid w:val="4B91C18D"/>
    <w:rsid w:val="4B927E62"/>
    <w:rsid w:val="4B92FF3F"/>
    <w:rsid w:val="4B93065E"/>
    <w:rsid w:val="4B931913"/>
    <w:rsid w:val="4B94CFD9"/>
    <w:rsid w:val="4B964767"/>
    <w:rsid w:val="4B9738D5"/>
    <w:rsid w:val="4B9B85E2"/>
    <w:rsid w:val="4B9E8862"/>
    <w:rsid w:val="4B9F646F"/>
    <w:rsid w:val="4BA15B7B"/>
    <w:rsid w:val="4BA2EBEF"/>
    <w:rsid w:val="4BA440B3"/>
    <w:rsid w:val="4BA49A8B"/>
    <w:rsid w:val="4BA89D37"/>
    <w:rsid w:val="4BAD8CE4"/>
    <w:rsid w:val="4BAF98DC"/>
    <w:rsid w:val="4BB023A1"/>
    <w:rsid w:val="4BB449A1"/>
    <w:rsid w:val="4BB8C143"/>
    <w:rsid w:val="4BBB1210"/>
    <w:rsid w:val="4BBBBC03"/>
    <w:rsid w:val="4BBDCC3E"/>
    <w:rsid w:val="4BBEFEFE"/>
    <w:rsid w:val="4BBF48FF"/>
    <w:rsid w:val="4BBF741B"/>
    <w:rsid w:val="4BC53D0D"/>
    <w:rsid w:val="4BC7A021"/>
    <w:rsid w:val="4BCC0702"/>
    <w:rsid w:val="4BCCC2AC"/>
    <w:rsid w:val="4BCCD00D"/>
    <w:rsid w:val="4BCDD1ED"/>
    <w:rsid w:val="4BCF81B6"/>
    <w:rsid w:val="4BCFC374"/>
    <w:rsid w:val="4BD0F69E"/>
    <w:rsid w:val="4BD2FDBA"/>
    <w:rsid w:val="4BD366DC"/>
    <w:rsid w:val="4BD39BAE"/>
    <w:rsid w:val="4BD5C93C"/>
    <w:rsid w:val="4BD8F48C"/>
    <w:rsid w:val="4BDA484B"/>
    <w:rsid w:val="4BDE8828"/>
    <w:rsid w:val="4BDFD682"/>
    <w:rsid w:val="4BE33830"/>
    <w:rsid w:val="4BE4DFC6"/>
    <w:rsid w:val="4BE5BF30"/>
    <w:rsid w:val="4BE5F2D4"/>
    <w:rsid w:val="4BE70FB1"/>
    <w:rsid w:val="4BE82DD0"/>
    <w:rsid w:val="4BE83634"/>
    <w:rsid w:val="4BE998EB"/>
    <w:rsid w:val="4BE99B7E"/>
    <w:rsid w:val="4BEB7B3A"/>
    <w:rsid w:val="4BED4920"/>
    <w:rsid w:val="4BEEB393"/>
    <w:rsid w:val="4BEFDAD8"/>
    <w:rsid w:val="4BF169B6"/>
    <w:rsid w:val="4BF17E1A"/>
    <w:rsid w:val="4BF42281"/>
    <w:rsid w:val="4BF65DEA"/>
    <w:rsid w:val="4BF71424"/>
    <w:rsid w:val="4BF84002"/>
    <w:rsid w:val="4BFA0C5D"/>
    <w:rsid w:val="4BFD8E25"/>
    <w:rsid w:val="4BFED4E2"/>
    <w:rsid w:val="4BFEECF2"/>
    <w:rsid w:val="4C00ABA8"/>
    <w:rsid w:val="4C031CEF"/>
    <w:rsid w:val="4C048907"/>
    <w:rsid w:val="4C07B30B"/>
    <w:rsid w:val="4C08D989"/>
    <w:rsid w:val="4C09392A"/>
    <w:rsid w:val="4C0CB7CE"/>
    <w:rsid w:val="4C0F3ED5"/>
    <w:rsid w:val="4C0FB8C8"/>
    <w:rsid w:val="4C11975C"/>
    <w:rsid w:val="4C144832"/>
    <w:rsid w:val="4C157F02"/>
    <w:rsid w:val="4C1725F3"/>
    <w:rsid w:val="4C17FFFD"/>
    <w:rsid w:val="4C1800D1"/>
    <w:rsid w:val="4C1976FE"/>
    <w:rsid w:val="4C19DF0F"/>
    <w:rsid w:val="4C1AEF41"/>
    <w:rsid w:val="4C1B1AB0"/>
    <w:rsid w:val="4C1C5C30"/>
    <w:rsid w:val="4C1D0406"/>
    <w:rsid w:val="4C1DFAA7"/>
    <w:rsid w:val="4C1F7696"/>
    <w:rsid w:val="4C2085FD"/>
    <w:rsid w:val="4C20DA8E"/>
    <w:rsid w:val="4C219EBB"/>
    <w:rsid w:val="4C224B3E"/>
    <w:rsid w:val="4C2376FF"/>
    <w:rsid w:val="4C258BBE"/>
    <w:rsid w:val="4C2733BA"/>
    <w:rsid w:val="4C284CF4"/>
    <w:rsid w:val="4C291AEC"/>
    <w:rsid w:val="4C2BD6A8"/>
    <w:rsid w:val="4C2D5A59"/>
    <w:rsid w:val="4C2ED67C"/>
    <w:rsid w:val="4C2F65DC"/>
    <w:rsid w:val="4C3960EB"/>
    <w:rsid w:val="4C3BB6CA"/>
    <w:rsid w:val="4C3ED010"/>
    <w:rsid w:val="4C409962"/>
    <w:rsid w:val="4C412A1A"/>
    <w:rsid w:val="4C4288EE"/>
    <w:rsid w:val="4C44823E"/>
    <w:rsid w:val="4C45E7C7"/>
    <w:rsid w:val="4C47D8F0"/>
    <w:rsid w:val="4C48E437"/>
    <w:rsid w:val="4C497C0F"/>
    <w:rsid w:val="4C4A6F3F"/>
    <w:rsid w:val="4C4B565E"/>
    <w:rsid w:val="4C4C7F90"/>
    <w:rsid w:val="4C4D9B57"/>
    <w:rsid w:val="4C4DC4A7"/>
    <w:rsid w:val="4C4ED2B3"/>
    <w:rsid w:val="4C4ED57E"/>
    <w:rsid w:val="4C4F375C"/>
    <w:rsid w:val="4C50E9BD"/>
    <w:rsid w:val="4C518A36"/>
    <w:rsid w:val="4C52AF46"/>
    <w:rsid w:val="4C52DB48"/>
    <w:rsid w:val="4C52DF85"/>
    <w:rsid w:val="4C54EC7A"/>
    <w:rsid w:val="4C5831DF"/>
    <w:rsid w:val="4C59411A"/>
    <w:rsid w:val="4C599A61"/>
    <w:rsid w:val="4C59CE40"/>
    <w:rsid w:val="4C5A91BD"/>
    <w:rsid w:val="4C5FB47D"/>
    <w:rsid w:val="4C61E610"/>
    <w:rsid w:val="4C64EB4A"/>
    <w:rsid w:val="4C65D59B"/>
    <w:rsid w:val="4C6748CC"/>
    <w:rsid w:val="4C690508"/>
    <w:rsid w:val="4C693E7B"/>
    <w:rsid w:val="4C6D01D9"/>
    <w:rsid w:val="4C6F0213"/>
    <w:rsid w:val="4C705F43"/>
    <w:rsid w:val="4C7AFC5A"/>
    <w:rsid w:val="4C7BC686"/>
    <w:rsid w:val="4C7D0B8D"/>
    <w:rsid w:val="4C7DC50B"/>
    <w:rsid w:val="4C7E459C"/>
    <w:rsid w:val="4C80FCA8"/>
    <w:rsid w:val="4C81A7CA"/>
    <w:rsid w:val="4C84D75D"/>
    <w:rsid w:val="4C872B46"/>
    <w:rsid w:val="4C88BF5B"/>
    <w:rsid w:val="4C8BB62A"/>
    <w:rsid w:val="4C8C17AE"/>
    <w:rsid w:val="4C8E87CC"/>
    <w:rsid w:val="4C906CDA"/>
    <w:rsid w:val="4C93143D"/>
    <w:rsid w:val="4C969CF0"/>
    <w:rsid w:val="4C98BB19"/>
    <w:rsid w:val="4C9902A5"/>
    <w:rsid w:val="4C991C25"/>
    <w:rsid w:val="4C9C9594"/>
    <w:rsid w:val="4C9CAB75"/>
    <w:rsid w:val="4C9CD755"/>
    <w:rsid w:val="4C9DC98F"/>
    <w:rsid w:val="4C9DEB3D"/>
    <w:rsid w:val="4CA2AC06"/>
    <w:rsid w:val="4CA2BA91"/>
    <w:rsid w:val="4CA3D03F"/>
    <w:rsid w:val="4CA4EE4A"/>
    <w:rsid w:val="4CA8FD70"/>
    <w:rsid w:val="4CAC0E73"/>
    <w:rsid w:val="4CAC7B48"/>
    <w:rsid w:val="4CB25753"/>
    <w:rsid w:val="4CB3E05E"/>
    <w:rsid w:val="4CB4E74A"/>
    <w:rsid w:val="4CB57EA8"/>
    <w:rsid w:val="4CB5E7E7"/>
    <w:rsid w:val="4CB63122"/>
    <w:rsid w:val="4CB6EBB6"/>
    <w:rsid w:val="4CB748D3"/>
    <w:rsid w:val="4CB962D5"/>
    <w:rsid w:val="4CBA0C84"/>
    <w:rsid w:val="4CBBCB6D"/>
    <w:rsid w:val="4CBEAAB7"/>
    <w:rsid w:val="4CBF0B94"/>
    <w:rsid w:val="4CC0306C"/>
    <w:rsid w:val="4CC05689"/>
    <w:rsid w:val="4CC057F0"/>
    <w:rsid w:val="4CC1A1D6"/>
    <w:rsid w:val="4CC5EE99"/>
    <w:rsid w:val="4CC60FB3"/>
    <w:rsid w:val="4CC70FE4"/>
    <w:rsid w:val="4CC977ED"/>
    <w:rsid w:val="4CC9A39F"/>
    <w:rsid w:val="4CCA3364"/>
    <w:rsid w:val="4CCB0B8B"/>
    <w:rsid w:val="4CCC83E1"/>
    <w:rsid w:val="4CCCE688"/>
    <w:rsid w:val="4CD20E45"/>
    <w:rsid w:val="4CD34BBE"/>
    <w:rsid w:val="4CD391EF"/>
    <w:rsid w:val="4CD3F2AA"/>
    <w:rsid w:val="4CD3FE6C"/>
    <w:rsid w:val="4CD593D7"/>
    <w:rsid w:val="4CD6AEB8"/>
    <w:rsid w:val="4CDA130E"/>
    <w:rsid w:val="4CDCE630"/>
    <w:rsid w:val="4CDCEF54"/>
    <w:rsid w:val="4CE07ED8"/>
    <w:rsid w:val="4CE438C5"/>
    <w:rsid w:val="4CE61B55"/>
    <w:rsid w:val="4CE8E421"/>
    <w:rsid w:val="4CEB4715"/>
    <w:rsid w:val="4CECB2A9"/>
    <w:rsid w:val="4CECC543"/>
    <w:rsid w:val="4CEE0E17"/>
    <w:rsid w:val="4CEE2FDC"/>
    <w:rsid w:val="4CEEEDDD"/>
    <w:rsid w:val="4CF07FA8"/>
    <w:rsid w:val="4CF16092"/>
    <w:rsid w:val="4CF2CE93"/>
    <w:rsid w:val="4CF453B8"/>
    <w:rsid w:val="4CF5D7C8"/>
    <w:rsid w:val="4CF7A7A1"/>
    <w:rsid w:val="4CF7D7B0"/>
    <w:rsid w:val="4CFE4EC5"/>
    <w:rsid w:val="4CFF9A9E"/>
    <w:rsid w:val="4D009298"/>
    <w:rsid w:val="4D00F36D"/>
    <w:rsid w:val="4D014CB9"/>
    <w:rsid w:val="4D08CD08"/>
    <w:rsid w:val="4D095307"/>
    <w:rsid w:val="4D0A00B8"/>
    <w:rsid w:val="4D0B9725"/>
    <w:rsid w:val="4D0BDD37"/>
    <w:rsid w:val="4D0C4725"/>
    <w:rsid w:val="4D0CD13F"/>
    <w:rsid w:val="4D0D04B3"/>
    <w:rsid w:val="4D0E3007"/>
    <w:rsid w:val="4D123C6D"/>
    <w:rsid w:val="4D1424A1"/>
    <w:rsid w:val="4D146BE5"/>
    <w:rsid w:val="4D14EAF8"/>
    <w:rsid w:val="4D15BE3E"/>
    <w:rsid w:val="4D15D994"/>
    <w:rsid w:val="4D16257C"/>
    <w:rsid w:val="4D186C61"/>
    <w:rsid w:val="4D1981ED"/>
    <w:rsid w:val="4D1BEEBD"/>
    <w:rsid w:val="4D1DAE73"/>
    <w:rsid w:val="4D1E993D"/>
    <w:rsid w:val="4D1ED36C"/>
    <w:rsid w:val="4D1F3F91"/>
    <w:rsid w:val="4D231944"/>
    <w:rsid w:val="4D23CE0A"/>
    <w:rsid w:val="4D2559DD"/>
    <w:rsid w:val="4D25BC30"/>
    <w:rsid w:val="4D25CC52"/>
    <w:rsid w:val="4D26869C"/>
    <w:rsid w:val="4D26F4CF"/>
    <w:rsid w:val="4D29E033"/>
    <w:rsid w:val="4D2A4A45"/>
    <w:rsid w:val="4D2BA762"/>
    <w:rsid w:val="4D2C414D"/>
    <w:rsid w:val="4D2D860B"/>
    <w:rsid w:val="4D2DD39B"/>
    <w:rsid w:val="4D2F360E"/>
    <w:rsid w:val="4D3004A0"/>
    <w:rsid w:val="4D31223E"/>
    <w:rsid w:val="4D31588B"/>
    <w:rsid w:val="4D322E47"/>
    <w:rsid w:val="4D3464D9"/>
    <w:rsid w:val="4D37384B"/>
    <w:rsid w:val="4D397092"/>
    <w:rsid w:val="4D39D243"/>
    <w:rsid w:val="4D3D206A"/>
    <w:rsid w:val="4D3D5853"/>
    <w:rsid w:val="4D415AFD"/>
    <w:rsid w:val="4D4218AE"/>
    <w:rsid w:val="4D42B633"/>
    <w:rsid w:val="4D445589"/>
    <w:rsid w:val="4D446291"/>
    <w:rsid w:val="4D44C3B2"/>
    <w:rsid w:val="4D453085"/>
    <w:rsid w:val="4D453354"/>
    <w:rsid w:val="4D462C87"/>
    <w:rsid w:val="4D471561"/>
    <w:rsid w:val="4D4A2CB8"/>
    <w:rsid w:val="4D4A2F37"/>
    <w:rsid w:val="4D4CF71B"/>
    <w:rsid w:val="4D5669C5"/>
    <w:rsid w:val="4D5718C5"/>
    <w:rsid w:val="4D5B9B0C"/>
    <w:rsid w:val="4D5E57B3"/>
    <w:rsid w:val="4D607EC0"/>
    <w:rsid w:val="4D647059"/>
    <w:rsid w:val="4D65E9CB"/>
    <w:rsid w:val="4D66236A"/>
    <w:rsid w:val="4D66D386"/>
    <w:rsid w:val="4D687969"/>
    <w:rsid w:val="4D6BE791"/>
    <w:rsid w:val="4D6CC998"/>
    <w:rsid w:val="4D6DBCA0"/>
    <w:rsid w:val="4D6E40BA"/>
    <w:rsid w:val="4D6F1456"/>
    <w:rsid w:val="4D6FF3B5"/>
    <w:rsid w:val="4D6FF745"/>
    <w:rsid w:val="4D724B4E"/>
    <w:rsid w:val="4D73137B"/>
    <w:rsid w:val="4D74A885"/>
    <w:rsid w:val="4D74D6A4"/>
    <w:rsid w:val="4D75F1AD"/>
    <w:rsid w:val="4D761C02"/>
    <w:rsid w:val="4D79121A"/>
    <w:rsid w:val="4D7A5990"/>
    <w:rsid w:val="4D7B1B62"/>
    <w:rsid w:val="4D7B9E54"/>
    <w:rsid w:val="4D7CC2BF"/>
    <w:rsid w:val="4D8060FA"/>
    <w:rsid w:val="4D807B79"/>
    <w:rsid w:val="4D8184D5"/>
    <w:rsid w:val="4D82EDEB"/>
    <w:rsid w:val="4D86622C"/>
    <w:rsid w:val="4D8821BC"/>
    <w:rsid w:val="4D88948C"/>
    <w:rsid w:val="4D8B0975"/>
    <w:rsid w:val="4D927E33"/>
    <w:rsid w:val="4D9359A0"/>
    <w:rsid w:val="4D93851B"/>
    <w:rsid w:val="4D95DAE2"/>
    <w:rsid w:val="4D96C6C4"/>
    <w:rsid w:val="4D995973"/>
    <w:rsid w:val="4D999296"/>
    <w:rsid w:val="4D9BB751"/>
    <w:rsid w:val="4DA11BAE"/>
    <w:rsid w:val="4DA1337E"/>
    <w:rsid w:val="4DA55C55"/>
    <w:rsid w:val="4DA8F67B"/>
    <w:rsid w:val="4DAA2BBA"/>
    <w:rsid w:val="4DAA96AF"/>
    <w:rsid w:val="4DAB8EB2"/>
    <w:rsid w:val="4DABA1E7"/>
    <w:rsid w:val="4DAE1AC1"/>
    <w:rsid w:val="4DAEDB53"/>
    <w:rsid w:val="4DB00F5E"/>
    <w:rsid w:val="4DB21D17"/>
    <w:rsid w:val="4DB21D46"/>
    <w:rsid w:val="4DB25A05"/>
    <w:rsid w:val="4DB515B3"/>
    <w:rsid w:val="4DB6F9BF"/>
    <w:rsid w:val="4DB9FFBB"/>
    <w:rsid w:val="4DBB7543"/>
    <w:rsid w:val="4DBBA7F5"/>
    <w:rsid w:val="4DBC6367"/>
    <w:rsid w:val="4DBD4C4C"/>
    <w:rsid w:val="4DBE47A4"/>
    <w:rsid w:val="4DC203E9"/>
    <w:rsid w:val="4DC2BA18"/>
    <w:rsid w:val="4DC30425"/>
    <w:rsid w:val="4DC5D96D"/>
    <w:rsid w:val="4DC86076"/>
    <w:rsid w:val="4DCAE446"/>
    <w:rsid w:val="4DCE19F8"/>
    <w:rsid w:val="4DD0ED10"/>
    <w:rsid w:val="4DD2015D"/>
    <w:rsid w:val="4DD294ED"/>
    <w:rsid w:val="4DD3C595"/>
    <w:rsid w:val="4DD5A31F"/>
    <w:rsid w:val="4DDBC0DD"/>
    <w:rsid w:val="4DDCC595"/>
    <w:rsid w:val="4DDCCC5F"/>
    <w:rsid w:val="4DE78F06"/>
    <w:rsid w:val="4DE8CFD7"/>
    <w:rsid w:val="4DE8D82B"/>
    <w:rsid w:val="4DE91053"/>
    <w:rsid w:val="4DEAA620"/>
    <w:rsid w:val="4DEBE75D"/>
    <w:rsid w:val="4DEED05A"/>
    <w:rsid w:val="4DF140B2"/>
    <w:rsid w:val="4DF16360"/>
    <w:rsid w:val="4DF4DDA9"/>
    <w:rsid w:val="4DF53EAF"/>
    <w:rsid w:val="4DF5841B"/>
    <w:rsid w:val="4DF5EFBC"/>
    <w:rsid w:val="4DF85D56"/>
    <w:rsid w:val="4DFC6C76"/>
    <w:rsid w:val="4DFFD64B"/>
    <w:rsid w:val="4E01C0D3"/>
    <w:rsid w:val="4E042044"/>
    <w:rsid w:val="4E04CC51"/>
    <w:rsid w:val="4E0574E4"/>
    <w:rsid w:val="4E07F24F"/>
    <w:rsid w:val="4E08A582"/>
    <w:rsid w:val="4E08EAD2"/>
    <w:rsid w:val="4E091ADA"/>
    <w:rsid w:val="4E09F260"/>
    <w:rsid w:val="4E0A61EE"/>
    <w:rsid w:val="4E0D5CF9"/>
    <w:rsid w:val="4E0EB4C6"/>
    <w:rsid w:val="4E0FCC9A"/>
    <w:rsid w:val="4E12898A"/>
    <w:rsid w:val="4E12AF9E"/>
    <w:rsid w:val="4E1336E3"/>
    <w:rsid w:val="4E134C4C"/>
    <w:rsid w:val="4E141E4F"/>
    <w:rsid w:val="4E146CEF"/>
    <w:rsid w:val="4E1591D4"/>
    <w:rsid w:val="4E1B249C"/>
    <w:rsid w:val="4E1FC1E4"/>
    <w:rsid w:val="4E204D5C"/>
    <w:rsid w:val="4E237923"/>
    <w:rsid w:val="4E2480D6"/>
    <w:rsid w:val="4E278B90"/>
    <w:rsid w:val="4E27C4E0"/>
    <w:rsid w:val="4E2861F5"/>
    <w:rsid w:val="4E2B00BE"/>
    <w:rsid w:val="4E2CA0D4"/>
    <w:rsid w:val="4E2EA22F"/>
    <w:rsid w:val="4E2F8545"/>
    <w:rsid w:val="4E310E12"/>
    <w:rsid w:val="4E33218C"/>
    <w:rsid w:val="4E338ECB"/>
    <w:rsid w:val="4E346AAD"/>
    <w:rsid w:val="4E35DB2B"/>
    <w:rsid w:val="4E36AA82"/>
    <w:rsid w:val="4E37B024"/>
    <w:rsid w:val="4E3AC29F"/>
    <w:rsid w:val="4E3BF750"/>
    <w:rsid w:val="4E3EB3E0"/>
    <w:rsid w:val="4E4060BD"/>
    <w:rsid w:val="4E42C6AF"/>
    <w:rsid w:val="4E44879F"/>
    <w:rsid w:val="4E45F462"/>
    <w:rsid w:val="4E476236"/>
    <w:rsid w:val="4E488219"/>
    <w:rsid w:val="4E498EC7"/>
    <w:rsid w:val="4E4A7348"/>
    <w:rsid w:val="4E4BFB34"/>
    <w:rsid w:val="4E4C1D2F"/>
    <w:rsid w:val="4E4C390F"/>
    <w:rsid w:val="4E4C546C"/>
    <w:rsid w:val="4E4E6ABE"/>
    <w:rsid w:val="4E4F1930"/>
    <w:rsid w:val="4E504686"/>
    <w:rsid w:val="4E50503F"/>
    <w:rsid w:val="4E509862"/>
    <w:rsid w:val="4E50A9B5"/>
    <w:rsid w:val="4E52D09F"/>
    <w:rsid w:val="4E530E0A"/>
    <w:rsid w:val="4E5647DB"/>
    <w:rsid w:val="4E573B5A"/>
    <w:rsid w:val="4E599390"/>
    <w:rsid w:val="4E5C3B90"/>
    <w:rsid w:val="4E5CFB9C"/>
    <w:rsid w:val="4E5E2FA1"/>
    <w:rsid w:val="4E5F098A"/>
    <w:rsid w:val="4E60F439"/>
    <w:rsid w:val="4E620291"/>
    <w:rsid w:val="4E62C07B"/>
    <w:rsid w:val="4E636E7D"/>
    <w:rsid w:val="4E64E0F5"/>
    <w:rsid w:val="4E66C808"/>
    <w:rsid w:val="4E66E7A2"/>
    <w:rsid w:val="4E6A1D26"/>
    <w:rsid w:val="4E6B627A"/>
    <w:rsid w:val="4E6C0FF2"/>
    <w:rsid w:val="4E6C121E"/>
    <w:rsid w:val="4E6D49EA"/>
    <w:rsid w:val="4E6F9644"/>
    <w:rsid w:val="4E736A43"/>
    <w:rsid w:val="4E74E456"/>
    <w:rsid w:val="4E7712A9"/>
    <w:rsid w:val="4E778429"/>
    <w:rsid w:val="4E78431E"/>
    <w:rsid w:val="4E792EC6"/>
    <w:rsid w:val="4E7979E5"/>
    <w:rsid w:val="4E7BF837"/>
    <w:rsid w:val="4E7C24FF"/>
    <w:rsid w:val="4E7E9B48"/>
    <w:rsid w:val="4E7ECF21"/>
    <w:rsid w:val="4E7F34E3"/>
    <w:rsid w:val="4E7FA082"/>
    <w:rsid w:val="4E81AF1D"/>
    <w:rsid w:val="4E828C2A"/>
    <w:rsid w:val="4E84DD47"/>
    <w:rsid w:val="4E8661FC"/>
    <w:rsid w:val="4E86C855"/>
    <w:rsid w:val="4E86F0B5"/>
    <w:rsid w:val="4E892FA3"/>
    <w:rsid w:val="4E8BF2C5"/>
    <w:rsid w:val="4E8F1FC4"/>
    <w:rsid w:val="4E931E9B"/>
    <w:rsid w:val="4E959B6D"/>
    <w:rsid w:val="4E95BEAF"/>
    <w:rsid w:val="4E96CBD1"/>
    <w:rsid w:val="4E97A06F"/>
    <w:rsid w:val="4E9835F5"/>
    <w:rsid w:val="4E98CA71"/>
    <w:rsid w:val="4E9E04E8"/>
    <w:rsid w:val="4EA13300"/>
    <w:rsid w:val="4EA18101"/>
    <w:rsid w:val="4EA1F622"/>
    <w:rsid w:val="4EA2B40B"/>
    <w:rsid w:val="4EA4BC1A"/>
    <w:rsid w:val="4EA5993C"/>
    <w:rsid w:val="4EA63575"/>
    <w:rsid w:val="4EA97EC5"/>
    <w:rsid w:val="4EA9F061"/>
    <w:rsid w:val="4EAA376F"/>
    <w:rsid w:val="4EABDEE1"/>
    <w:rsid w:val="4EACC6BF"/>
    <w:rsid w:val="4EAD5F4D"/>
    <w:rsid w:val="4EAED158"/>
    <w:rsid w:val="4EAF4081"/>
    <w:rsid w:val="4EB3EEC0"/>
    <w:rsid w:val="4EB654C1"/>
    <w:rsid w:val="4EB68FA5"/>
    <w:rsid w:val="4EB9F9AC"/>
    <w:rsid w:val="4EBCC909"/>
    <w:rsid w:val="4EBF2007"/>
    <w:rsid w:val="4EC133E6"/>
    <w:rsid w:val="4EC14070"/>
    <w:rsid w:val="4EC20112"/>
    <w:rsid w:val="4EC55DFF"/>
    <w:rsid w:val="4EC577F8"/>
    <w:rsid w:val="4EC7FA2C"/>
    <w:rsid w:val="4EC93900"/>
    <w:rsid w:val="4EC9CA6A"/>
    <w:rsid w:val="4ECA4943"/>
    <w:rsid w:val="4ECBC5A5"/>
    <w:rsid w:val="4ECD6EB5"/>
    <w:rsid w:val="4ECEF060"/>
    <w:rsid w:val="4ED1CEF5"/>
    <w:rsid w:val="4ED1D3F1"/>
    <w:rsid w:val="4ED2DEB4"/>
    <w:rsid w:val="4ED3AE5B"/>
    <w:rsid w:val="4ED3F51A"/>
    <w:rsid w:val="4ED5974E"/>
    <w:rsid w:val="4ED6A2AD"/>
    <w:rsid w:val="4ED78F7E"/>
    <w:rsid w:val="4ED9C0F5"/>
    <w:rsid w:val="4EDA9024"/>
    <w:rsid w:val="4EDBF0F3"/>
    <w:rsid w:val="4EDD68F5"/>
    <w:rsid w:val="4EDFA202"/>
    <w:rsid w:val="4EE0BD8E"/>
    <w:rsid w:val="4EE1B97C"/>
    <w:rsid w:val="4EE44C9C"/>
    <w:rsid w:val="4EE5AE9D"/>
    <w:rsid w:val="4EE5B7CF"/>
    <w:rsid w:val="4EE6B861"/>
    <w:rsid w:val="4EE721E4"/>
    <w:rsid w:val="4EEA7C78"/>
    <w:rsid w:val="4EEBB54F"/>
    <w:rsid w:val="4EF63B67"/>
    <w:rsid w:val="4EF6AB14"/>
    <w:rsid w:val="4EF77FB6"/>
    <w:rsid w:val="4EF827D8"/>
    <w:rsid w:val="4EF935EE"/>
    <w:rsid w:val="4EFC720D"/>
    <w:rsid w:val="4EFD7C2B"/>
    <w:rsid w:val="4EFEDD37"/>
    <w:rsid w:val="4F01C306"/>
    <w:rsid w:val="4F02636D"/>
    <w:rsid w:val="4F034FC4"/>
    <w:rsid w:val="4F06BB5B"/>
    <w:rsid w:val="4F06FAC0"/>
    <w:rsid w:val="4F08616C"/>
    <w:rsid w:val="4F0A35B1"/>
    <w:rsid w:val="4F0C285D"/>
    <w:rsid w:val="4F0CA432"/>
    <w:rsid w:val="4F0D3D89"/>
    <w:rsid w:val="4F0E0E13"/>
    <w:rsid w:val="4F12E5FF"/>
    <w:rsid w:val="4F148B96"/>
    <w:rsid w:val="4F18E9B6"/>
    <w:rsid w:val="4F1B5B75"/>
    <w:rsid w:val="4F1BBF60"/>
    <w:rsid w:val="4F1F1A99"/>
    <w:rsid w:val="4F1FB549"/>
    <w:rsid w:val="4F21EFC6"/>
    <w:rsid w:val="4F23A2E2"/>
    <w:rsid w:val="4F23A899"/>
    <w:rsid w:val="4F250AB4"/>
    <w:rsid w:val="4F26519D"/>
    <w:rsid w:val="4F28794A"/>
    <w:rsid w:val="4F2A0B83"/>
    <w:rsid w:val="4F2A4A27"/>
    <w:rsid w:val="4F2A73CB"/>
    <w:rsid w:val="4F2A80AC"/>
    <w:rsid w:val="4F2BB4FA"/>
    <w:rsid w:val="4F2BBC39"/>
    <w:rsid w:val="4F2F3E63"/>
    <w:rsid w:val="4F32D432"/>
    <w:rsid w:val="4F33D7EF"/>
    <w:rsid w:val="4F33E76F"/>
    <w:rsid w:val="4F3619D7"/>
    <w:rsid w:val="4F365B67"/>
    <w:rsid w:val="4F37237C"/>
    <w:rsid w:val="4F3A2543"/>
    <w:rsid w:val="4F3E541A"/>
    <w:rsid w:val="4F3FEDE6"/>
    <w:rsid w:val="4F40DED2"/>
    <w:rsid w:val="4F41BAEF"/>
    <w:rsid w:val="4F41F928"/>
    <w:rsid w:val="4F435B49"/>
    <w:rsid w:val="4F4523B9"/>
    <w:rsid w:val="4F45CEC0"/>
    <w:rsid w:val="4F46D966"/>
    <w:rsid w:val="4F47EECE"/>
    <w:rsid w:val="4F4A340E"/>
    <w:rsid w:val="4F4B8FE3"/>
    <w:rsid w:val="4F4BAFB2"/>
    <w:rsid w:val="4F4E8799"/>
    <w:rsid w:val="4F4F1D97"/>
    <w:rsid w:val="4F4F77BB"/>
    <w:rsid w:val="4F504979"/>
    <w:rsid w:val="4F513259"/>
    <w:rsid w:val="4F5420FB"/>
    <w:rsid w:val="4F54DB34"/>
    <w:rsid w:val="4F598AD0"/>
    <w:rsid w:val="4F5A07E0"/>
    <w:rsid w:val="4F5A58F3"/>
    <w:rsid w:val="4F5B42B4"/>
    <w:rsid w:val="4F612725"/>
    <w:rsid w:val="4F641005"/>
    <w:rsid w:val="4F65D38E"/>
    <w:rsid w:val="4F66152F"/>
    <w:rsid w:val="4F66D645"/>
    <w:rsid w:val="4F67912F"/>
    <w:rsid w:val="4F6B0040"/>
    <w:rsid w:val="4F6B603B"/>
    <w:rsid w:val="4F6BB5D6"/>
    <w:rsid w:val="4F6EA42C"/>
    <w:rsid w:val="4F702000"/>
    <w:rsid w:val="4F7247EB"/>
    <w:rsid w:val="4F744CDE"/>
    <w:rsid w:val="4F7598FD"/>
    <w:rsid w:val="4F7A6766"/>
    <w:rsid w:val="4F7B6B22"/>
    <w:rsid w:val="4F7BB927"/>
    <w:rsid w:val="4F7DFBE2"/>
    <w:rsid w:val="4F7E3DA0"/>
    <w:rsid w:val="4F7F8D5D"/>
    <w:rsid w:val="4F828504"/>
    <w:rsid w:val="4F829D31"/>
    <w:rsid w:val="4F85F494"/>
    <w:rsid w:val="4F89A3E9"/>
    <w:rsid w:val="4F94DDF2"/>
    <w:rsid w:val="4F961D1C"/>
    <w:rsid w:val="4F989333"/>
    <w:rsid w:val="4F9FF0A5"/>
    <w:rsid w:val="4FA27DCC"/>
    <w:rsid w:val="4FA5873C"/>
    <w:rsid w:val="4FA63B30"/>
    <w:rsid w:val="4FA99FBE"/>
    <w:rsid w:val="4FB955CE"/>
    <w:rsid w:val="4FBB73B5"/>
    <w:rsid w:val="4FBBCD24"/>
    <w:rsid w:val="4FC11CE1"/>
    <w:rsid w:val="4FC11E63"/>
    <w:rsid w:val="4FC5839E"/>
    <w:rsid w:val="4FC8DD2A"/>
    <w:rsid w:val="4FCCD1F1"/>
    <w:rsid w:val="4FCD996E"/>
    <w:rsid w:val="4FD1E77A"/>
    <w:rsid w:val="4FD20529"/>
    <w:rsid w:val="4FD47BB9"/>
    <w:rsid w:val="4FD57A07"/>
    <w:rsid w:val="4FD84BBF"/>
    <w:rsid w:val="4FD9D0FE"/>
    <w:rsid w:val="4FDCF142"/>
    <w:rsid w:val="4FE15226"/>
    <w:rsid w:val="4FE20141"/>
    <w:rsid w:val="4FE3463B"/>
    <w:rsid w:val="4FE37238"/>
    <w:rsid w:val="4FE6DF70"/>
    <w:rsid w:val="4FE7456B"/>
    <w:rsid w:val="4FE7C751"/>
    <w:rsid w:val="4FEB6939"/>
    <w:rsid w:val="4FEE68FB"/>
    <w:rsid w:val="4FF245FA"/>
    <w:rsid w:val="4FF4E66F"/>
    <w:rsid w:val="4FF523AE"/>
    <w:rsid w:val="4FF54589"/>
    <w:rsid w:val="4FF56EE5"/>
    <w:rsid w:val="4FF9862F"/>
    <w:rsid w:val="4FF9A161"/>
    <w:rsid w:val="4FFBF1D0"/>
    <w:rsid w:val="4FFCA264"/>
    <w:rsid w:val="4FFCDFCA"/>
    <w:rsid w:val="4FFD0EBE"/>
    <w:rsid w:val="4FFFAE5B"/>
    <w:rsid w:val="50006591"/>
    <w:rsid w:val="50009F74"/>
    <w:rsid w:val="5000B1CE"/>
    <w:rsid w:val="5002B7F5"/>
    <w:rsid w:val="500519DA"/>
    <w:rsid w:val="5009728A"/>
    <w:rsid w:val="500A364F"/>
    <w:rsid w:val="500AF333"/>
    <w:rsid w:val="500F31CD"/>
    <w:rsid w:val="500FF102"/>
    <w:rsid w:val="50112219"/>
    <w:rsid w:val="5013CE9E"/>
    <w:rsid w:val="50140C65"/>
    <w:rsid w:val="50143FB1"/>
    <w:rsid w:val="5014A626"/>
    <w:rsid w:val="501512B0"/>
    <w:rsid w:val="501781AF"/>
    <w:rsid w:val="50180534"/>
    <w:rsid w:val="5018A04D"/>
    <w:rsid w:val="5019B6F8"/>
    <w:rsid w:val="501C35D7"/>
    <w:rsid w:val="501C4526"/>
    <w:rsid w:val="501D41CF"/>
    <w:rsid w:val="50201946"/>
    <w:rsid w:val="5021CDC5"/>
    <w:rsid w:val="502272ED"/>
    <w:rsid w:val="50230F51"/>
    <w:rsid w:val="5023105D"/>
    <w:rsid w:val="5023954A"/>
    <w:rsid w:val="502789BD"/>
    <w:rsid w:val="502B4044"/>
    <w:rsid w:val="502CC659"/>
    <w:rsid w:val="5032D894"/>
    <w:rsid w:val="50339A2F"/>
    <w:rsid w:val="5036C0A8"/>
    <w:rsid w:val="5037BFEB"/>
    <w:rsid w:val="503C7AB4"/>
    <w:rsid w:val="503CBED0"/>
    <w:rsid w:val="503D3469"/>
    <w:rsid w:val="503F57D2"/>
    <w:rsid w:val="5043E98B"/>
    <w:rsid w:val="50447BF9"/>
    <w:rsid w:val="50454D4C"/>
    <w:rsid w:val="5045B1EF"/>
    <w:rsid w:val="5048951B"/>
    <w:rsid w:val="50492797"/>
    <w:rsid w:val="504ABECB"/>
    <w:rsid w:val="504AC88A"/>
    <w:rsid w:val="504AFF7B"/>
    <w:rsid w:val="504B0FBE"/>
    <w:rsid w:val="5050D74E"/>
    <w:rsid w:val="5052277C"/>
    <w:rsid w:val="505420BD"/>
    <w:rsid w:val="5056D644"/>
    <w:rsid w:val="50577FD7"/>
    <w:rsid w:val="505B2AA2"/>
    <w:rsid w:val="505BAFA4"/>
    <w:rsid w:val="505D1D42"/>
    <w:rsid w:val="505D34AC"/>
    <w:rsid w:val="50605527"/>
    <w:rsid w:val="50618831"/>
    <w:rsid w:val="5061BA79"/>
    <w:rsid w:val="5065F22A"/>
    <w:rsid w:val="5066A758"/>
    <w:rsid w:val="506732DC"/>
    <w:rsid w:val="5067C2FA"/>
    <w:rsid w:val="506B4EAE"/>
    <w:rsid w:val="506DF2EC"/>
    <w:rsid w:val="5073EDFB"/>
    <w:rsid w:val="50755FFA"/>
    <w:rsid w:val="5076EFC5"/>
    <w:rsid w:val="5077A68B"/>
    <w:rsid w:val="50799C6B"/>
    <w:rsid w:val="507C323A"/>
    <w:rsid w:val="507CD2F5"/>
    <w:rsid w:val="507D629A"/>
    <w:rsid w:val="507DAA82"/>
    <w:rsid w:val="507E5115"/>
    <w:rsid w:val="507EBBF4"/>
    <w:rsid w:val="507EDEDE"/>
    <w:rsid w:val="507F03BC"/>
    <w:rsid w:val="5086F26C"/>
    <w:rsid w:val="50870F54"/>
    <w:rsid w:val="508729E1"/>
    <w:rsid w:val="5088AFDF"/>
    <w:rsid w:val="5089052D"/>
    <w:rsid w:val="508A0B2F"/>
    <w:rsid w:val="508A213F"/>
    <w:rsid w:val="508ABEDA"/>
    <w:rsid w:val="508DE721"/>
    <w:rsid w:val="508E606D"/>
    <w:rsid w:val="508EEB57"/>
    <w:rsid w:val="508F07F5"/>
    <w:rsid w:val="508FC8AD"/>
    <w:rsid w:val="509069F8"/>
    <w:rsid w:val="5092EA8F"/>
    <w:rsid w:val="50989AB6"/>
    <w:rsid w:val="509BCDC6"/>
    <w:rsid w:val="509CB46F"/>
    <w:rsid w:val="509ED3C8"/>
    <w:rsid w:val="509FF7B7"/>
    <w:rsid w:val="50A2063A"/>
    <w:rsid w:val="50A746A1"/>
    <w:rsid w:val="50A7A011"/>
    <w:rsid w:val="50A8CCE7"/>
    <w:rsid w:val="50A8DE2F"/>
    <w:rsid w:val="50AA1E19"/>
    <w:rsid w:val="50AC38B3"/>
    <w:rsid w:val="50AE7542"/>
    <w:rsid w:val="50AF1F6D"/>
    <w:rsid w:val="50B0553F"/>
    <w:rsid w:val="50B07424"/>
    <w:rsid w:val="50B092FD"/>
    <w:rsid w:val="50B419EB"/>
    <w:rsid w:val="50B85106"/>
    <w:rsid w:val="50B9EC98"/>
    <w:rsid w:val="50BA5DDB"/>
    <w:rsid w:val="50BA8FD0"/>
    <w:rsid w:val="50BB78CA"/>
    <w:rsid w:val="50BE14F2"/>
    <w:rsid w:val="50BF54B3"/>
    <w:rsid w:val="50BF6230"/>
    <w:rsid w:val="50BFC638"/>
    <w:rsid w:val="50BFFA65"/>
    <w:rsid w:val="50C07B8E"/>
    <w:rsid w:val="50C30932"/>
    <w:rsid w:val="50C342E3"/>
    <w:rsid w:val="50C3C5F5"/>
    <w:rsid w:val="50C67DEC"/>
    <w:rsid w:val="50CBB5FF"/>
    <w:rsid w:val="50CCA7A2"/>
    <w:rsid w:val="50CD255E"/>
    <w:rsid w:val="50CDAA81"/>
    <w:rsid w:val="50D0E4F7"/>
    <w:rsid w:val="50D29918"/>
    <w:rsid w:val="50D52BAC"/>
    <w:rsid w:val="50DAB94A"/>
    <w:rsid w:val="50DB892E"/>
    <w:rsid w:val="50DBB4DC"/>
    <w:rsid w:val="50DD7DF6"/>
    <w:rsid w:val="50E2BCA8"/>
    <w:rsid w:val="50E32D34"/>
    <w:rsid w:val="50E4A20B"/>
    <w:rsid w:val="50E4DB7C"/>
    <w:rsid w:val="50E6F70A"/>
    <w:rsid w:val="50E97267"/>
    <w:rsid w:val="50EEC971"/>
    <w:rsid w:val="50F19BDD"/>
    <w:rsid w:val="50F1B9CC"/>
    <w:rsid w:val="50F251FE"/>
    <w:rsid w:val="50F5BC61"/>
    <w:rsid w:val="50F79622"/>
    <w:rsid w:val="50F7FD08"/>
    <w:rsid w:val="50FD305A"/>
    <w:rsid w:val="50FEB734"/>
    <w:rsid w:val="50FF0B78"/>
    <w:rsid w:val="50FFB663"/>
    <w:rsid w:val="51007CA7"/>
    <w:rsid w:val="510142E0"/>
    <w:rsid w:val="5102AD45"/>
    <w:rsid w:val="5104DBEB"/>
    <w:rsid w:val="5104F050"/>
    <w:rsid w:val="5105A809"/>
    <w:rsid w:val="5107CC4D"/>
    <w:rsid w:val="510821AB"/>
    <w:rsid w:val="510953DB"/>
    <w:rsid w:val="510AA153"/>
    <w:rsid w:val="510AB764"/>
    <w:rsid w:val="510D0912"/>
    <w:rsid w:val="510F266C"/>
    <w:rsid w:val="5110F0E3"/>
    <w:rsid w:val="5111C200"/>
    <w:rsid w:val="5111FE1F"/>
    <w:rsid w:val="511251DA"/>
    <w:rsid w:val="5113D49F"/>
    <w:rsid w:val="51186790"/>
    <w:rsid w:val="51193ABD"/>
    <w:rsid w:val="511C3D84"/>
    <w:rsid w:val="511D3653"/>
    <w:rsid w:val="511D7E2D"/>
    <w:rsid w:val="511E2428"/>
    <w:rsid w:val="5120D7D3"/>
    <w:rsid w:val="512259ED"/>
    <w:rsid w:val="5127C830"/>
    <w:rsid w:val="512AB62D"/>
    <w:rsid w:val="512D5FD0"/>
    <w:rsid w:val="512E7317"/>
    <w:rsid w:val="51300244"/>
    <w:rsid w:val="51304E8B"/>
    <w:rsid w:val="51313ECD"/>
    <w:rsid w:val="5134CAC8"/>
    <w:rsid w:val="5135EB08"/>
    <w:rsid w:val="5135F6DB"/>
    <w:rsid w:val="51365E30"/>
    <w:rsid w:val="51368C5A"/>
    <w:rsid w:val="51375E63"/>
    <w:rsid w:val="513D2F4C"/>
    <w:rsid w:val="5140744B"/>
    <w:rsid w:val="5141EACE"/>
    <w:rsid w:val="514349AD"/>
    <w:rsid w:val="514397D3"/>
    <w:rsid w:val="5146E2A8"/>
    <w:rsid w:val="51475248"/>
    <w:rsid w:val="51478CF3"/>
    <w:rsid w:val="514A3BA8"/>
    <w:rsid w:val="514B7ADA"/>
    <w:rsid w:val="514CEA58"/>
    <w:rsid w:val="5151CACE"/>
    <w:rsid w:val="5152D0D1"/>
    <w:rsid w:val="5153C5D4"/>
    <w:rsid w:val="5154EE7F"/>
    <w:rsid w:val="5155BA28"/>
    <w:rsid w:val="51560C31"/>
    <w:rsid w:val="5157DE9D"/>
    <w:rsid w:val="515A7006"/>
    <w:rsid w:val="515CEE06"/>
    <w:rsid w:val="515EF2B2"/>
    <w:rsid w:val="5160ED49"/>
    <w:rsid w:val="5162F41A"/>
    <w:rsid w:val="51630071"/>
    <w:rsid w:val="516378BD"/>
    <w:rsid w:val="5163CED5"/>
    <w:rsid w:val="51689302"/>
    <w:rsid w:val="516913C1"/>
    <w:rsid w:val="516C2765"/>
    <w:rsid w:val="516C6124"/>
    <w:rsid w:val="516C7069"/>
    <w:rsid w:val="516D593B"/>
    <w:rsid w:val="516F32D0"/>
    <w:rsid w:val="51710DBC"/>
    <w:rsid w:val="51719872"/>
    <w:rsid w:val="5176D447"/>
    <w:rsid w:val="5177D2E6"/>
    <w:rsid w:val="51795F6B"/>
    <w:rsid w:val="517A1B48"/>
    <w:rsid w:val="517A4B0A"/>
    <w:rsid w:val="51830F83"/>
    <w:rsid w:val="5186A63C"/>
    <w:rsid w:val="518759E2"/>
    <w:rsid w:val="51898CD4"/>
    <w:rsid w:val="518A96B0"/>
    <w:rsid w:val="518A9800"/>
    <w:rsid w:val="518C20C4"/>
    <w:rsid w:val="518FD7B2"/>
    <w:rsid w:val="518FE127"/>
    <w:rsid w:val="5191D8C0"/>
    <w:rsid w:val="519499E6"/>
    <w:rsid w:val="5194A3C0"/>
    <w:rsid w:val="5194E341"/>
    <w:rsid w:val="5196642D"/>
    <w:rsid w:val="519B5DB0"/>
    <w:rsid w:val="519BAB51"/>
    <w:rsid w:val="519FA4C9"/>
    <w:rsid w:val="51A0E6F5"/>
    <w:rsid w:val="51A12D67"/>
    <w:rsid w:val="51A3663A"/>
    <w:rsid w:val="51A5664E"/>
    <w:rsid w:val="51A5DFDA"/>
    <w:rsid w:val="51A62B60"/>
    <w:rsid w:val="51A6351D"/>
    <w:rsid w:val="51A8D596"/>
    <w:rsid w:val="51AA2D17"/>
    <w:rsid w:val="51AAA37F"/>
    <w:rsid w:val="51B0B699"/>
    <w:rsid w:val="51B130B0"/>
    <w:rsid w:val="51B49697"/>
    <w:rsid w:val="51B4CF37"/>
    <w:rsid w:val="51B794F6"/>
    <w:rsid w:val="51B7ECCD"/>
    <w:rsid w:val="51B844EB"/>
    <w:rsid w:val="51B9849B"/>
    <w:rsid w:val="51BAAEF8"/>
    <w:rsid w:val="51BBA1F7"/>
    <w:rsid w:val="51BEDFB2"/>
    <w:rsid w:val="51C1840D"/>
    <w:rsid w:val="51C1F7BB"/>
    <w:rsid w:val="51C307FF"/>
    <w:rsid w:val="51C3675F"/>
    <w:rsid w:val="51C4C000"/>
    <w:rsid w:val="51C5ED40"/>
    <w:rsid w:val="51C696E7"/>
    <w:rsid w:val="51CB958C"/>
    <w:rsid w:val="51CDA5C6"/>
    <w:rsid w:val="51CF9FA3"/>
    <w:rsid w:val="51D3549A"/>
    <w:rsid w:val="51D3E57C"/>
    <w:rsid w:val="51D47048"/>
    <w:rsid w:val="51D500AD"/>
    <w:rsid w:val="51D62170"/>
    <w:rsid w:val="51D69470"/>
    <w:rsid w:val="51D70DB9"/>
    <w:rsid w:val="51DAD9FD"/>
    <w:rsid w:val="51DC7327"/>
    <w:rsid w:val="51DF81AE"/>
    <w:rsid w:val="51DFD049"/>
    <w:rsid w:val="51E3CEBE"/>
    <w:rsid w:val="51E421ED"/>
    <w:rsid w:val="51E43F86"/>
    <w:rsid w:val="51E593CC"/>
    <w:rsid w:val="51E59AF4"/>
    <w:rsid w:val="51E8D8A1"/>
    <w:rsid w:val="51EBD05E"/>
    <w:rsid w:val="51EC995E"/>
    <w:rsid w:val="51EDA127"/>
    <w:rsid w:val="51EE7A55"/>
    <w:rsid w:val="51EEB136"/>
    <w:rsid w:val="51F26C3E"/>
    <w:rsid w:val="51F34F69"/>
    <w:rsid w:val="51F425EB"/>
    <w:rsid w:val="51F52F4A"/>
    <w:rsid w:val="51F5C4E8"/>
    <w:rsid w:val="51F95C6F"/>
    <w:rsid w:val="51F96944"/>
    <w:rsid w:val="51F99024"/>
    <w:rsid w:val="51FC1A7B"/>
    <w:rsid w:val="51FC5CAB"/>
    <w:rsid w:val="51FCEE5C"/>
    <w:rsid w:val="51FD5B20"/>
    <w:rsid w:val="51FDAEFC"/>
    <w:rsid w:val="51FF91BD"/>
    <w:rsid w:val="520080F7"/>
    <w:rsid w:val="5200A50A"/>
    <w:rsid w:val="520315C2"/>
    <w:rsid w:val="520394BF"/>
    <w:rsid w:val="5204B37C"/>
    <w:rsid w:val="5206055E"/>
    <w:rsid w:val="5206E590"/>
    <w:rsid w:val="5207CC0D"/>
    <w:rsid w:val="520809A8"/>
    <w:rsid w:val="52086CC3"/>
    <w:rsid w:val="520891FE"/>
    <w:rsid w:val="520AEB3B"/>
    <w:rsid w:val="5211CFC4"/>
    <w:rsid w:val="5211DF3D"/>
    <w:rsid w:val="5213E9BC"/>
    <w:rsid w:val="5213F8B1"/>
    <w:rsid w:val="5214649B"/>
    <w:rsid w:val="52148658"/>
    <w:rsid w:val="52159C05"/>
    <w:rsid w:val="5216DF59"/>
    <w:rsid w:val="5218C5FB"/>
    <w:rsid w:val="521E5B7E"/>
    <w:rsid w:val="521E7BB6"/>
    <w:rsid w:val="521EBF53"/>
    <w:rsid w:val="521F4E6C"/>
    <w:rsid w:val="5222F936"/>
    <w:rsid w:val="522788E3"/>
    <w:rsid w:val="522DB325"/>
    <w:rsid w:val="522F4497"/>
    <w:rsid w:val="522FBAB5"/>
    <w:rsid w:val="5233AC5B"/>
    <w:rsid w:val="52347D11"/>
    <w:rsid w:val="5235B08C"/>
    <w:rsid w:val="5238543D"/>
    <w:rsid w:val="523928FC"/>
    <w:rsid w:val="52395CD9"/>
    <w:rsid w:val="523F6396"/>
    <w:rsid w:val="5240B23F"/>
    <w:rsid w:val="5242ECBB"/>
    <w:rsid w:val="5244A273"/>
    <w:rsid w:val="5247D51E"/>
    <w:rsid w:val="52486AF7"/>
    <w:rsid w:val="5249536D"/>
    <w:rsid w:val="524A2D38"/>
    <w:rsid w:val="524C2A5B"/>
    <w:rsid w:val="524C34F6"/>
    <w:rsid w:val="524DA3BD"/>
    <w:rsid w:val="52528ECE"/>
    <w:rsid w:val="5259448B"/>
    <w:rsid w:val="5259EE68"/>
    <w:rsid w:val="525B7F6B"/>
    <w:rsid w:val="525CBB63"/>
    <w:rsid w:val="52669405"/>
    <w:rsid w:val="526B874F"/>
    <w:rsid w:val="526B9D5B"/>
    <w:rsid w:val="52727084"/>
    <w:rsid w:val="52760520"/>
    <w:rsid w:val="5278FF28"/>
    <w:rsid w:val="527A4C88"/>
    <w:rsid w:val="527C29C7"/>
    <w:rsid w:val="527C3A60"/>
    <w:rsid w:val="527D2871"/>
    <w:rsid w:val="527E2822"/>
    <w:rsid w:val="527E5A98"/>
    <w:rsid w:val="5281DB06"/>
    <w:rsid w:val="52846323"/>
    <w:rsid w:val="5288A4D2"/>
    <w:rsid w:val="528ABECC"/>
    <w:rsid w:val="528E2005"/>
    <w:rsid w:val="528EABAD"/>
    <w:rsid w:val="528FFD71"/>
    <w:rsid w:val="52918CC2"/>
    <w:rsid w:val="52954A1C"/>
    <w:rsid w:val="529AAC73"/>
    <w:rsid w:val="529B9559"/>
    <w:rsid w:val="529C424C"/>
    <w:rsid w:val="529D5570"/>
    <w:rsid w:val="52A0194D"/>
    <w:rsid w:val="52A071B2"/>
    <w:rsid w:val="52A15989"/>
    <w:rsid w:val="52A2777D"/>
    <w:rsid w:val="52A292C4"/>
    <w:rsid w:val="52A37187"/>
    <w:rsid w:val="52A39CBA"/>
    <w:rsid w:val="52A4B483"/>
    <w:rsid w:val="52A74375"/>
    <w:rsid w:val="52A79599"/>
    <w:rsid w:val="52A81452"/>
    <w:rsid w:val="52AA4768"/>
    <w:rsid w:val="52ADD94E"/>
    <w:rsid w:val="52B73100"/>
    <w:rsid w:val="52BA9181"/>
    <w:rsid w:val="52BB9B52"/>
    <w:rsid w:val="52BDF0C0"/>
    <w:rsid w:val="52C1BD27"/>
    <w:rsid w:val="52C381CC"/>
    <w:rsid w:val="52C5A99D"/>
    <w:rsid w:val="52C8BA2F"/>
    <w:rsid w:val="52C90F7B"/>
    <w:rsid w:val="52C9BA80"/>
    <w:rsid w:val="52C9D932"/>
    <w:rsid w:val="52CC3255"/>
    <w:rsid w:val="52CDB4A8"/>
    <w:rsid w:val="52CE4A3B"/>
    <w:rsid w:val="52CF06BF"/>
    <w:rsid w:val="52D11BA7"/>
    <w:rsid w:val="52D21412"/>
    <w:rsid w:val="52D35AD3"/>
    <w:rsid w:val="52D6B8A0"/>
    <w:rsid w:val="52D77802"/>
    <w:rsid w:val="52D7878F"/>
    <w:rsid w:val="52D86D1C"/>
    <w:rsid w:val="52D91C68"/>
    <w:rsid w:val="52DB0B73"/>
    <w:rsid w:val="52DBF934"/>
    <w:rsid w:val="52DC703B"/>
    <w:rsid w:val="52DDFBC8"/>
    <w:rsid w:val="52E0768E"/>
    <w:rsid w:val="52E168BE"/>
    <w:rsid w:val="52E2AEB8"/>
    <w:rsid w:val="52E3304B"/>
    <w:rsid w:val="52E6CE1E"/>
    <w:rsid w:val="52E6F38B"/>
    <w:rsid w:val="52E807A0"/>
    <w:rsid w:val="52EACAFE"/>
    <w:rsid w:val="52EB5B9B"/>
    <w:rsid w:val="52EC33A5"/>
    <w:rsid w:val="52F1BC39"/>
    <w:rsid w:val="52F8A7A6"/>
    <w:rsid w:val="52FCE57C"/>
    <w:rsid w:val="52FD167C"/>
    <w:rsid w:val="52FD1793"/>
    <w:rsid w:val="52FE4EAB"/>
    <w:rsid w:val="52FEF364"/>
    <w:rsid w:val="530159F1"/>
    <w:rsid w:val="530291C3"/>
    <w:rsid w:val="5302F13C"/>
    <w:rsid w:val="53045B5F"/>
    <w:rsid w:val="53057997"/>
    <w:rsid w:val="5305A365"/>
    <w:rsid w:val="53061E2C"/>
    <w:rsid w:val="530635A3"/>
    <w:rsid w:val="5306777F"/>
    <w:rsid w:val="530865A7"/>
    <w:rsid w:val="5308D056"/>
    <w:rsid w:val="530A921A"/>
    <w:rsid w:val="530C51D2"/>
    <w:rsid w:val="530DE2AC"/>
    <w:rsid w:val="53122E36"/>
    <w:rsid w:val="5312EB13"/>
    <w:rsid w:val="53131A9F"/>
    <w:rsid w:val="531379ED"/>
    <w:rsid w:val="53148EBD"/>
    <w:rsid w:val="5317C30E"/>
    <w:rsid w:val="531924FF"/>
    <w:rsid w:val="531A478B"/>
    <w:rsid w:val="531ADB13"/>
    <w:rsid w:val="53216497"/>
    <w:rsid w:val="532D3838"/>
    <w:rsid w:val="532FDE3C"/>
    <w:rsid w:val="533035A1"/>
    <w:rsid w:val="53307C39"/>
    <w:rsid w:val="5330FC69"/>
    <w:rsid w:val="5331A893"/>
    <w:rsid w:val="5332AC4A"/>
    <w:rsid w:val="5333D8B4"/>
    <w:rsid w:val="5337E669"/>
    <w:rsid w:val="533AE6BC"/>
    <w:rsid w:val="533C3AB6"/>
    <w:rsid w:val="533C8930"/>
    <w:rsid w:val="533CDB42"/>
    <w:rsid w:val="533CE87D"/>
    <w:rsid w:val="533DCA85"/>
    <w:rsid w:val="533FB413"/>
    <w:rsid w:val="534027A8"/>
    <w:rsid w:val="5340CFCE"/>
    <w:rsid w:val="53412B46"/>
    <w:rsid w:val="534352D3"/>
    <w:rsid w:val="53440E4B"/>
    <w:rsid w:val="53449E57"/>
    <w:rsid w:val="53459EB6"/>
    <w:rsid w:val="5345BF4E"/>
    <w:rsid w:val="53491F1B"/>
    <w:rsid w:val="53498A7F"/>
    <w:rsid w:val="534B0663"/>
    <w:rsid w:val="534C979E"/>
    <w:rsid w:val="534D41CF"/>
    <w:rsid w:val="534E39AC"/>
    <w:rsid w:val="534F864A"/>
    <w:rsid w:val="534F9C24"/>
    <w:rsid w:val="5351C519"/>
    <w:rsid w:val="535219E5"/>
    <w:rsid w:val="53555F13"/>
    <w:rsid w:val="5355FA3D"/>
    <w:rsid w:val="535B86EC"/>
    <w:rsid w:val="535C06FF"/>
    <w:rsid w:val="535C3605"/>
    <w:rsid w:val="535F4045"/>
    <w:rsid w:val="5360FF76"/>
    <w:rsid w:val="5364BE77"/>
    <w:rsid w:val="536587D7"/>
    <w:rsid w:val="5366474A"/>
    <w:rsid w:val="53684133"/>
    <w:rsid w:val="5369A4F5"/>
    <w:rsid w:val="536A7F95"/>
    <w:rsid w:val="536CFA68"/>
    <w:rsid w:val="536E90CC"/>
    <w:rsid w:val="5371CF40"/>
    <w:rsid w:val="5373CCAC"/>
    <w:rsid w:val="53750F48"/>
    <w:rsid w:val="537675E2"/>
    <w:rsid w:val="5377816A"/>
    <w:rsid w:val="537A9347"/>
    <w:rsid w:val="5382D664"/>
    <w:rsid w:val="53854645"/>
    <w:rsid w:val="53878F7F"/>
    <w:rsid w:val="5388851B"/>
    <w:rsid w:val="538A1701"/>
    <w:rsid w:val="538A847E"/>
    <w:rsid w:val="5391CFC5"/>
    <w:rsid w:val="539366B5"/>
    <w:rsid w:val="5393BD6D"/>
    <w:rsid w:val="5397C5CB"/>
    <w:rsid w:val="5397F33D"/>
    <w:rsid w:val="5398A272"/>
    <w:rsid w:val="539941F8"/>
    <w:rsid w:val="539A98D2"/>
    <w:rsid w:val="539B6878"/>
    <w:rsid w:val="539B7F3A"/>
    <w:rsid w:val="539D1F8C"/>
    <w:rsid w:val="53A099B8"/>
    <w:rsid w:val="53A1EC69"/>
    <w:rsid w:val="53A2BC8F"/>
    <w:rsid w:val="53A6C781"/>
    <w:rsid w:val="53A7A6DB"/>
    <w:rsid w:val="53A7B4A6"/>
    <w:rsid w:val="53A85DB4"/>
    <w:rsid w:val="53A8EA02"/>
    <w:rsid w:val="53AD05A4"/>
    <w:rsid w:val="53AECC95"/>
    <w:rsid w:val="53B2FDC6"/>
    <w:rsid w:val="53B3CF44"/>
    <w:rsid w:val="53B577A6"/>
    <w:rsid w:val="53B7F3BF"/>
    <w:rsid w:val="53B813D9"/>
    <w:rsid w:val="53B8F977"/>
    <w:rsid w:val="53B995BA"/>
    <w:rsid w:val="53BA8FB4"/>
    <w:rsid w:val="53BB1B64"/>
    <w:rsid w:val="53BB4A3A"/>
    <w:rsid w:val="53BCB43A"/>
    <w:rsid w:val="53BE4A05"/>
    <w:rsid w:val="53C20397"/>
    <w:rsid w:val="53C38394"/>
    <w:rsid w:val="53C3E4FD"/>
    <w:rsid w:val="53C6184B"/>
    <w:rsid w:val="53C81284"/>
    <w:rsid w:val="53C92DA9"/>
    <w:rsid w:val="53C99CE3"/>
    <w:rsid w:val="53CAABDC"/>
    <w:rsid w:val="53CAE4B2"/>
    <w:rsid w:val="53CE3821"/>
    <w:rsid w:val="53D0B8F9"/>
    <w:rsid w:val="53D620BE"/>
    <w:rsid w:val="53D74E82"/>
    <w:rsid w:val="53D8ED87"/>
    <w:rsid w:val="53DBE0D8"/>
    <w:rsid w:val="53DC9640"/>
    <w:rsid w:val="53E05DAA"/>
    <w:rsid w:val="53E16746"/>
    <w:rsid w:val="53E27773"/>
    <w:rsid w:val="53E486AA"/>
    <w:rsid w:val="53E51A8A"/>
    <w:rsid w:val="53E55EC2"/>
    <w:rsid w:val="53E5D9A1"/>
    <w:rsid w:val="53E77F6A"/>
    <w:rsid w:val="53E92847"/>
    <w:rsid w:val="53EB75CD"/>
    <w:rsid w:val="53EDC04E"/>
    <w:rsid w:val="53F0C59D"/>
    <w:rsid w:val="53F11F08"/>
    <w:rsid w:val="53F1AFDC"/>
    <w:rsid w:val="53F22633"/>
    <w:rsid w:val="53F3AC70"/>
    <w:rsid w:val="53F5190A"/>
    <w:rsid w:val="53F5BDED"/>
    <w:rsid w:val="53FCC19B"/>
    <w:rsid w:val="53FD2806"/>
    <w:rsid w:val="53FF746E"/>
    <w:rsid w:val="53FFC031"/>
    <w:rsid w:val="54017B5E"/>
    <w:rsid w:val="540190D9"/>
    <w:rsid w:val="5403EDC6"/>
    <w:rsid w:val="5404D846"/>
    <w:rsid w:val="54051FB0"/>
    <w:rsid w:val="5406E972"/>
    <w:rsid w:val="5407C3F1"/>
    <w:rsid w:val="54083EC9"/>
    <w:rsid w:val="540C43DC"/>
    <w:rsid w:val="540F294B"/>
    <w:rsid w:val="54144E58"/>
    <w:rsid w:val="54182C39"/>
    <w:rsid w:val="54196046"/>
    <w:rsid w:val="541AC07D"/>
    <w:rsid w:val="541B4924"/>
    <w:rsid w:val="541BD653"/>
    <w:rsid w:val="541EC8B4"/>
    <w:rsid w:val="5422520A"/>
    <w:rsid w:val="54233DBE"/>
    <w:rsid w:val="5423CE98"/>
    <w:rsid w:val="5427A667"/>
    <w:rsid w:val="542AA181"/>
    <w:rsid w:val="542CF07E"/>
    <w:rsid w:val="542E8163"/>
    <w:rsid w:val="54319EED"/>
    <w:rsid w:val="54368E88"/>
    <w:rsid w:val="5436C4A2"/>
    <w:rsid w:val="543748F1"/>
    <w:rsid w:val="54374F37"/>
    <w:rsid w:val="5438029D"/>
    <w:rsid w:val="5439BD95"/>
    <w:rsid w:val="543B369F"/>
    <w:rsid w:val="543C6DE7"/>
    <w:rsid w:val="543D104F"/>
    <w:rsid w:val="543D601B"/>
    <w:rsid w:val="543D997D"/>
    <w:rsid w:val="544034E1"/>
    <w:rsid w:val="5441C3FF"/>
    <w:rsid w:val="5444B1E2"/>
    <w:rsid w:val="54461763"/>
    <w:rsid w:val="5448A4A0"/>
    <w:rsid w:val="544968C9"/>
    <w:rsid w:val="544AAC05"/>
    <w:rsid w:val="544AC1BA"/>
    <w:rsid w:val="544DCD9C"/>
    <w:rsid w:val="544F595E"/>
    <w:rsid w:val="544F83E6"/>
    <w:rsid w:val="5451AEC3"/>
    <w:rsid w:val="5453E582"/>
    <w:rsid w:val="5453F61C"/>
    <w:rsid w:val="545443B1"/>
    <w:rsid w:val="5455870D"/>
    <w:rsid w:val="5457F993"/>
    <w:rsid w:val="545BDC87"/>
    <w:rsid w:val="545C99B3"/>
    <w:rsid w:val="545CA55A"/>
    <w:rsid w:val="545DD9E8"/>
    <w:rsid w:val="5462C88E"/>
    <w:rsid w:val="546EE3F0"/>
    <w:rsid w:val="5475BFA5"/>
    <w:rsid w:val="5476B568"/>
    <w:rsid w:val="547A1219"/>
    <w:rsid w:val="547A192C"/>
    <w:rsid w:val="547A2818"/>
    <w:rsid w:val="547A5254"/>
    <w:rsid w:val="547CFDA8"/>
    <w:rsid w:val="547E2F49"/>
    <w:rsid w:val="547E7C50"/>
    <w:rsid w:val="5480C2A1"/>
    <w:rsid w:val="54866AA7"/>
    <w:rsid w:val="54878784"/>
    <w:rsid w:val="548D9B4E"/>
    <w:rsid w:val="548E5A1F"/>
    <w:rsid w:val="548EE451"/>
    <w:rsid w:val="5490E67C"/>
    <w:rsid w:val="5492B02B"/>
    <w:rsid w:val="54941350"/>
    <w:rsid w:val="549A162A"/>
    <w:rsid w:val="549A7E75"/>
    <w:rsid w:val="549AD31B"/>
    <w:rsid w:val="549CB472"/>
    <w:rsid w:val="549CDAF8"/>
    <w:rsid w:val="549E62C0"/>
    <w:rsid w:val="549EEA93"/>
    <w:rsid w:val="549F6FE7"/>
    <w:rsid w:val="54A076C1"/>
    <w:rsid w:val="54A0E9DA"/>
    <w:rsid w:val="54A3BC16"/>
    <w:rsid w:val="54A690E8"/>
    <w:rsid w:val="54A69484"/>
    <w:rsid w:val="54A7A92B"/>
    <w:rsid w:val="54AB4D81"/>
    <w:rsid w:val="54ABFECE"/>
    <w:rsid w:val="54B0646C"/>
    <w:rsid w:val="54B0A581"/>
    <w:rsid w:val="54B68124"/>
    <w:rsid w:val="54B872C1"/>
    <w:rsid w:val="54B87A26"/>
    <w:rsid w:val="54BA69E6"/>
    <w:rsid w:val="54BAACED"/>
    <w:rsid w:val="54BCA879"/>
    <w:rsid w:val="54BCDCEA"/>
    <w:rsid w:val="54BCE98A"/>
    <w:rsid w:val="54BD1A1E"/>
    <w:rsid w:val="54BD1D2A"/>
    <w:rsid w:val="54C1E3AF"/>
    <w:rsid w:val="54C1EC2F"/>
    <w:rsid w:val="54C236F7"/>
    <w:rsid w:val="54C55C81"/>
    <w:rsid w:val="54C71695"/>
    <w:rsid w:val="54C99FD1"/>
    <w:rsid w:val="54CB55C8"/>
    <w:rsid w:val="54CD1328"/>
    <w:rsid w:val="54D05A81"/>
    <w:rsid w:val="54D12189"/>
    <w:rsid w:val="54D2224C"/>
    <w:rsid w:val="54D2CC80"/>
    <w:rsid w:val="54D3C336"/>
    <w:rsid w:val="54D935B1"/>
    <w:rsid w:val="54DCEE02"/>
    <w:rsid w:val="54DD3729"/>
    <w:rsid w:val="54DF980E"/>
    <w:rsid w:val="54DFC24F"/>
    <w:rsid w:val="54E4B392"/>
    <w:rsid w:val="54E74AE0"/>
    <w:rsid w:val="54E8E3D2"/>
    <w:rsid w:val="54E993D2"/>
    <w:rsid w:val="54EADE68"/>
    <w:rsid w:val="54EB795C"/>
    <w:rsid w:val="54ECECE0"/>
    <w:rsid w:val="54EEEEA8"/>
    <w:rsid w:val="54F1CE68"/>
    <w:rsid w:val="54F1DDEA"/>
    <w:rsid w:val="54F7B7B3"/>
    <w:rsid w:val="54F9C8FB"/>
    <w:rsid w:val="54FE3E68"/>
    <w:rsid w:val="5503EDA4"/>
    <w:rsid w:val="5504BD6A"/>
    <w:rsid w:val="5505435C"/>
    <w:rsid w:val="5505A3EE"/>
    <w:rsid w:val="55061A10"/>
    <w:rsid w:val="5507459A"/>
    <w:rsid w:val="55096725"/>
    <w:rsid w:val="550B2648"/>
    <w:rsid w:val="550D244E"/>
    <w:rsid w:val="550D6EA9"/>
    <w:rsid w:val="550F68CA"/>
    <w:rsid w:val="5510B0CF"/>
    <w:rsid w:val="5511697A"/>
    <w:rsid w:val="55138FCE"/>
    <w:rsid w:val="5514E2B1"/>
    <w:rsid w:val="55177DF9"/>
    <w:rsid w:val="55182F0F"/>
    <w:rsid w:val="55191BD5"/>
    <w:rsid w:val="551BAFA6"/>
    <w:rsid w:val="551D1DAD"/>
    <w:rsid w:val="551F4A7F"/>
    <w:rsid w:val="551F88F7"/>
    <w:rsid w:val="5525D339"/>
    <w:rsid w:val="552650FF"/>
    <w:rsid w:val="552C7E98"/>
    <w:rsid w:val="552E0FF1"/>
    <w:rsid w:val="552FD764"/>
    <w:rsid w:val="553072C0"/>
    <w:rsid w:val="5531D12C"/>
    <w:rsid w:val="5532F9CE"/>
    <w:rsid w:val="55340CC7"/>
    <w:rsid w:val="553BA172"/>
    <w:rsid w:val="553CF763"/>
    <w:rsid w:val="553E9C77"/>
    <w:rsid w:val="5540A663"/>
    <w:rsid w:val="55417F2A"/>
    <w:rsid w:val="55474B9E"/>
    <w:rsid w:val="55485883"/>
    <w:rsid w:val="55485F43"/>
    <w:rsid w:val="554ADE99"/>
    <w:rsid w:val="554C5FD2"/>
    <w:rsid w:val="554C8BC0"/>
    <w:rsid w:val="554DD239"/>
    <w:rsid w:val="55507350"/>
    <w:rsid w:val="55527FF0"/>
    <w:rsid w:val="5552AA4E"/>
    <w:rsid w:val="555336B5"/>
    <w:rsid w:val="5553FCDA"/>
    <w:rsid w:val="555436EA"/>
    <w:rsid w:val="5554892C"/>
    <w:rsid w:val="555555DE"/>
    <w:rsid w:val="5555BB54"/>
    <w:rsid w:val="555BF1C3"/>
    <w:rsid w:val="555E4D9B"/>
    <w:rsid w:val="5561AF75"/>
    <w:rsid w:val="556429B0"/>
    <w:rsid w:val="55647AD2"/>
    <w:rsid w:val="55698404"/>
    <w:rsid w:val="556A6A2A"/>
    <w:rsid w:val="556B31B7"/>
    <w:rsid w:val="556C6953"/>
    <w:rsid w:val="556D48E0"/>
    <w:rsid w:val="55713333"/>
    <w:rsid w:val="5571493C"/>
    <w:rsid w:val="55716914"/>
    <w:rsid w:val="5572DC32"/>
    <w:rsid w:val="5572F96B"/>
    <w:rsid w:val="55752C5D"/>
    <w:rsid w:val="557A76DE"/>
    <w:rsid w:val="557B15EE"/>
    <w:rsid w:val="557B357C"/>
    <w:rsid w:val="55870891"/>
    <w:rsid w:val="55881246"/>
    <w:rsid w:val="5588A3CD"/>
    <w:rsid w:val="558BDE7F"/>
    <w:rsid w:val="558BF3C4"/>
    <w:rsid w:val="558DD85D"/>
    <w:rsid w:val="558F4340"/>
    <w:rsid w:val="558F655E"/>
    <w:rsid w:val="55959DF8"/>
    <w:rsid w:val="5595B32E"/>
    <w:rsid w:val="5595F682"/>
    <w:rsid w:val="5597753E"/>
    <w:rsid w:val="559976E9"/>
    <w:rsid w:val="559B4EFD"/>
    <w:rsid w:val="559D019A"/>
    <w:rsid w:val="559FB2D7"/>
    <w:rsid w:val="55A00F2C"/>
    <w:rsid w:val="55A1C325"/>
    <w:rsid w:val="55A1F173"/>
    <w:rsid w:val="55A26E9F"/>
    <w:rsid w:val="55A4A502"/>
    <w:rsid w:val="55A58460"/>
    <w:rsid w:val="55A68E48"/>
    <w:rsid w:val="55A69A13"/>
    <w:rsid w:val="55A778E1"/>
    <w:rsid w:val="55A8D0E1"/>
    <w:rsid w:val="55A95E00"/>
    <w:rsid w:val="55A99753"/>
    <w:rsid w:val="55AB0BBB"/>
    <w:rsid w:val="55ADC072"/>
    <w:rsid w:val="55AE72E3"/>
    <w:rsid w:val="55B0986A"/>
    <w:rsid w:val="55B152E0"/>
    <w:rsid w:val="55B191DD"/>
    <w:rsid w:val="55B3123E"/>
    <w:rsid w:val="55B32E08"/>
    <w:rsid w:val="55B3454F"/>
    <w:rsid w:val="55B53C17"/>
    <w:rsid w:val="55B77B2B"/>
    <w:rsid w:val="55BBC38E"/>
    <w:rsid w:val="55BDCE72"/>
    <w:rsid w:val="55BEC3EE"/>
    <w:rsid w:val="55BEECCC"/>
    <w:rsid w:val="55C15F8B"/>
    <w:rsid w:val="55C19B08"/>
    <w:rsid w:val="55C4BD39"/>
    <w:rsid w:val="55C67190"/>
    <w:rsid w:val="55C7221E"/>
    <w:rsid w:val="55C77D90"/>
    <w:rsid w:val="55C96C0C"/>
    <w:rsid w:val="55CA9E0C"/>
    <w:rsid w:val="55CC19A2"/>
    <w:rsid w:val="55CF139F"/>
    <w:rsid w:val="55CF4C55"/>
    <w:rsid w:val="55D0C775"/>
    <w:rsid w:val="55D1ECEF"/>
    <w:rsid w:val="55D2FEF2"/>
    <w:rsid w:val="55D346B8"/>
    <w:rsid w:val="55D40904"/>
    <w:rsid w:val="55D71477"/>
    <w:rsid w:val="55D7B6D0"/>
    <w:rsid w:val="55D861E4"/>
    <w:rsid w:val="55DA4DDF"/>
    <w:rsid w:val="55DD0770"/>
    <w:rsid w:val="55DDB2A1"/>
    <w:rsid w:val="55DEB268"/>
    <w:rsid w:val="55DEDBBF"/>
    <w:rsid w:val="55DF390B"/>
    <w:rsid w:val="55DF5026"/>
    <w:rsid w:val="55E18DF2"/>
    <w:rsid w:val="55E31405"/>
    <w:rsid w:val="55E3FCD7"/>
    <w:rsid w:val="55E7361F"/>
    <w:rsid w:val="55E98BB2"/>
    <w:rsid w:val="55ECC777"/>
    <w:rsid w:val="55ED89E5"/>
    <w:rsid w:val="55F08A60"/>
    <w:rsid w:val="55F0C19E"/>
    <w:rsid w:val="55F64D01"/>
    <w:rsid w:val="55FEC211"/>
    <w:rsid w:val="55FEF0CD"/>
    <w:rsid w:val="55FF706F"/>
    <w:rsid w:val="56001866"/>
    <w:rsid w:val="5601524D"/>
    <w:rsid w:val="56034581"/>
    <w:rsid w:val="56037712"/>
    <w:rsid w:val="56042928"/>
    <w:rsid w:val="56044E38"/>
    <w:rsid w:val="56045D12"/>
    <w:rsid w:val="56069970"/>
    <w:rsid w:val="56086F53"/>
    <w:rsid w:val="5608B643"/>
    <w:rsid w:val="560E9470"/>
    <w:rsid w:val="560ECDAF"/>
    <w:rsid w:val="560F4D99"/>
    <w:rsid w:val="5610450F"/>
    <w:rsid w:val="5610986C"/>
    <w:rsid w:val="56134C0E"/>
    <w:rsid w:val="5613C5AB"/>
    <w:rsid w:val="561467F0"/>
    <w:rsid w:val="5616F13A"/>
    <w:rsid w:val="56172AA2"/>
    <w:rsid w:val="56189A8B"/>
    <w:rsid w:val="5618E090"/>
    <w:rsid w:val="561A65F2"/>
    <w:rsid w:val="561F6A72"/>
    <w:rsid w:val="56201E5E"/>
    <w:rsid w:val="5624CAD1"/>
    <w:rsid w:val="56261B8E"/>
    <w:rsid w:val="5629F1B5"/>
    <w:rsid w:val="562E7C21"/>
    <w:rsid w:val="562F011B"/>
    <w:rsid w:val="562F9DE3"/>
    <w:rsid w:val="562FE158"/>
    <w:rsid w:val="56319490"/>
    <w:rsid w:val="56336174"/>
    <w:rsid w:val="56339A16"/>
    <w:rsid w:val="5633F06E"/>
    <w:rsid w:val="56347B1C"/>
    <w:rsid w:val="5635C51F"/>
    <w:rsid w:val="563B257B"/>
    <w:rsid w:val="563D9F85"/>
    <w:rsid w:val="56405682"/>
    <w:rsid w:val="56457E6B"/>
    <w:rsid w:val="56458C05"/>
    <w:rsid w:val="5647C20A"/>
    <w:rsid w:val="564A4220"/>
    <w:rsid w:val="564DC204"/>
    <w:rsid w:val="564E42D2"/>
    <w:rsid w:val="564F486C"/>
    <w:rsid w:val="56518E7E"/>
    <w:rsid w:val="56547986"/>
    <w:rsid w:val="5656E266"/>
    <w:rsid w:val="565AA66D"/>
    <w:rsid w:val="565B3079"/>
    <w:rsid w:val="565B7303"/>
    <w:rsid w:val="565BB79B"/>
    <w:rsid w:val="565D7E02"/>
    <w:rsid w:val="565DB0B7"/>
    <w:rsid w:val="566511F7"/>
    <w:rsid w:val="56660AB8"/>
    <w:rsid w:val="566DB5B6"/>
    <w:rsid w:val="567398ED"/>
    <w:rsid w:val="56741856"/>
    <w:rsid w:val="567479D6"/>
    <w:rsid w:val="5674A5E7"/>
    <w:rsid w:val="56750987"/>
    <w:rsid w:val="567511A3"/>
    <w:rsid w:val="5675261A"/>
    <w:rsid w:val="5676B8D2"/>
    <w:rsid w:val="5678622E"/>
    <w:rsid w:val="5679670C"/>
    <w:rsid w:val="567A46C9"/>
    <w:rsid w:val="567A68C7"/>
    <w:rsid w:val="567A8760"/>
    <w:rsid w:val="567AB254"/>
    <w:rsid w:val="567BE874"/>
    <w:rsid w:val="56802A9D"/>
    <w:rsid w:val="5680B10C"/>
    <w:rsid w:val="5681DE4F"/>
    <w:rsid w:val="56839517"/>
    <w:rsid w:val="5684486F"/>
    <w:rsid w:val="5684A1D3"/>
    <w:rsid w:val="568587FC"/>
    <w:rsid w:val="5686EC87"/>
    <w:rsid w:val="56881AB2"/>
    <w:rsid w:val="5688376F"/>
    <w:rsid w:val="5688B0FC"/>
    <w:rsid w:val="5688C9C3"/>
    <w:rsid w:val="568B615A"/>
    <w:rsid w:val="568BB974"/>
    <w:rsid w:val="568D03AD"/>
    <w:rsid w:val="568FC00E"/>
    <w:rsid w:val="56905236"/>
    <w:rsid w:val="56912B1F"/>
    <w:rsid w:val="5691C8D0"/>
    <w:rsid w:val="569375AB"/>
    <w:rsid w:val="569470D7"/>
    <w:rsid w:val="569503D1"/>
    <w:rsid w:val="569841A7"/>
    <w:rsid w:val="569CE7CD"/>
    <w:rsid w:val="569EF13F"/>
    <w:rsid w:val="569F6FCE"/>
    <w:rsid w:val="56A5C55E"/>
    <w:rsid w:val="56A72186"/>
    <w:rsid w:val="56A8C415"/>
    <w:rsid w:val="56ABE9C2"/>
    <w:rsid w:val="56ADDE22"/>
    <w:rsid w:val="56AEF192"/>
    <w:rsid w:val="56B35012"/>
    <w:rsid w:val="56B52F10"/>
    <w:rsid w:val="56B559E9"/>
    <w:rsid w:val="56B606F6"/>
    <w:rsid w:val="56B68996"/>
    <w:rsid w:val="56B6E234"/>
    <w:rsid w:val="56BA16E5"/>
    <w:rsid w:val="56BA5D70"/>
    <w:rsid w:val="56BB32DC"/>
    <w:rsid w:val="56BC0647"/>
    <w:rsid w:val="56BDF4FA"/>
    <w:rsid w:val="56BF1BFA"/>
    <w:rsid w:val="56C19F56"/>
    <w:rsid w:val="56C3F98C"/>
    <w:rsid w:val="56C48A9E"/>
    <w:rsid w:val="56C5BC95"/>
    <w:rsid w:val="56CA9E4F"/>
    <w:rsid w:val="56CC2B08"/>
    <w:rsid w:val="56CDA530"/>
    <w:rsid w:val="56CF23F2"/>
    <w:rsid w:val="56CF56B0"/>
    <w:rsid w:val="56D16718"/>
    <w:rsid w:val="56D1CCFA"/>
    <w:rsid w:val="56D3B36B"/>
    <w:rsid w:val="56D4830A"/>
    <w:rsid w:val="56D7758D"/>
    <w:rsid w:val="56D7A6F8"/>
    <w:rsid w:val="56D7D2C2"/>
    <w:rsid w:val="56DE21C6"/>
    <w:rsid w:val="56E16F38"/>
    <w:rsid w:val="56E203E7"/>
    <w:rsid w:val="56E2CAB3"/>
    <w:rsid w:val="56E43718"/>
    <w:rsid w:val="56E8A420"/>
    <w:rsid w:val="56E8EEF9"/>
    <w:rsid w:val="56EBD604"/>
    <w:rsid w:val="56EEEA95"/>
    <w:rsid w:val="56F159F0"/>
    <w:rsid w:val="56F1A844"/>
    <w:rsid w:val="56F1FC9E"/>
    <w:rsid w:val="56F52E33"/>
    <w:rsid w:val="56F63E40"/>
    <w:rsid w:val="56F7DEC9"/>
    <w:rsid w:val="56FA2DCE"/>
    <w:rsid w:val="56FC2377"/>
    <w:rsid w:val="56FF3E5F"/>
    <w:rsid w:val="57061471"/>
    <w:rsid w:val="5706A9EF"/>
    <w:rsid w:val="570711F9"/>
    <w:rsid w:val="5707945E"/>
    <w:rsid w:val="57091DE3"/>
    <w:rsid w:val="570B56F7"/>
    <w:rsid w:val="570B9859"/>
    <w:rsid w:val="570BF2DE"/>
    <w:rsid w:val="570DB01A"/>
    <w:rsid w:val="570DE8AE"/>
    <w:rsid w:val="570E7AD5"/>
    <w:rsid w:val="570E89F8"/>
    <w:rsid w:val="570EC048"/>
    <w:rsid w:val="570FE34D"/>
    <w:rsid w:val="5710288B"/>
    <w:rsid w:val="571221FF"/>
    <w:rsid w:val="571429F9"/>
    <w:rsid w:val="5714FA7E"/>
    <w:rsid w:val="57161408"/>
    <w:rsid w:val="5717F848"/>
    <w:rsid w:val="571CFEC0"/>
    <w:rsid w:val="571EB65B"/>
    <w:rsid w:val="572180F1"/>
    <w:rsid w:val="57218466"/>
    <w:rsid w:val="5721C4EB"/>
    <w:rsid w:val="57289526"/>
    <w:rsid w:val="5729585A"/>
    <w:rsid w:val="572A89C6"/>
    <w:rsid w:val="572CCEC6"/>
    <w:rsid w:val="572EDA31"/>
    <w:rsid w:val="572F771E"/>
    <w:rsid w:val="5732E57F"/>
    <w:rsid w:val="573381F7"/>
    <w:rsid w:val="5736961F"/>
    <w:rsid w:val="5736B6D7"/>
    <w:rsid w:val="573AECB2"/>
    <w:rsid w:val="573E13DE"/>
    <w:rsid w:val="573EFA8B"/>
    <w:rsid w:val="573FBCAA"/>
    <w:rsid w:val="5744DE37"/>
    <w:rsid w:val="5745C604"/>
    <w:rsid w:val="5748166E"/>
    <w:rsid w:val="57482CF0"/>
    <w:rsid w:val="574EDFF6"/>
    <w:rsid w:val="575310AD"/>
    <w:rsid w:val="57540AE4"/>
    <w:rsid w:val="5755F2F8"/>
    <w:rsid w:val="575B8C02"/>
    <w:rsid w:val="575CA567"/>
    <w:rsid w:val="575FE36E"/>
    <w:rsid w:val="57629B90"/>
    <w:rsid w:val="5762B969"/>
    <w:rsid w:val="5763317E"/>
    <w:rsid w:val="57637132"/>
    <w:rsid w:val="57662D09"/>
    <w:rsid w:val="57689A77"/>
    <w:rsid w:val="576A2198"/>
    <w:rsid w:val="576BFF39"/>
    <w:rsid w:val="576C49FB"/>
    <w:rsid w:val="576C8B73"/>
    <w:rsid w:val="576F1402"/>
    <w:rsid w:val="576F1776"/>
    <w:rsid w:val="57700743"/>
    <w:rsid w:val="57711DC1"/>
    <w:rsid w:val="5771A287"/>
    <w:rsid w:val="57722A12"/>
    <w:rsid w:val="57732E14"/>
    <w:rsid w:val="57733158"/>
    <w:rsid w:val="57743C45"/>
    <w:rsid w:val="57743E62"/>
    <w:rsid w:val="57747925"/>
    <w:rsid w:val="57757445"/>
    <w:rsid w:val="5779C23F"/>
    <w:rsid w:val="5783371E"/>
    <w:rsid w:val="5787F7C9"/>
    <w:rsid w:val="5789335A"/>
    <w:rsid w:val="578A5D73"/>
    <w:rsid w:val="578AD16A"/>
    <w:rsid w:val="578C28E8"/>
    <w:rsid w:val="578F7987"/>
    <w:rsid w:val="578F8102"/>
    <w:rsid w:val="57917F41"/>
    <w:rsid w:val="5791E8AE"/>
    <w:rsid w:val="57935F49"/>
    <w:rsid w:val="57939132"/>
    <w:rsid w:val="57953D45"/>
    <w:rsid w:val="579557FC"/>
    <w:rsid w:val="5796DB03"/>
    <w:rsid w:val="57975F76"/>
    <w:rsid w:val="5797A072"/>
    <w:rsid w:val="5797AECF"/>
    <w:rsid w:val="579C7FE9"/>
    <w:rsid w:val="579CA3F6"/>
    <w:rsid w:val="579CD21B"/>
    <w:rsid w:val="57A03DC4"/>
    <w:rsid w:val="57A1E1FD"/>
    <w:rsid w:val="57AAC091"/>
    <w:rsid w:val="57AAF9F5"/>
    <w:rsid w:val="57AC7FE2"/>
    <w:rsid w:val="57ACDB00"/>
    <w:rsid w:val="57AE6C5C"/>
    <w:rsid w:val="57B319F4"/>
    <w:rsid w:val="57B5B1F6"/>
    <w:rsid w:val="57B5E72D"/>
    <w:rsid w:val="57B75CD2"/>
    <w:rsid w:val="57B88A9D"/>
    <w:rsid w:val="57B93CF1"/>
    <w:rsid w:val="57BBEC18"/>
    <w:rsid w:val="57BF4057"/>
    <w:rsid w:val="57BF4E13"/>
    <w:rsid w:val="57BFA4C8"/>
    <w:rsid w:val="57C99BFD"/>
    <w:rsid w:val="57C9D5AE"/>
    <w:rsid w:val="57CA6C6E"/>
    <w:rsid w:val="57CC6BC1"/>
    <w:rsid w:val="57CE50F1"/>
    <w:rsid w:val="57CF2E7D"/>
    <w:rsid w:val="57D19699"/>
    <w:rsid w:val="57D1B4DE"/>
    <w:rsid w:val="57D2D130"/>
    <w:rsid w:val="57D3C611"/>
    <w:rsid w:val="57D6681F"/>
    <w:rsid w:val="57D70DCB"/>
    <w:rsid w:val="57D7D58B"/>
    <w:rsid w:val="57D980CC"/>
    <w:rsid w:val="57DBA2A8"/>
    <w:rsid w:val="57DC3FB5"/>
    <w:rsid w:val="57DE598D"/>
    <w:rsid w:val="57DF6CD3"/>
    <w:rsid w:val="57E14083"/>
    <w:rsid w:val="57E49E59"/>
    <w:rsid w:val="57E777AD"/>
    <w:rsid w:val="57E85985"/>
    <w:rsid w:val="57E8B2C4"/>
    <w:rsid w:val="57EBE7F0"/>
    <w:rsid w:val="57EC5AA9"/>
    <w:rsid w:val="57EC8EF8"/>
    <w:rsid w:val="57EED66B"/>
    <w:rsid w:val="57F0808E"/>
    <w:rsid w:val="57F2461D"/>
    <w:rsid w:val="57FFABEF"/>
    <w:rsid w:val="58033CE5"/>
    <w:rsid w:val="58059A68"/>
    <w:rsid w:val="58068621"/>
    <w:rsid w:val="5806993E"/>
    <w:rsid w:val="58071F3F"/>
    <w:rsid w:val="58086534"/>
    <w:rsid w:val="58092BE0"/>
    <w:rsid w:val="58096BE1"/>
    <w:rsid w:val="580AB712"/>
    <w:rsid w:val="580CBDC9"/>
    <w:rsid w:val="580D665D"/>
    <w:rsid w:val="580E2527"/>
    <w:rsid w:val="580E4C77"/>
    <w:rsid w:val="580F7BA3"/>
    <w:rsid w:val="58102DF7"/>
    <w:rsid w:val="5810EB8D"/>
    <w:rsid w:val="58110394"/>
    <w:rsid w:val="58125833"/>
    <w:rsid w:val="58152F03"/>
    <w:rsid w:val="5815C4C2"/>
    <w:rsid w:val="5815F916"/>
    <w:rsid w:val="58182D67"/>
    <w:rsid w:val="581B470E"/>
    <w:rsid w:val="581C3EDA"/>
    <w:rsid w:val="581C79C7"/>
    <w:rsid w:val="581DAEB0"/>
    <w:rsid w:val="581EED0E"/>
    <w:rsid w:val="582040B0"/>
    <w:rsid w:val="58218C6D"/>
    <w:rsid w:val="58226A4D"/>
    <w:rsid w:val="582B0E00"/>
    <w:rsid w:val="582D4D8D"/>
    <w:rsid w:val="58302A6F"/>
    <w:rsid w:val="5830856A"/>
    <w:rsid w:val="5830E557"/>
    <w:rsid w:val="58338B71"/>
    <w:rsid w:val="5834796A"/>
    <w:rsid w:val="5835FA32"/>
    <w:rsid w:val="58377F4D"/>
    <w:rsid w:val="583BA50D"/>
    <w:rsid w:val="583FBA8D"/>
    <w:rsid w:val="58414F83"/>
    <w:rsid w:val="58426DF6"/>
    <w:rsid w:val="5842F232"/>
    <w:rsid w:val="58441A9D"/>
    <w:rsid w:val="58444654"/>
    <w:rsid w:val="5845A569"/>
    <w:rsid w:val="584A6C31"/>
    <w:rsid w:val="584AC35A"/>
    <w:rsid w:val="584C51D7"/>
    <w:rsid w:val="584D3FBA"/>
    <w:rsid w:val="584D602B"/>
    <w:rsid w:val="584ECD10"/>
    <w:rsid w:val="584FF9BD"/>
    <w:rsid w:val="5850931D"/>
    <w:rsid w:val="585288BB"/>
    <w:rsid w:val="58586AEC"/>
    <w:rsid w:val="5859AF85"/>
    <w:rsid w:val="585BF9D5"/>
    <w:rsid w:val="585C1064"/>
    <w:rsid w:val="585C4FD3"/>
    <w:rsid w:val="585D0DE8"/>
    <w:rsid w:val="585DF7D2"/>
    <w:rsid w:val="585E96EB"/>
    <w:rsid w:val="58617FF6"/>
    <w:rsid w:val="58664F95"/>
    <w:rsid w:val="5866BD74"/>
    <w:rsid w:val="5866C1DC"/>
    <w:rsid w:val="5868B030"/>
    <w:rsid w:val="58690305"/>
    <w:rsid w:val="586C0EF3"/>
    <w:rsid w:val="586DB0EA"/>
    <w:rsid w:val="586ECB4F"/>
    <w:rsid w:val="58710621"/>
    <w:rsid w:val="58718BEA"/>
    <w:rsid w:val="587339F2"/>
    <w:rsid w:val="5873FB23"/>
    <w:rsid w:val="5874D5F9"/>
    <w:rsid w:val="5877AB1B"/>
    <w:rsid w:val="5879E438"/>
    <w:rsid w:val="587A1A28"/>
    <w:rsid w:val="587A9E01"/>
    <w:rsid w:val="587DD42A"/>
    <w:rsid w:val="5880BD5E"/>
    <w:rsid w:val="5882C177"/>
    <w:rsid w:val="5882C70E"/>
    <w:rsid w:val="5883AB79"/>
    <w:rsid w:val="588615B2"/>
    <w:rsid w:val="588642A7"/>
    <w:rsid w:val="5889AD83"/>
    <w:rsid w:val="588BF806"/>
    <w:rsid w:val="588D0FF0"/>
    <w:rsid w:val="588FFE4D"/>
    <w:rsid w:val="589268F2"/>
    <w:rsid w:val="589907FF"/>
    <w:rsid w:val="58A36304"/>
    <w:rsid w:val="58A3B4B3"/>
    <w:rsid w:val="58A754D5"/>
    <w:rsid w:val="58AB845E"/>
    <w:rsid w:val="58AC5882"/>
    <w:rsid w:val="58AD3371"/>
    <w:rsid w:val="58ADB0FC"/>
    <w:rsid w:val="58AE7C66"/>
    <w:rsid w:val="58AE7FAB"/>
    <w:rsid w:val="58AEFEFB"/>
    <w:rsid w:val="58AF4BC7"/>
    <w:rsid w:val="58B0EA6D"/>
    <w:rsid w:val="58BA1034"/>
    <w:rsid w:val="58BB21BF"/>
    <w:rsid w:val="58BC1E5B"/>
    <w:rsid w:val="58BD31A2"/>
    <w:rsid w:val="58BF3F5F"/>
    <w:rsid w:val="58C0FEB7"/>
    <w:rsid w:val="58C5952D"/>
    <w:rsid w:val="58C7CCF2"/>
    <w:rsid w:val="58CB1C68"/>
    <w:rsid w:val="58CD437B"/>
    <w:rsid w:val="58CE0625"/>
    <w:rsid w:val="58CE3066"/>
    <w:rsid w:val="58D1E6C7"/>
    <w:rsid w:val="58D40E67"/>
    <w:rsid w:val="58D561FB"/>
    <w:rsid w:val="58D5CA62"/>
    <w:rsid w:val="58DDCC38"/>
    <w:rsid w:val="58E339AF"/>
    <w:rsid w:val="58E4679D"/>
    <w:rsid w:val="58E54416"/>
    <w:rsid w:val="58E627FF"/>
    <w:rsid w:val="58E9945B"/>
    <w:rsid w:val="58ECC21D"/>
    <w:rsid w:val="58ED2130"/>
    <w:rsid w:val="58EE11E7"/>
    <w:rsid w:val="58EFDAC1"/>
    <w:rsid w:val="58F1735D"/>
    <w:rsid w:val="58F38C4F"/>
    <w:rsid w:val="58F4F754"/>
    <w:rsid w:val="58F50631"/>
    <w:rsid w:val="58F7D24C"/>
    <w:rsid w:val="58FAB5E8"/>
    <w:rsid w:val="58FB6BAC"/>
    <w:rsid w:val="58FD04D6"/>
    <w:rsid w:val="59004743"/>
    <w:rsid w:val="5900C09C"/>
    <w:rsid w:val="590224FA"/>
    <w:rsid w:val="59025552"/>
    <w:rsid w:val="5904F28B"/>
    <w:rsid w:val="59051797"/>
    <w:rsid w:val="59053A50"/>
    <w:rsid w:val="59056CBF"/>
    <w:rsid w:val="59058F54"/>
    <w:rsid w:val="59061253"/>
    <w:rsid w:val="590691FA"/>
    <w:rsid w:val="5909F33D"/>
    <w:rsid w:val="590B0448"/>
    <w:rsid w:val="590B3FF4"/>
    <w:rsid w:val="590B7E71"/>
    <w:rsid w:val="590BE841"/>
    <w:rsid w:val="590C33E2"/>
    <w:rsid w:val="590D43AE"/>
    <w:rsid w:val="590D93F7"/>
    <w:rsid w:val="5910B41B"/>
    <w:rsid w:val="5912802B"/>
    <w:rsid w:val="5912F01F"/>
    <w:rsid w:val="5913118C"/>
    <w:rsid w:val="591938E6"/>
    <w:rsid w:val="591B9612"/>
    <w:rsid w:val="591D58E9"/>
    <w:rsid w:val="5921E01C"/>
    <w:rsid w:val="5921ED52"/>
    <w:rsid w:val="59251FE6"/>
    <w:rsid w:val="59282638"/>
    <w:rsid w:val="592AF1C3"/>
    <w:rsid w:val="592C1696"/>
    <w:rsid w:val="592D4FA2"/>
    <w:rsid w:val="592E1797"/>
    <w:rsid w:val="592E1AA7"/>
    <w:rsid w:val="592E7A92"/>
    <w:rsid w:val="5930570E"/>
    <w:rsid w:val="5930C3F6"/>
    <w:rsid w:val="593764B9"/>
    <w:rsid w:val="593AF427"/>
    <w:rsid w:val="593BE486"/>
    <w:rsid w:val="593CA469"/>
    <w:rsid w:val="593CAB47"/>
    <w:rsid w:val="593EC0FC"/>
    <w:rsid w:val="59423FD9"/>
    <w:rsid w:val="59425F24"/>
    <w:rsid w:val="59425FC9"/>
    <w:rsid w:val="594287ED"/>
    <w:rsid w:val="59437376"/>
    <w:rsid w:val="594417D5"/>
    <w:rsid w:val="5944F301"/>
    <w:rsid w:val="5945AA74"/>
    <w:rsid w:val="59496F55"/>
    <w:rsid w:val="5949E593"/>
    <w:rsid w:val="5949F2B7"/>
    <w:rsid w:val="594BF2D2"/>
    <w:rsid w:val="594CFAE9"/>
    <w:rsid w:val="594EA7F5"/>
    <w:rsid w:val="59505FB3"/>
    <w:rsid w:val="5950DF28"/>
    <w:rsid w:val="59548904"/>
    <w:rsid w:val="59549797"/>
    <w:rsid w:val="59556245"/>
    <w:rsid w:val="5958883A"/>
    <w:rsid w:val="595B1490"/>
    <w:rsid w:val="595B94CC"/>
    <w:rsid w:val="595CE324"/>
    <w:rsid w:val="596156DF"/>
    <w:rsid w:val="59654C9B"/>
    <w:rsid w:val="5967CA53"/>
    <w:rsid w:val="5969D3AC"/>
    <w:rsid w:val="596A7F5D"/>
    <w:rsid w:val="596FF7D3"/>
    <w:rsid w:val="5970AFAD"/>
    <w:rsid w:val="59721374"/>
    <w:rsid w:val="5974E41F"/>
    <w:rsid w:val="5975B316"/>
    <w:rsid w:val="597D8203"/>
    <w:rsid w:val="597EC05B"/>
    <w:rsid w:val="59821F63"/>
    <w:rsid w:val="5985F1C8"/>
    <w:rsid w:val="59863F36"/>
    <w:rsid w:val="59867530"/>
    <w:rsid w:val="59871590"/>
    <w:rsid w:val="598B9298"/>
    <w:rsid w:val="598F27CC"/>
    <w:rsid w:val="59908FC3"/>
    <w:rsid w:val="59947342"/>
    <w:rsid w:val="59947D92"/>
    <w:rsid w:val="5995C8BF"/>
    <w:rsid w:val="59986D42"/>
    <w:rsid w:val="599B0C0B"/>
    <w:rsid w:val="599C4DBD"/>
    <w:rsid w:val="599CD334"/>
    <w:rsid w:val="599D3335"/>
    <w:rsid w:val="599EDCE7"/>
    <w:rsid w:val="59A03782"/>
    <w:rsid w:val="59A5D366"/>
    <w:rsid w:val="59AAAFBB"/>
    <w:rsid w:val="59AD0C66"/>
    <w:rsid w:val="59AF98B7"/>
    <w:rsid w:val="59B2A8F2"/>
    <w:rsid w:val="59B2CCDC"/>
    <w:rsid w:val="59B8492C"/>
    <w:rsid w:val="59B84B00"/>
    <w:rsid w:val="59B8FC0D"/>
    <w:rsid w:val="59B9B46C"/>
    <w:rsid w:val="59BA791D"/>
    <w:rsid w:val="59BD8C11"/>
    <w:rsid w:val="59BE5D0E"/>
    <w:rsid w:val="59C35C55"/>
    <w:rsid w:val="59C3C386"/>
    <w:rsid w:val="59C49014"/>
    <w:rsid w:val="59C79E5F"/>
    <w:rsid w:val="59C7BBB3"/>
    <w:rsid w:val="59CAAED3"/>
    <w:rsid w:val="59CB66BB"/>
    <w:rsid w:val="59D08DB8"/>
    <w:rsid w:val="59D29BDD"/>
    <w:rsid w:val="59D6A664"/>
    <w:rsid w:val="59D97923"/>
    <w:rsid w:val="59DB3226"/>
    <w:rsid w:val="59DCAD69"/>
    <w:rsid w:val="59DE447E"/>
    <w:rsid w:val="59DE6269"/>
    <w:rsid w:val="59DF5373"/>
    <w:rsid w:val="59E10610"/>
    <w:rsid w:val="59E16729"/>
    <w:rsid w:val="59E3CA6D"/>
    <w:rsid w:val="59E3E56D"/>
    <w:rsid w:val="59E42307"/>
    <w:rsid w:val="59E43E3D"/>
    <w:rsid w:val="59E5A64F"/>
    <w:rsid w:val="59E5D652"/>
    <w:rsid w:val="59E61359"/>
    <w:rsid w:val="59EAB9C8"/>
    <w:rsid w:val="59EE0324"/>
    <w:rsid w:val="59EE8BBC"/>
    <w:rsid w:val="59EFD103"/>
    <w:rsid w:val="59F1EBDE"/>
    <w:rsid w:val="59F34E8D"/>
    <w:rsid w:val="59F60F19"/>
    <w:rsid w:val="59F67013"/>
    <w:rsid w:val="59F8C0C0"/>
    <w:rsid w:val="59FA117B"/>
    <w:rsid w:val="59FA1E76"/>
    <w:rsid w:val="59FAB1A0"/>
    <w:rsid w:val="59FBCB83"/>
    <w:rsid w:val="5A0021AB"/>
    <w:rsid w:val="5A041142"/>
    <w:rsid w:val="5A08665C"/>
    <w:rsid w:val="5A0E0124"/>
    <w:rsid w:val="5A100E9D"/>
    <w:rsid w:val="5A105C62"/>
    <w:rsid w:val="5A112C41"/>
    <w:rsid w:val="5A119952"/>
    <w:rsid w:val="5A14AB3A"/>
    <w:rsid w:val="5A14FA47"/>
    <w:rsid w:val="5A159B2C"/>
    <w:rsid w:val="5A1A6A62"/>
    <w:rsid w:val="5A1BAC02"/>
    <w:rsid w:val="5A1BF9B1"/>
    <w:rsid w:val="5A1C1A5D"/>
    <w:rsid w:val="5A1EE474"/>
    <w:rsid w:val="5A233B8D"/>
    <w:rsid w:val="5A23A458"/>
    <w:rsid w:val="5A26CC9B"/>
    <w:rsid w:val="5A2912C0"/>
    <w:rsid w:val="5A29992E"/>
    <w:rsid w:val="5A2A5ECD"/>
    <w:rsid w:val="5A2C39C2"/>
    <w:rsid w:val="5A2EDB20"/>
    <w:rsid w:val="5A3033F2"/>
    <w:rsid w:val="5A307154"/>
    <w:rsid w:val="5A34EF13"/>
    <w:rsid w:val="5A350263"/>
    <w:rsid w:val="5A354D14"/>
    <w:rsid w:val="5A36F950"/>
    <w:rsid w:val="5A387B3A"/>
    <w:rsid w:val="5A3A0254"/>
    <w:rsid w:val="5A3DE79B"/>
    <w:rsid w:val="5A3FD76A"/>
    <w:rsid w:val="5A3FD82D"/>
    <w:rsid w:val="5A442900"/>
    <w:rsid w:val="5A45A4AD"/>
    <w:rsid w:val="5A45E649"/>
    <w:rsid w:val="5A47A26F"/>
    <w:rsid w:val="5A4902A2"/>
    <w:rsid w:val="5A4A8DE4"/>
    <w:rsid w:val="5A4AA5BC"/>
    <w:rsid w:val="5A4ABD13"/>
    <w:rsid w:val="5A4AEF3F"/>
    <w:rsid w:val="5A4BCB1B"/>
    <w:rsid w:val="5A4E106E"/>
    <w:rsid w:val="5A4E1683"/>
    <w:rsid w:val="5A501022"/>
    <w:rsid w:val="5A53F2D5"/>
    <w:rsid w:val="5A5809FF"/>
    <w:rsid w:val="5A5BBD5A"/>
    <w:rsid w:val="5A5E5523"/>
    <w:rsid w:val="5A5F44B5"/>
    <w:rsid w:val="5A6242D3"/>
    <w:rsid w:val="5A634FDE"/>
    <w:rsid w:val="5A63613A"/>
    <w:rsid w:val="5A64DAEF"/>
    <w:rsid w:val="5A6664CA"/>
    <w:rsid w:val="5A67E192"/>
    <w:rsid w:val="5A680F5F"/>
    <w:rsid w:val="5A6B9016"/>
    <w:rsid w:val="5A6C85DD"/>
    <w:rsid w:val="5A6EDD8A"/>
    <w:rsid w:val="5A708DFE"/>
    <w:rsid w:val="5A70E5B2"/>
    <w:rsid w:val="5A70EA33"/>
    <w:rsid w:val="5A7166D4"/>
    <w:rsid w:val="5A73B588"/>
    <w:rsid w:val="5A76C30F"/>
    <w:rsid w:val="5A779CAE"/>
    <w:rsid w:val="5A7A3FAF"/>
    <w:rsid w:val="5A7BD7F1"/>
    <w:rsid w:val="5A7F1C36"/>
    <w:rsid w:val="5A800199"/>
    <w:rsid w:val="5A808FBB"/>
    <w:rsid w:val="5A82E095"/>
    <w:rsid w:val="5A873E34"/>
    <w:rsid w:val="5A88070D"/>
    <w:rsid w:val="5A891BD3"/>
    <w:rsid w:val="5A8A482F"/>
    <w:rsid w:val="5A8B97DB"/>
    <w:rsid w:val="5A8C34EE"/>
    <w:rsid w:val="5A8D47BE"/>
    <w:rsid w:val="5A8DAF4A"/>
    <w:rsid w:val="5A8ED6B9"/>
    <w:rsid w:val="5A8F11F2"/>
    <w:rsid w:val="5A8F1886"/>
    <w:rsid w:val="5A8F2F6C"/>
    <w:rsid w:val="5A90AF0E"/>
    <w:rsid w:val="5A92BE40"/>
    <w:rsid w:val="5A93EABE"/>
    <w:rsid w:val="5A945917"/>
    <w:rsid w:val="5A98269F"/>
    <w:rsid w:val="5A9855FD"/>
    <w:rsid w:val="5A989544"/>
    <w:rsid w:val="5A99F36D"/>
    <w:rsid w:val="5A9AD2CA"/>
    <w:rsid w:val="5A9B1894"/>
    <w:rsid w:val="5A9C796F"/>
    <w:rsid w:val="5A9CBF1B"/>
    <w:rsid w:val="5A9E5671"/>
    <w:rsid w:val="5AA04AD5"/>
    <w:rsid w:val="5AA1365F"/>
    <w:rsid w:val="5AA4433E"/>
    <w:rsid w:val="5AA55199"/>
    <w:rsid w:val="5AA6933C"/>
    <w:rsid w:val="5AAA6AF0"/>
    <w:rsid w:val="5AAB9192"/>
    <w:rsid w:val="5AAF9A24"/>
    <w:rsid w:val="5AAFDB1D"/>
    <w:rsid w:val="5AB0B72F"/>
    <w:rsid w:val="5AB33E09"/>
    <w:rsid w:val="5AB34EEA"/>
    <w:rsid w:val="5AB39CDC"/>
    <w:rsid w:val="5AB49692"/>
    <w:rsid w:val="5AB537EF"/>
    <w:rsid w:val="5AB6F3CA"/>
    <w:rsid w:val="5AB9C0AE"/>
    <w:rsid w:val="5ABC6C4F"/>
    <w:rsid w:val="5ABDE564"/>
    <w:rsid w:val="5AC07A2F"/>
    <w:rsid w:val="5AC0F047"/>
    <w:rsid w:val="5AC35CF9"/>
    <w:rsid w:val="5AC6FDF9"/>
    <w:rsid w:val="5AC868AC"/>
    <w:rsid w:val="5ACE2B91"/>
    <w:rsid w:val="5AD11C9C"/>
    <w:rsid w:val="5AD4A9B5"/>
    <w:rsid w:val="5AD70A92"/>
    <w:rsid w:val="5AD9113E"/>
    <w:rsid w:val="5AD93F6C"/>
    <w:rsid w:val="5AD95120"/>
    <w:rsid w:val="5AD9EA4A"/>
    <w:rsid w:val="5ADA9905"/>
    <w:rsid w:val="5ADAA381"/>
    <w:rsid w:val="5ADBFA96"/>
    <w:rsid w:val="5ADC587B"/>
    <w:rsid w:val="5ADC989E"/>
    <w:rsid w:val="5AE05A89"/>
    <w:rsid w:val="5AE06367"/>
    <w:rsid w:val="5AE09B6D"/>
    <w:rsid w:val="5AEC561D"/>
    <w:rsid w:val="5AEEDC10"/>
    <w:rsid w:val="5AEEED41"/>
    <w:rsid w:val="5AEF307B"/>
    <w:rsid w:val="5AF36F8D"/>
    <w:rsid w:val="5AF52C50"/>
    <w:rsid w:val="5AF6C862"/>
    <w:rsid w:val="5AF76143"/>
    <w:rsid w:val="5AF7E383"/>
    <w:rsid w:val="5AF858C1"/>
    <w:rsid w:val="5AFAC142"/>
    <w:rsid w:val="5AFBE7C1"/>
    <w:rsid w:val="5AFC9CF3"/>
    <w:rsid w:val="5AFEB294"/>
    <w:rsid w:val="5B017B50"/>
    <w:rsid w:val="5B038882"/>
    <w:rsid w:val="5B05E350"/>
    <w:rsid w:val="5B06E2D8"/>
    <w:rsid w:val="5B07D3CE"/>
    <w:rsid w:val="5B09A04F"/>
    <w:rsid w:val="5B0A6F80"/>
    <w:rsid w:val="5B0BA164"/>
    <w:rsid w:val="5B0C92D7"/>
    <w:rsid w:val="5B0D4F87"/>
    <w:rsid w:val="5B0E185E"/>
    <w:rsid w:val="5B1343F5"/>
    <w:rsid w:val="5B13D17C"/>
    <w:rsid w:val="5B15A3FF"/>
    <w:rsid w:val="5B19C379"/>
    <w:rsid w:val="5B1A6143"/>
    <w:rsid w:val="5B1B4F3C"/>
    <w:rsid w:val="5B1C8381"/>
    <w:rsid w:val="5B1D9230"/>
    <w:rsid w:val="5B1E0578"/>
    <w:rsid w:val="5B1EC031"/>
    <w:rsid w:val="5B1FEBF9"/>
    <w:rsid w:val="5B244BF5"/>
    <w:rsid w:val="5B2648CD"/>
    <w:rsid w:val="5B268F45"/>
    <w:rsid w:val="5B289866"/>
    <w:rsid w:val="5B2A3C5D"/>
    <w:rsid w:val="5B2A98CA"/>
    <w:rsid w:val="5B2AF82D"/>
    <w:rsid w:val="5B2CA1E0"/>
    <w:rsid w:val="5B2D0B11"/>
    <w:rsid w:val="5B2F8491"/>
    <w:rsid w:val="5B3020D6"/>
    <w:rsid w:val="5B34B9BF"/>
    <w:rsid w:val="5B35359F"/>
    <w:rsid w:val="5B374C8E"/>
    <w:rsid w:val="5B395C05"/>
    <w:rsid w:val="5B3B1B72"/>
    <w:rsid w:val="5B3EFAAD"/>
    <w:rsid w:val="5B41428A"/>
    <w:rsid w:val="5B42185B"/>
    <w:rsid w:val="5B428749"/>
    <w:rsid w:val="5B4665E8"/>
    <w:rsid w:val="5B49C86C"/>
    <w:rsid w:val="5B4A955F"/>
    <w:rsid w:val="5B4AD861"/>
    <w:rsid w:val="5B4D3BF3"/>
    <w:rsid w:val="5B4F11BF"/>
    <w:rsid w:val="5B4F4A23"/>
    <w:rsid w:val="5B51BA9C"/>
    <w:rsid w:val="5B51FC11"/>
    <w:rsid w:val="5B52A917"/>
    <w:rsid w:val="5B53FF00"/>
    <w:rsid w:val="5B547A83"/>
    <w:rsid w:val="5B55AD82"/>
    <w:rsid w:val="5B588291"/>
    <w:rsid w:val="5B59530E"/>
    <w:rsid w:val="5B5A94D1"/>
    <w:rsid w:val="5B5E1498"/>
    <w:rsid w:val="5B5E9B66"/>
    <w:rsid w:val="5B634C07"/>
    <w:rsid w:val="5B64FC1B"/>
    <w:rsid w:val="5B691649"/>
    <w:rsid w:val="5B6C7462"/>
    <w:rsid w:val="5B716989"/>
    <w:rsid w:val="5B789179"/>
    <w:rsid w:val="5B794A9C"/>
    <w:rsid w:val="5B7958C6"/>
    <w:rsid w:val="5B7A5E25"/>
    <w:rsid w:val="5B7DA9BC"/>
    <w:rsid w:val="5B7EE7C4"/>
    <w:rsid w:val="5B800708"/>
    <w:rsid w:val="5B8007D6"/>
    <w:rsid w:val="5B81F402"/>
    <w:rsid w:val="5B826C71"/>
    <w:rsid w:val="5B84F65E"/>
    <w:rsid w:val="5B888967"/>
    <w:rsid w:val="5B8E0C8C"/>
    <w:rsid w:val="5B8FE18A"/>
    <w:rsid w:val="5B96734F"/>
    <w:rsid w:val="5B991687"/>
    <w:rsid w:val="5B9929EC"/>
    <w:rsid w:val="5B99EE12"/>
    <w:rsid w:val="5B9BEE8E"/>
    <w:rsid w:val="5B9CA1E5"/>
    <w:rsid w:val="5B9EBECF"/>
    <w:rsid w:val="5BA02583"/>
    <w:rsid w:val="5BA15D90"/>
    <w:rsid w:val="5BA3B343"/>
    <w:rsid w:val="5BA6CA17"/>
    <w:rsid w:val="5BA93CFD"/>
    <w:rsid w:val="5BAA77A5"/>
    <w:rsid w:val="5BB1B139"/>
    <w:rsid w:val="5BB23713"/>
    <w:rsid w:val="5BB3AD59"/>
    <w:rsid w:val="5BB610DE"/>
    <w:rsid w:val="5BB6BE30"/>
    <w:rsid w:val="5BB77C68"/>
    <w:rsid w:val="5BB7DF58"/>
    <w:rsid w:val="5BB82502"/>
    <w:rsid w:val="5BB8AD97"/>
    <w:rsid w:val="5BB9B109"/>
    <w:rsid w:val="5BBD15D5"/>
    <w:rsid w:val="5BBEDC3A"/>
    <w:rsid w:val="5BC0E181"/>
    <w:rsid w:val="5BC1AB0A"/>
    <w:rsid w:val="5BC33E5E"/>
    <w:rsid w:val="5BC5593F"/>
    <w:rsid w:val="5BC63325"/>
    <w:rsid w:val="5BCE2FA7"/>
    <w:rsid w:val="5BCEE813"/>
    <w:rsid w:val="5BD4426C"/>
    <w:rsid w:val="5BD7061B"/>
    <w:rsid w:val="5BD73BB3"/>
    <w:rsid w:val="5BD7A436"/>
    <w:rsid w:val="5BD9F740"/>
    <w:rsid w:val="5BDA58AE"/>
    <w:rsid w:val="5BDE4A0C"/>
    <w:rsid w:val="5BDEC750"/>
    <w:rsid w:val="5BE296AA"/>
    <w:rsid w:val="5BE38D37"/>
    <w:rsid w:val="5BE45E1A"/>
    <w:rsid w:val="5BE54C5B"/>
    <w:rsid w:val="5BE9EC86"/>
    <w:rsid w:val="5BEA0706"/>
    <w:rsid w:val="5BEA51EF"/>
    <w:rsid w:val="5BEF3BCC"/>
    <w:rsid w:val="5BF0DD11"/>
    <w:rsid w:val="5BF109BC"/>
    <w:rsid w:val="5BF11AF2"/>
    <w:rsid w:val="5BF3EAEB"/>
    <w:rsid w:val="5BF9FB8D"/>
    <w:rsid w:val="5BFA0D99"/>
    <w:rsid w:val="5BFD3CBA"/>
    <w:rsid w:val="5BFDAE36"/>
    <w:rsid w:val="5C00E9D4"/>
    <w:rsid w:val="5C03CB29"/>
    <w:rsid w:val="5C03E78A"/>
    <w:rsid w:val="5C06DCF8"/>
    <w:rsid w:val="5C08F46B"/>
    <w:rsid w:val="5C0966F2"/>
    <w:rsid w:val="5C0B5CEA"/>
    <w:rsid w:val="5C0BF638"/>
    <w:rsid w:val="5C0C8B4F"/>
    <w:rsid w:val="5C0D455E"/>
    <w:rsid w:val="5C0F8CC0"/>
    <w:rsid w:val="5C11B93F"/>
    <w:rsid w:val="5C12ED1E"/>
    <w:rsid w:val="5C13FF27"/>
    <w:rsid w:val="5C1508CC"/>
    <w:rsid w:val="5C15329D"/>
    <w:rsid w:val="5C1AA104"/>
    <w:rsid w:val="5C1B6221"/>
    <w:rsid w:val="5C1C0179"/>
    <w:rsid w:val="5C1C6244"/>
    <w:rsid w:val="5C1D07E3"/>
    <w:rsid w:val="5C1D15E1"/>
    <w:rsid w:val="5C1F56B6"/>
    <w:rsid w:val="5C20D32A"/>
    <w:rsid w:val="5C211CEC"/>
    <w:rsid w:val="5C214585"/>
    <w:rsid w:val="5C232B70"/>
    <w:rsid w:val="5C25714F"/>
    <w:rsid w:val="5C25E547"/>
    <w:rsid w:val="5C2CA302"/>
    <w:rsid w:val="5C30F409"/>
    <w:rsid w:val="5C31E4A3"/>
    <w:rsid w:val="5C3266F2"/>
    <w:rsid w:val="5C388BAE"/>
    <w:rsid w:val="5C3D47DC"/>
    <w:rsid w:val="5C42745D"/>
    <w:rsid w:val="5C440F34"/>
    <w:rsid w:val="5C443FA4"/>
    <w:rsid w:val="5C451A11"/>
    <w:rsid w:val="5C4C0D21"/>
    <w:rsid w:val="5C4F5F97"/>
    <w:rsid w:val="5C4FCCA8"/>
    <w:rsid w:val="5C5327FD"/>
    <w:rsid w:val="5C5547F5"/>
    <w:rsid w:val="5C57269B"/>
    <w:rsid w:val="5C5B7E24"/>
    <w:rsid w:val="5C5F0801"/>
    <w:rsid w:val="5C5F156B"/>
    <w:rsid w:val="5C62EAAA"/>
    <w:rsid w:val="5C685A7C"/>
    <w:rsid w:val="5C6915E6"/>
    <w:rsid w:val="5C6AAD9D"/>
    <w:rsid w:val="5C6B5018"/>
    <w:rsid w:val="5C6C17DF"/>
    <w:rsid w:val="5C6D0FAB"/>
    <w:rsid w:val="5C72EBC4"/>
    <w:rsid w:val="5C733E57"/>
    <w:rsid w:val="5C76BC3F"/>
    <w:rsid w:val="5C7A3145"/>
    <w:rsid w:val="5C808641"/>
    <w:rsid w:val="5C853647"/>
    <w:rsid w:val="5C86C3B3"/>
    <w:rsid w:val="5C879B44"/>
    <w:rsid w:val="5C88E6D1"/>
    <w:rsid w:val="5C89197B"/>
    <w:rsid w:val="5C89361A"/>
    <w:rsid w:val="5C8B621E"/>
    <w:rsid w:val="5C8CB694"/>
    <w:rsid w:val="5C8F3087"/>
    <w:rsid w:val="5C8F3328"/>
    <w:rsid w:val="5C91B460"/>
    <w:rsid w:val="5C95FF2E"/>
    <w:rsid w:val="5C96EDAD"/>
    <w:rsid w:val="5C970597"/>
    <w:rsid w:val="5C98A1E1"/>
    <w:rsid w:val="5C9AB8B6"/>
    <w:rsid w:val="5C9C0900"/>
    <w:rsid w:val="5C9CA28E"/>
    <w:rsid w:val="5C9EC952"/>
    <w:rsid w:val="5C9EF940"/>
    <w:rsid w:val="5C9FC977"/>
    <w:rsid w:val="5CA19147"/>
    <w:rsid w:val="5CA3FA0B"/>
    <w:rsid w:val="5CA42263"/>
    <w:rsid w:val="5CA9806A"/>
    <w:rsid w:val="5CAA02D4"/>
    <w:rsid w:val="5CAB30E6"/>
    <w:rsid w:val="5CAB67B9"/>
    <w:rsid w:val="5CABC9E0"/>
    <w:rsid w:val="5CAE0A5C"/>
    <w:rsid w:val="5CAE3CFC"/>
    <w:rsid w:val="5CB0D979"/>
    <w:rsid w:val="5CB27193"/>
    <w:rsid w:val="5CB3B8B9"/>
    <w:rsid w:val="5CB7D728"/>
    <w:rsid w:val="5CBC2056"/>
    <w:rsid w:val="5CBE7295"/>
    <w:rsid w:val="5CBEB652"/>
    <w:rsid w:val="5CC03BD3"/>
    <w:rsid w:val="5CC07AEC"/>
    <w:rsid w:val="5CC0A677"/>
    <w:rsid w:val="5CC49989"/>
    <w:rsid w:val="5CC4E8E1"/>
    <w:rsid w:val="5CC5434E"/>
    <w:rsid w:val="5CC5B628"/>
    <w:rsid w:val="5CC65168"/>
    <w:rsid w:val="5CC84E42"/>
    <w:rsid w:val="5CCB7D56"/>
    <w:rsid w:val="5CCDD38F"/>
    <w:rsid w:val="5CCE0263"/>
    <w:rsid w:val="5CCE5C97"/>
    <w:rsid w:val="5CCEA22D"/>
    <w:rsid w:val="5CD22601"/>
    <w:rsid w:val="5CD2A1AF"/>
    <w:rsid w:val="5CD36366"/>
    <w:rsid w:val="5CD3E018"/>
    <w:rsid w:val="5CD43D66"/>
    <w:rsid w:val="5CD46172"/>
    <w:rsid w:val="5CD4CCBF"/>
    <w:rsid w:val="5CD54E9A"/>
    <w:rsid w:val="5CDA47AD"/>
    <w:rsid w:val="5CDA4DD9"/>
    <w:rsid w:val="5CDBF061"/>
    <w:rsid w:val="5CDCB31C"/>
    <w:rsid w:val="5CDD7D2E"/>
    <w:rsid w:val="5CE3AF7F"/>
    <w:rsid w:val="5CE70941"/>
    <w:rsid w:val="5CE7BC62"/>
    <w:rsid w:val="5CE8C03B"/>
    <w:rsid w:val="5CE8FE14"/>
    <w:rsid w:val="5CEAA1BD"/>
    <w:rsid w:val="5CED091B"/>
    <w:rsid w:val="5CF36830"/>
    <w:rsid w:val="5CF36BA2"/>
    <w:rsid w:val="5CF4E28A"/>
    <w:rsid w:val="5CF5B14A"/>
    <w:rsid w:val="5D01D17E"/>
    <w:rsid w:val="5D026EA3"/>
    <w:rsid w:val="5D03B71E"/>
    <w:rsid w:val="5D041D8B"/>
    <w:rsid w:val="5D052FFB"/>
    <w:rsid w:val="5D0624A3"/>
    <w:rsid w:val="5D0739A1"/>
    <w:rsid w:val="5D0BE4DC"/>
    <w:rsid w:val="5D0C3DFE"/>
    <w:rsid w:val="5D0CA191"/>
    <w:rsid w:val="5D0E2D78"/>
    <w:rsid w:val="5D10E95C"/>
    <w:rsid w:val="5D129DE3"/>
    <w:rsid w:val="5D1598FA"/>
    <w:rsid w:val="5D16CA92"/>
    <w:rsid w:val="5D184FEA"/>
    <w:rsid w:val="5D194CA8"/>
    <w:rsid w:val="5D1BA0CA"/>
    <w:rsid w:val="5D1D69CF"/>
    <w:rsid w:val="5D1F149D"/>
    <w:rsid w:val="5D1F74D7"/>
    <w:rsid w:val="5D269E63"/>
    <w:rsid w:val="5D27BFB7"/>
    <w:rsid w:val="5D2B9BB3"/>
    <w:rsid w:val="5D2D8E69"/>
    <w:rsid w:val="5D2E0DA1"/>
    <w:rsid w:val="5D3318FC"/>
    <w:rsid w:val="5D331A75"/>
    <w:rsid w:val="5D33DEDB"/>
    <w:rsid w:val="5D3C7FCC"/>
    <w:rsid w:val="5D3D7EFD"/>
    <w:rsid w:val="5D3E6020"/>
    <w:rsid w:val="5D416057"/>
    <w:rsid w:val="5D41B618"/>
    <w:rsid w:val="5D4292B7"/>
    <w:rsid w:val="5D498B43"/>
    <w:rsid w:val="5D4BC793"/>
    <w:rsid w:val="5D4C5D9E"/>
    <w:rsid w:val="5D4E02CD"/>
    <w:rsid w:val="5D4F343D"/>
    <w:rsid w:val="5D506007"/>
    <w:rsid w:val="5D51605F"/>
    <w:rsid w:val="5D527FEF"/>
    <w:rsid w:val="5D53D5C9"/>
    <w:rsid w:val="5D55F65F"/>
    <w:rsid w:val="5D5AE116"/>
    <w:rsid w:val="5D5B20AB"/>
    <w:rsid w:val="5D5C6729"/>
    <w:rsid w:val="5D5D698C"/>
    <w:rsid w:val="5D5F0EBF"/>
    <w:rsid w:val="5D5FFB45"/>
    <w:rsid w:val="5D6116CE"/>
    <w:rsid w:val="5D6A12DA"/>
    <w:rsid w:val="5D6A6118"/>
    <w:rsid w:val="5D6C47FF"/>
    <w:rsid w:val="5D6E9837"/>
    <w:rsid w:val="5D6EB050"/>
    <w:rsid w:val="5D72D689"/>
    <w:rsid w:val="5D732D8D"/>
    <w:rsid w:val="5D74551F"/>
    <w:rsid w:val="5D747BC8"/>
    <w:rsid w:val="5D7549F4"/>
    <w:rsid w:val="5D7819B8"/>
    <w:rsid w:val="5D7832A1"/>
    <w:rsid w:val="5D78B5CD"/>
    <w:rsid w:val="5D7BDECC"/>
    <w:rsid w:val="5D7E6FEA"/>
    <w:rsid w:val="5D7F165C"/>
    <w:rsid w:val="5D80185D"/>
    <w:rsid w:val="5D86C91D"/>
    <w:rsid w:val="5D86F7F5"/>
    <w:rsid w:val="5D883D4E"/>
    <w:rsid w:val="5D8A133B"/>
    <w:rsid w:val="5D8A95E7"/>
    <w:rsid w:val="5D8D7E3C"/>
    <w:rsid w:val="5D8DD29A"/>
    <w:rsid w:val="5D91CE9F"/>
    <w:rsid w:val="5D947D2D"/>
    <w:rsid w:val="5D9520AE"/>
    <w:rsid w:val="5D9C3E62"/>
    <w:rsid w:val="5D9FC2A2"/>
    <w:rsid w:val="5DA1B577"/>
    <w:rsid w:val="5DA2952B"/>
    <w:rsid w:val="5DA56715"/>
    <w:rsid w:val="5DA61D21"/>
    <w:rsid w:val="5DAA3AF6"/>
    <w:rsid w:val="5DAEFE02"/>
    <w:rsid w:val="5DB469CB"/>
    <w:rsid w:val="5DB5A3B3"/>
    <w:rsid w:val="5DB6D973"/>
    <w:rsid w:val="5DB70199"/>
    <w:rsid w:val="5DBC6511"/>
    <w:rsid w:val="5DBF7BB7"/>
    <w:rsid w:val="5DBFB585"/>
    <w:rsid w:val="5DBFC0B1"/>
    <w:rsid w:val="5DC00692"/>
    <w:rsid w:val="5DC15BD4"/>
    <w:rsid w:val="5DC312A4"/>
    <w:rsid w:val="5DC51CE5"/>
    <w:rsid w:val="5DCA0324"/>
    <w:rsid w:val="5DCB6C5B"/>
    <w:rsid w:val="5DCE47F0"/>
    <w:rsid w:val="5DCF9E19"/>
    <w:rsid w:val="5DD07FB2"/>
    <w:rsid w:val="5DD38E03"/>
    <w:rsid w:val="5DD4421D"/>
    <w:rsid w:val="5DD591F9"/>
    <w:rsid w:val="5DD74CD9"/>
    <w:rsid w:val="5DD83890"/>
    <w:rsid w:val="5DDB9F84"/>
    <w:rsid w:val="5DDBA863"/>
    <w:rsid w:val="5DDBFC36"/>
    <w:rsid w:val="5DE12789"/>
    <w:rsid w:val="5DE5A929"/>
    <w:rsid w:val="5DE9A072"/>
    <w:rsid w:val="5DED17A4"/>
    <w:rsid w:val="5DEDCF65"/>
    <w:rsid w:val="5DEDF793"/>
    <w:rsid w:val="5DF2E118"/>
    <w:rsid w:val="5DF77D2B"/>
    <w:rsid w:val="5DFD7EFD"/>
    <w:rsid w:val="5E015F4D"/>
    <w:rsid w:val="5E01F741"/>
    <w:rsid w:val="5E020A63"/>
    <w:rsid w:val="5E053DD8"/>
    <w:rsid w:val="5E08ACF2"/>
    <w:rsid w:val="5E09D61E"/>
    <w:rsid w:val="5E09E12C"/>
    <w:rsid w:val="5E0A3C99"/>
    <w:rsid w:val="5E0B8A4B"/>
    <w:rsid w:val="5E103F32"/>
    <w:rsid w:val="5E1098D1"/>
    <w:rsid w:val="5E1102CA"/>
    <w:rsid w:val="5E13C88D"/>
    <w:rsid w:val="5E144EB7"/>
    <w:rsid w:val="5E1651EE"/>
    <w:rsid w:val="5E17972F"/>
    <w:rsid w:val="5E1A3ED2"/>
    <w:rsid w:val="5E1E6C88"/>
    <w:rsid w:val="5E1F4538"/>
    <w:rsid w:val="5E2052F0"/>
    <w:rsid w:val="5E21FB7E"/>
    <w:rsid w:val="5E225C9B"/>
    <w:rsid w:val="5E2585C8"/>
    <w:rsid w:val="5E263D8D"/>
    <w:rsid w:val="5E27597C"/>
    <w:rsid w:val="5E2A2F82"/>
    <w:rsid w:val="5E2AFFA9"/>
    <w:rsid w:val="5E2F5570"/>
    <w:rsid w:val="5E300906"/>
    <w:rsid w:val="5E33AD52"/>
    <w:rsid w:val="5E33D30D"/>
    <w:rsid w:val="5E3450F2"/>
    <w:rsid w:val="5E37B20D"/>
    <w:rsid w:val="5E3A3E55"/>
    <w:rsid w:val="5E3C87A5"/>
    <w:rsid w:val="5E3DB564"/>
    <w:rsid w:val="5E3EE1A3"/>
    <w:rsid w:val="5E3F906B"/>
    <w:rsid w:val="5E44F361"/>
    <w:rsid w:val="5E491BF3"/>
    <w:rsid w:val="5E4BF19D"/>
    <w:rsid w:val="5E4C7344"/>
    <w:rsid w:val="5E4E1495"/>
    <w:rsid w:val="5E4E99FF"/>
    <w:rsid w:val="5E504AEB"/>
    <w:rsid w:val="5E520757"/>
    <w:rsid w:val="5E527564"/>
    <w:rsid w:val="5E527A3B"/>
    <w:rsid w:val="5E52B57E"/>
    <w:rsid w:val="5E53561C"/>
    <w:rsid w:val="5E5399CD"/>
    <w:rsid w:val="5E553247"/>
    <w:rsid w:val="5E55B959"/>
    <w:rsid w:val="5E586444"/>
    <w:rsid w:val="5E58E563"/>
    <w:rsid w:val="5E590C9A"/>
    <w:rsid w:val="5E5C73C6"/>
    <w:rsid w:val="5E5E36F8"/>
    <w:rsid w:val="5E5E7D60"/>
    <w:rsid w:val="5E5E9265"/>
    <w:rsid w:val="5E636757"/>
    <w:rsid w:val="5E6433C1"/>
    <w:rsid w:val="5E65533B"/>
    <w:rsid w:val="5E6B31B3"/>
    <w:rsid w:val="5E70BA54"/>
    <w:rsid w:val="5E7455BB"/>
    <w:rsid w:val="5E745821"/>
    <w:rsid w:val="5E74C87B"/>
    <w:rsid w:val="5E75B17D"/>
    <w:rsid w:val="5E776BD9"/>
    <w:rsid w:val="5E782629"/>
    <w:rsid w:val="5E790FDF"/>
    <w:rsid w:val="5E793393"/>
    <w:rsid w:val="5E796B6D"/>
    <w:rsid w:val="5E7A5AD0"/>
    <w:rsid w:val="5E7B0603"/>
    <w:rsid w:val="5E7C2CE4"/>
    <w:rsid w:val="5E7CB12B"/>
    <w:rsid w:val="5E7E9343"/>
    <w:rsid w:val="5E843A24"/>
    <w:rsid w:val="5E890CDF"/>
    <w:rsid w:val="5E89242C"/>
    <w:rsid w:val="5E8BAC64"/>
    <w:rsid w:val="5E8D92DD"/>
    <w:rsid w:val="5E8DB355"/>
    <w:rsid w:val="5E8DD252"/>
    <w:rsid w:val="5E8EF5B5"/>
    <w:rsid w:val="5E90C8A3"/>
    <w:rsid w:val="5E916992"/>
    <w:rsid w:val="5E91E9E1"/>
    <w:rsid w:val="5E93A9FB"/>
    <w:rsid w:val="5E93C61D"/>
    <w:rsid w:val="5E9991B4"/>
    <w:rsid w:val="5E9DB403"/>
    <w:rsid w:val="5EA0224E"/>
    <w:rsid w:val="5EA3D246"/>
    <w:rsid w:val="5EA491EE"/>
    <w:rsid w:val="5EA59A66"/>
    <w:rsid w:val="5EA67246"/>
    <w:rsid w:val="5EA757D2"/>
    <w:rsid w:val="5EA9D0C7"/>
    <w:rsid w:val="5EAD4458"/>
    <w:rsid w:val="5EAEDCD6"/>
    <w:rsid w:val="5EB591AD"/>
    <w:rsid w:val="5EB5A5EE"/>
    <w:rsid w:val="5EB6D79F"/>
    <w:rsid w:val="5EB6EAA6"/>
    <w:rsid w:val="5EB8D7E3"/>
    <w:rsid w:val="5EB961C8"/>
    <w:rsid w:val="5EBC352E"/>
    <w:rsid w:val="5EC116FA"/>
    <w:rsid w:val="5EC30DC6"/>
    <w:rsid w:val="5EC58F2A"/>
    <w:rsid w:val="5EC8279F"/>
    <w:rsid w:val="5EC83419"/>
    <w:rsid w:val="5EC8F000"/>
    <w:rsid w:val="5ECF2DF6"/>
    <w:rsid w:val="5ED3C0A9"/>
    <w:rsid w:val="5ED3D05E"/>
    <w:rsid w:val="5ED4C999"/>
    <w:rsid w:val="5ED5BF3D"/>
    <w:rsid w:val="5ED82DFA"/>
    <w:rsid w:val="5ED8F5F5"/>
    <w:rsid w:val="5EDBCCC1"/>
    <w:rsid w:val="5EDCB3B0"/>
    <w:rsid w:val="5EE02C16"/>
    <w:rsid w:val="5EE2049A"/>
    <w:rsid w:val="5EE33DE5"/>
    <w:rsid w:val="5EE81789"/>
    <w:rsid w:val="5EEBFB99"/>
    <w:rsid w:val="5EEC865B"/>
    <w:rsid w:val="5EECD5EA"/>
    <w:rsid w:val="5EF01904"/>
    <w:rsid w:val="5EF0322D"/>
    <w:rsid w:val="5EF2C8FD"/>
    <w:rsid w:val="5EF42A68"/>
    <w:rsid w:val="5EF496AA"/>
    <w:rsid w:val="5EF4DC27"/>
    <w:rsid w:val="5EF591B2"/>
    <w:rsid w:val="5EF76CA3"/>
    <w:rsid w:val="5EF904B5"/>
    <w:rsid w:val="5EF981D5"/>
    <w:rsid w:val="5EFA77F9"/>
    <w:rsid w:val="5F0005EC"/>
    <w:rsid w:val="5F00FA37"/>
    <w:rsid w:val="5F01F230"/>
    <w:rsid w:val="5F03B969"/>
    <w:rsid w:val="5F061E44"/>
    <w:rsid w:val="5F0705FE"/>
    <w:rsid w:val="5F08B7AB"/>
    <w:rsid w:val="5F08DA06"/>
    <w:rsid w:val="5F0AE67A"/>
    <w:rsid w:val="5F10C871"/>
    <w:rsid w:val="5F123D09"/>
    <w:rsid w:val="5F125D73"/>
    <w:rsid w:val="5F12A6CF"/>
    <w:rsid w:val="5F1316F9"/>
    <w:rsid w:val="5F1364EF"/>
    <w:rsid w:val="5F1393DA"/>
    <w:rsid w:val="5F166812"/>
    <w:rsid w:val="5F17EE4B"/>
    <w:rsid w:val="5F19F89B"/>
    <w:rsid w:val="5F1A9D41"/>
    <w:rsid w:val="5F1CAD88"/>
    <w:rsid w:val="5F1E8147"/>
    <w:rsid w:val="5F293942"/>
    <w:rsid w:val="5F2DA608"/>
    <w:rsid w:val="5F2F3D93"/>
    <w:rsid w:val="5F33CAB8"/>
    <w:rsid w:val="5F363CCC"/>
    <w:rsid w:val="5F36F5BD"/>
    <w:rsid w:val="5F37B8BD"/>
    <w:rsid w:val="5F3A1BCE"/>
    <w:rsid w:val="5F3B878C"/>
    <w:rsid w:val="5F3DF774"/>
    <w:rsid w:val="5F3ED0A6"/>
    <w:rsid w:val="5F3F84FB"/>
    <w:rsid w:val="5F417DCB"/>
    <w:rsid w:val="5F428E2F"/>
    <w:rsid w:val="5F43C66B"/>
    <w:rsid w:val="5F470BBB"/>
    <w:rsid w:val="5F49939A"/>
    <w:rsid w:val="5F4A4A7C"/>
    <w:rsid w:val="5F4AF3E7"/>
    <w:rsid w:val="5F4C243D"/>
    <w:rsid w:val="5F4C4F92"/>
    <w:rsid w:val="5F4F44E8"/>
    <w:rsid w:val="5F4F54F1"/>
    <w:rsid w:val="5F50C1BA"/>
    <w:rsid w:val="5F52AE91"/>
    <w:rsid w:val="5F52D85C"/>
    <w:rsid w:val="5F54CD62"/>
    <w:rsid w:val="5F55BBFA"/>
    <w:rsid w:val="5F57DCBF"/>
    <w:rsid w:val="5F580C22"/>
    <w:rsid w:val="5F5D90A7"/>
    <w:rsid w:val="5F5DCD16"/>
    <w:rsid w:val="5F5E2292"/>
    <w:rsid w:val="5F601EF8"/>
    <w:rsid w:val="5F607BA8"/>
    <w:rsid w:val="5F612BC4"/>
    <w:rsid w:val="5F6178E7"/>
    <w:rsid w:val="5F65B39E"/>
    <w:rsid w:val="5F65BAC7"/>
    <w:rsid w:val="5F68BCAA"/>
    <w:rsid w:val="5F6B48C9"/>
    <w:rsid w:val="5F6C0EBE"/>
    <w:rsid w:val="5F6C4EF7"/>
    <w:rsid w:val="5F6C8CBD"/>
    <w:rsid w:val="5F6D1875"/>
    <w:rsid w:val="5F6D639C"/>
    <w:rsid w:val="5F6DE4AD"/>
    <w:rsid w:val="5F6E524C"/>
    <w:rsid w:val="5F724603"/>
    <w:rsid w:val="5F745A89"/>
    <w:rsid w:val="5F74D7AA"/>
    <w:rsid w:val="5F7C2C37"/>
    <w:rsid w:val="5F824467"/>
    <w:rsid w:val="5F826012"/>
    <w:rsid w:val="5F84F246"/>
    <w:rsid w:val="5F88F83D"/>
    <w:rsid w:val="5F8E3021"/>
    <w:rsid w:val="5F8FA9BA"/>
    <w:rsid w:val="5F91D641"/>
    <w:rsid w:val="5F929FD6"/>
    <w:rsid w:val="5F92B242"/>
    <w:rsid w:val="5F93071E"/>
    <w:rsid w:val="5F94337C"/>
    <w:rsid w:val="5F94C516"/>
    <w:rsid w:val="5F964452"/>
    <w:rsid w:val="5F96A8C3"/>
    <w:rsid w:val="5F9A8C58"/>
    <w:rsid w:val="5F9AA130"/>
    <w:rsid w:val="5FA117A4"/>
    <w:rsid w:val="5FA207EF"/>
    <w:rsid w:val="5FA2897F"/>
    <w:rsid w:val="5FA2A73A"/>
    <w:rsid w:val="5FA30786"/>
    <w:rsid w:val="5FA39D73"/>
    <w:rsid w:val="5FA3ED3C"/>
    <w:rsid w:val="5FA6CD7D"/>
    <w:rsid w:val="5FA728A1"/>
    <w:rsid w:val="5FA7CE6A"/>
    <w:rsid w:val="5FA95498"/>
    <w:rsid w:val="5FAD0F75"/>
    <w:rsid w:val="5FAD5BEF"/>
    <w:rsid w:val="5FAED750"/>
    <w:rsid w:val="5FAF2EDC"/>
    <w:rsid w:val="5FAF6953"/>
    <w:rsid w:val="5FB31DA2"/>
    <w:rsid w:val="5FB3C939"/>
    <w:rsid w:val="5FB53F95"/>
    <w:rsid w:val="5FB6488C"/>
    <w:rsid w:val="5FB78EC9"/>
    <w:rsid w:val="5FB928E7"/>
    <w:rsid w:val="5FBD3DDD"/>
    <w:rsid w:val="5FBE34FA"/>
    <w:rsid w:val="5FC2DCB7"/>
    <w:rsid w:val="5FC33D9B"/>
    <w:rsid w:val="5FC3DD0D"/>
    <w:rsid w:val="5FC4A3C9"/>
    <w:rsid w:val="5FC4ACBA"/>
    <w:rsid w:val="5FC52505"/>
    <w:rsid w:val="5FC9727E"/>
    <w:rsid w:val="5FC9D10C"/>
    <w:rsid w:val="5FCA7370"/>
    <w:rsid w:val="5FCDC51D"/>
    <w:rsid w:val="5FCED412"/>
    <w:rsid w:val="5FD2DFA9"/>
    <w:rsid w:val="5FD3DE69"/>
    <w:rsid w:val="5FD57174"/>
    <w:rsid w:val="5FD835A5"/>
    <w:rsid w:val="5FDDFD54"/>
    <w:rsid w:val="5FE0BFFE"/>
    <w:rsid w:val="5FE0C967"/>
    <w:rsid w:val="5FE1B842"/>
    <w:rsid w:val="5FE2223A"/>
    <w:rsid w:val="5FE38A41"/>
    <w:rsid w:val="5FE5B5FF"/>
    <w:rsid w:val="5FE61B15"/>
    <w:rsid w:val="5FECD90E"/>
    <w:rsid w:val="5FED1DBE"/>
    <w:rsid w:val="5FEEC977"/>
    <w:rsid w:val="5FF092D4"/>
    <w:rsid w:val="5FF196CC"/>
    <w:rsid w:val="5FF285EE"/>
    <w:rsid w:val="5FF2D803"/>
    <w:rsid w:val="5FF69EAF"/>
    <w:rsid w:val="5FF8105A"/>
    <w:rsid w:val="5FF8C3D6"/>
    <w:rsid w:val="5FFFBC49"/>
    <w:rsid w:val="60004627"/>
    <w:rsid w:val="600260DB"/>
    <w:rsid w:val="6002A321"/>
    <w:rsid w:val="60031E7F"/>
    <w:rsid w:val="60068925"/>
    <w:rsid w:val="600A7138"/>
    <w:rsid w:val="600AF03F"/>
    <w:rsid w:val="600BE2F6"/>
    <w:rsid w:val="600D6BD2"/>
    <w:rsid w:val="600F4169"/>
    <w:rsid w:val="600FF2FB"/>
    <w:rsid w:val="60101A12"/>
    <w:rsid w:val="60118ACD"/>
    <w:rsid w:val="6013A33C"/>
    <w:rsid w:val="601703E5"/>
    <w:rsid w:val="601725EC"/>
    <w:rsid w:val="601AA551"/>
    <w:rsid w:val="601B18DB"/>
    <w:rsid w:val="601C7D98"/>
    <w:rsid w:val="601E6FA5"/>
    <w:rsid w:val="601EE887"/>
    <w:rsid w:val="60200816"/>
    <w:rsid w:val="60205F4E"/>
    <w:rsid w:val="6021697B"/>
    <w:rsid w:val="60251CB6"/>
    <w:rsid w:val="602745E3"/>
    <w:rsid w:val="602B0FE1"/>
    <w:rsid w:val="602BCE7A"/>
    <w:rsid w:val="602BD8DF"/>
    <w:rsid w:val="6030233B"/>
    <w:rsid w:val="6030B56E"/>
    <w:rsid w:val="603260F6"/>
    <w:rsid w:val="60343990"/>
    <w:rsid w:val="603505BA"/>
    <w:rsid w:val="603526EC"/>
    <w:rsid w:val="60380A4A"/>
    <w:rsid w:val="6039FB3D"/>
    <w:rsid w:val="603A0D07"/>
    <w:rsid w:val="603E5F40"/>
    <w:rsid w:val="603FDCC2"/>
    <w:rsid w:val="6044B4CC"/>
    <w:rsid w:val="6045FD2F"/>
    <w:rsid w:val="60464BF8"/>
    <w:rsid w:val="604775E2"/>
    <w:rsid w:val="604CA399"/>
    <w:rsid w:val="604D0BD4"/>
    <w:rsid w:val="604EB536"/>
    <w:rsid w:val="604FC1DA"/>
    <w:rsid w:val="6051287F"/>
    <w:rsid w:val="60517A07"/>
    <w:rsid w:val="6052176E"/>
    <w:rsid w:val="60534EF4"/>
    <w:rsid w:val="6053BA03"/>
    <w:rsid w:val="60540914"/>
    <w:rsid w:val="6054B07F"/>
    <w:rsid w:val="6055D020"/>
    <w:rsid w:val="60577611"/>
    <w:rsid w:val="605A98BF"/>
    <w:rsid w:val="605D29A1"/>
    <w:rsid w:val="60601C1E"/>
    <w:rsid w:val="606176C5"/>
    <w:rsid w:val="6063033D"/>
    <w:rsid w:val="6063B9A6"/>
    <w:rsid w:val="60648273"/>
    <w:rsid w:val="606742EB"/>
    <w:rsid w:val="606AC22C"/>
    <w:rsid w:val="606C8F1F"/>
    <w:rsid w:val="606CA357"/>
    <w:rsid w:val="606F21D9"/>
    <w:rsid w:val="606F6F7F"/>
    <w:rsid w:val="606F8488"/>
    <w:rsid w:val="6070C542"/>
    <w:rsid w:val="60714EFF"/>
    <w:rsid w:val="6073093A"/>
    <w:rsid w:val="60739117"/>
    <w:rsid w:val="6074C78D"/>
    <w:rsid w:val="6075E0C6"/>
    <w:rsid w:val="60769F92"/>
    <w:rsid w:val="607732C8"/>
    <w:rsid w:val="60774525"/>
    <w:rsid w:val="607C2DE5"/>
    <w:rsid w:val="607D2F33"/>
    <w:rsid w:val="6083F57A"/>
    <w:rsid w:val="6085CDBD"/>
    <w:rsid w:val="60864978"/>
    <w:rsid w:val="60867F6D"/>
    <w:rsid w:val="6087F334"/>
    <w:rsid w:val="60899AA3"/>
    <w:rsid w:val="608A35AA"/>
    <w:rsid w:val="608A978A"/>
    <w:rsid w:val="608BBA60"/>
    <w:rsid w:val="608C2EE4"/>
    <w:rsid w:val="608EA1D1"/>
    <w:rsid w:val="609133C0"/>
    <w:rsid w:val="60946478"/>
    <w:rsid w:val="609872EE"/>
    <w:rsid w:val="6098C586"/>
    <w:rsid w:val="609B059F"/>
    <w:rsid w:val="609D63BD"/>
    <w:rsid w:val="609E5E13"/>
    <w:rsid w:val="609E9546"/>
    <w:rsid w:val="609EAF3A"/>
    <w:rsid w:val="60A0F786"/>
    <w:rsid w:val="60A236ED"/>
    <w:rsid w:val="60A30063"/>
    <w:rsid w:val="60A64119"/>
    <w:rsid w:val="60A87AF4"/>
    <w:rsid w:val="60A9E363"/>
    <w:rsid w:val="60AD7CFE"/>
    <w:rsid w:val="60AE1BFA"/>
    <w:rsid w:val="60AF990E"/>
    <w:rsid w:val="60AFC6A9"/>
    <w:rsid w:val="60B2D914"/>
    <w:rsid w:val="60B2F5E8"/>
    <w:rsid w:val="60B6BB73"/>
    <w:rsid w:val="60BA0507"/>
    <w:rsid w:val="60BD8C78"/>
    <w:rsid w:val="60BDF4A2"/>
    <w:rsid w:val="60C095A5"/>
    <w:rsid w:val="60C1F1D8"/>
    <w:rsid w:val="60C23141"/>
    <w:rsid w:val="60C43A2D"/>
    <w:rsid w:val="60C4AF19"/>
    <w:rsid w:val="60C66CF6"/>
    <w:rsid w:val="60C71D5B"/>
    <w:rsid w:val="60C788FB"/>
    <w:rsid w:val="60C9ABDB"/>
    <w:rsid w:val="60CEEB69"/>
    <w:rsid w:val="60CF9804"/>
    <w:rsid w:val="60D0D52D"/>
    <w:rsid w:val="60D1493B"/>
    <w:rsid w:val="60D8B80B"/>
    <w:rsid w:val="60D97635"/>
    <w:rsid w:val="60D9E86B"/>
    <w:rsid w:val="60DB0A81"/>
    <w:rsid w:val="60E4412F"/>
    <w:rsid w:val="60E8027B"/>
    <w:rsid w:val="60E83BFA"/>
    <w:rsid w:val="60E84276"/>
    <w:rsid w:val="60E8BD46"/>
    <w:rsid w:val="60E933B4"/>
    <w:rsid w:val="60E9AFB0"/>
    <w:rsid w:val="60ED5B27"/>
    <w:rsid w:val="60F09BAF"/>
    <w:rsid w:val="60F0AF8D"/>
    <w:rsid w:val="60F61BEA"/>
    <w:rsid w:val="60F665F2"/>
    <w:rsid w:val="60F7A256"/>
    <w:rsid w:val="60F7C76C"/>
    <w:rsid w:val="60F83C01"/>
    <w:rsid w:val="60F875E2"/>
    <w:rsid w:val="60F8C620"/>
    <w:rsid w:val="60F8CACF"/>
    <w:rsid w:val="60F92B62"/>
    <w:rsid w:val="60FA4215"/>
    <w:rsid w:val="60FA9CA2"/>
    <w:rsid w:val="60FAF173"/>
    <w:rsid w:val="60FEE46A"/>
    <w:rsid w:val="610673B6"/>
    <w:rsid w:val="61069652"/>
    <w:rsid w:val="61097DC0"/>
    <w:rsid w:val="610B7E65"/>
    <w:rsid w:val="610C6FDC"/>
    <w:rsid w:val="610F7C4F"/>
    <w:rsid w:val="6110A5F5"/>
    <w:rsid w:val="61120682"/>
    <w:rsid w:val="6112A686"/>
    <w:rsid w:val="61152B2F"/>
    <w:rsid w:val="61153DCF"/>
    <w:rsid w:val="6116D3A2"/>
    <w:rsid w:val="61197AC3"/>
    <w:rsid w:val="611B28CA"/>
    <w:rsid w:val="611C3339"/>
    <w:rsid w:val="611CAABD"/>
    <w:rsid w:val="611D3370"/>
    <w:rsid w:val="61247284"/>
    <w:rsid w:val="61288BB3"/>
    <w:rsid w:val="612D366F"/>
    <w:rsid w:val="612E204F"/>
    <w:rsid w:val="61307BA8"/>
    <w:rsid w:val="61327924"/>
    <w:rsid w:val="61355261"/>
    <w:rsid w:val="61365251"/>
    <w:rsid w:val="613727D3"/>
    <w:rsid w:val="613822CB"/>
    <w:rsid w:val="6138C83E"/>
    <w:rsid w:val="6139A6CB"/>
    <w:rsid w:val="613AD791"/>
    <w:rsid w:val="613B1C64"/>
    <w:rsid w:val="61424B32"/>
    <w:rsid w:val="6142B820"/>
    <w:rsid w:val="6144918E"/>
    <w:rsid w:val="614617E9"/>
    <w:rsid w:val="6146230B"/>
    <w:rsid w:val="614727AD"/>
    <w:rsid w:val="61496F7F"/>
    <w:rsid w:val="6150F857"/>
    <w:rsid w:val="61510378"/>
    <w:rsid w:val="6154408A"/>
    <w:rsid w:val="615461DD"/>
    <w:rsid w:val="6156E749"/>
    <w:rsid w:val="61571628"/>
    <w:rsid w:val="61593C81"/>
    <w:rsid w:val="61596D5D"/>
    <w:rsid w:val="615CBCDE"/>
    <w:rsid w:val="615EAC4E"/>
    <w:rsid w:val="615F3DBD"/>
    <w:rsid w:val="6160397A"/>
    <w:rsid w:val="6161C5BC"/>
    <w:rsid w:val="6161D392"/>
    <w:rsid w:val="6162E6A1"/>
    <w:rsid w:val="6163CEDB"/>
    <w:rsid w:val="6164748E"/>
    <w:rsid w:val="6166A8DE"/>
    <w:rsid w:val="6168E8F5"/>
    <w:rsid w:val="616CE275"/>
    <w:rsid w:val="616FEF34"/>
    <w:rsid w:val="6170F9AB"/>
    <w:rsid w:val="61710FA5"/>
    <w:rsid w:val="61711DA4"/>
    <w:rsid w:val="61721BAB"/>
    <w:rsid w:val="617591DB"/>
    <w:rsid w:val="61759558"/>
    <w:rsid w:val="6176C9B9"/>
    <w:rsid w:val="617984CC"/>
    <w:rsid w:val="617A99CD"/>
    <w:rsid w:val="617EF923"/>
    <w:rsid w:val="617FF790"/>
    <w:rsid w:val="6181DF60"/>
    <w:rsid w:val="6188BF9E"/>
    <w:rsid w:val="618B0A40"/>
    <w:rsid w:val="618B1A7A"/>
    <w:rsid w:val="618B7F1A"/>
    <w:rsid w:val="618C77F8"/>
    <w:rsid w:val="618CD18E"/>
    <w:rsid w:val="618EC963"/>
    <w:rsid w:val="619128D1"/>
    <w:rsid w:val="61940EBD"/>
    <w:rsid w:val="6197021C"/>
    <w:rsid w:val="619E1BAB"/>
    <w:rsid w:val="61A2063F"/>
    <w:rsid w:val="61A8A301"/>
    <w:rsid w:val="61A8D408"/>
    <w:rsid w:val="61A9FC42"/>
    <w:rsid w:val="61AAD868"/>
    <w:rsid w:val="61AC9432"/>
    <w:rsid w:val="61AE4620"/>
    <w:rsid w:val="61AE6EE7"/>
    <w:rsid w:val="61AFD92B"/>
    <w:rsid w:val="61B1330E"/>
    <w:rsid w:val="61B14B0C"/>
    <w:rsid w:val="61B1F80B"/>
    <w:rsid w:val="61B2C9DD"/>
    <w:rsid w:val="61B2D446"/>
    <w:rsid w:val="61B39AA1"/>
    <w:rsid w:val="61B5F826"/>
    <w:rsid w:val="61B7006B"/>
    <w:rsid w:val="61B9F334"/>
    <w:rsid w:val="61BBEE70"/>
    <w:rsid w:val="61BFFA4F"/>
    <w:rsid w:val="61C54D11"/>
    <w:rsid w:val="61C5D25A"/>
    <w:rsid w:val="61C66E85"/>
    <w:rsid w:val="61C6ED6A"/>
    <w:rsid w:val="61C87519"/>
    <w:rsid w:val="61CAF51B"/>
    <w:rsid w:val="61CBEE19"/>
    <w:rsid w:val="61CC6715"/>
    <w:rsid w:val="61CD2EFA"/>
    <w:rsid w:val="61CE8A78"/>
    <w:rsid w:val="61CEF955"/>
    <w:rsid w:val="61D22B05"/>
    <w:rsid w:val="61D35BDB"/>
    <w:rsid w:val="61D50D86"/>
    <w:rsid w:val="61D78F94"/>
    <w:rsid w:val="61D8DCA7"/>
    <w:rsid w:val="61DF95FB"/>
    <w:rsid w:val="61E3521C"/>
    <w:rsid w:val="61E3CE4A"/>
    <w:rsid w:val="61E62D35"/>
    <w:rsid w:val="61E6374B"/>
    <w:rsid w:val="61E76850"/>
    <w:rsid w:val="61EA0086"/>
    <w:rsid w:val="61EDBB3A"/>
    <w:rsid w:val="61EDD6B1"/>
    <w:rsid w:val="61EF0B12"/>
    <w:rsid w:val="61F22D74"/>
    <w:rsid w:val="61F328F1"/>
    <w:rsid w:val="61F34FBA"/>
    <w:rsid w:val="61F43748"/>
    <w:rsid w:val="61F50A6E"/>
    <w:rsid w:val="61F51D94"/>
    <w:rsid w:val="61F57D76"/>
    <w:rsid w:val="61F7A943"/>
    <w:rsid w:val="61F7D29D"/>
    <w:rsid w:val="61F8661D"/>
    <w:rsid w:val="61F8BC43"/>
    <w:rsid w:val="61FA2D3B"/>
    <w:rsid w:val="62027CC7"/>
    <w:rsid w:val="620CE808"/>
    <w:rsid w:val="620D36D7"/>
    <w:rsid w:val="620DCB0F"/>
    <w:rsid w:val="620E59EE"/>
    <w:rsid w:val="620EBAAD"/>
    <w:rsid w:val="62120556"/>
    <w:rsid w:val="62135806"/>
    <w:rsid w:val="6214A182"/>
    <w:rsid w:val="621512B2"/>
    <w:rsid w:val="62172FE8"/>
    <w:rsid w:val="621794B1"/>
    <w:rsid w:val="621FA9F8"/>
    <w:rsid w:val="62208249"/>
    <w:rsid w:val="6220DB25"/>
    <w:rsid w:val="622134D4"/>
    <w:rsid w:val="6226BDE7"/>
    <w:rsid w:val="6228A877"/>
    <w:rsid w:val="62298AF7"/>
    <w:rsid w:val="6229D6BC"/>
    <w:rsid w:val="622B28C7"/>
    <w:rsid w:val="622CF0F1"/>
    <w:rsid w:val="623633D5"/>
    <w:rsid w:val="62372035"/>
    <w:rsid w:val="623B2D4F"/>
    <w:rsid w:val="623CD0A3"/>
    <w:rsid w:val="623CF5EA"/>
    <w:rsid w:val="624032DC"/>
    <w:rsid w:val="6240790F"/>
    <w:rsid w:val="62416963"/>
    <w:rsid w:val="6242967E"/>
    <w:rsid w:val="6242EC0F"/>
    <w:rsid w:val="62436EA4"/>
    <w:rsid w:val="62444DCE"/>
    <w:rsid w:val="62453D39"/>
    <w:rsid w:val="6246AD57"/>
    <w:rsid w:val="624A1C1B"/>
    <w:rsid w:val="624AECB4"/>
    <w:rsid w:val="624B47BE"/>
    <w:rsid w:val="624B794E"/>
    <w:rsid w:val="624B98C5"/>
    <w:rsid w:val="624D3485"/>
    <w:rsid w:val="6250C81D"/>
    <w:rsid w:val="62523EF6"/>
    <w:rsid w:val="6256515A"/>
    <w:rsid w:val="6256E53C"/>
    <w:rsid w:val="625767EE"/>
    <w:rsid w:val="62598072"/>
    <w:rsid w:val="625B782C"/>
    <w:rsid w:val="625E76BC"/>
    <w:rsid w:val="625F899B"/>
    <w:rsid w:val="62619F65"/>
    <w:rsid w:val="6263ECEE"/>
    <w:rsid w:val="626474EE"/>
    <w:rsid w:val="6264F969"/>
    <w:rsid w:val="626536E4"/>
    <w:rsid w:val="626572DF"/>
    <w:rsid w:val="6266BEF6"/>
    <w:rsid w:val="6267F243"/>
    <w:rsid w:val="62693AEF"/>
    <w:rsid w:val="626A2FD6"/>
    <w:rsid w:val="626A3612"/>
    <w:rsid w:val="626E32A0"/>
    <w:rsid w:val="627387AB"/>
    <w:rsid w:val="62744A6F"/>
    <w:rsid w:val="6276341F"/>
    <w:rsid w:val="6277DFB9"/>
    <w:rsid w:val="6278B6C8"/>
    <w:rsid w:val="6278BF8E"/>
    <w:rsid w:val="62790FEC"/>
    <w:rsid w:val="627B3612"/>
    <w:rsid w:val="627E1FFE"/>
    <w:rsid w:val="627F5927"/>
    <w:rsid w:val="627FD78F"/>
    <w:rsid w:val="627FF87F"/>
    <w:rsid w:val="62830D45"/>
    <w:rsid w:val="6285940B"/>
    <w:rsid w:val="62864D60"/>
    <w:rsid w:val="628897D5"/>
    <w:rsid w:val="62896CD6"/>
    <w:rsid w:val="628B29F8"/>
    <w:rsid w:val="628BC402"/>
    <w:rsid w:val="628F279F"/>
    <w:rsid w:val="62903DE5"/>
    <w:rsid w:val="6291AEA4"/>
    <w:rsid w:val="62935293"/>
    <w:rsid w:val="629418E5"/>
    <w:rsid w:val="629674E1"/>
    <w:rsid w:val="62982DD0"/>
    <w:rsid w:val="6299F00B"/>
    <w:rsid w:val="629F1429"/>
    <w:rsid w:val="629F4E42"/>
    <w:rsid w:val="62A10A83"/>
    <w:rsid w:val="62A1568C"/>
    <w:rsid w:val="62A5830E"/>
    <w:rsid w:val="62A7F0DF"/>
    <w:rsid w:val="62A890BB"/>
    <w:rsid w:val="62AA3B27"/>
    <w:rsid w:val="62AA84BA"/>
    <w:rsid w:val="62AAA9A7"/>
    <w:rsid w:val="62ACBAE8"/>
    <w:rsid w:val="62ADF35A"/>
    <w:rsid w:val="62AEA71F"/>
    <w:rsid w:val="62AED85B"/>
    <w:rsid w:val="62AF9E12"/>
    <w:rsid w:val="62B0C787"/>
    <w:rsid w:val="62B1C219"/>
    <w:rsid w:val="62B7FEDD"/>
    <w:rsid w:val="62BA9AF8"/>
    <w:rsid w:val="62BAA676"/>
    <w:rsid w:val="62BEF58F"/>
    <w:rsid w:val="62C27E82"/>
    <w:rsid w:val="62C2D363"/>
    <w:rsid w:val="62C4BE8E"/>
    <w:rsid w:val="62C4D771"/>
    <w:rsid w:val="62CBA762"/>
    <w:rsid w:val="62CE5C48"/>
    <w:rsid w:val="62CEF495"/>
    <w:rsid w:val="62D07097"/>
    <w:rsid w:val="62D1D25F"/>
    <w:rsid w:val="62D43EF4"/>
    <w:rsid w:val="62D59FBA"/>
    <w:rsid w:val="62D6370B"/>
    <w:rsid w:val="62D8C277"/>
    <w:rsid w:val="62D946A3"/>
    <w:rsid w:val="62DA00D7"/>
    <w:rsid w:val="62DA8293"/>
    <w:rsid w:val="62DB309E"/>
    <w:rsid w:val="62DB45D9"/>
    <w:rsid w:val="62E11A95"/>
    <w:rsid w:val="62E1640C"/>
    <w:rsid w:val="62E17293"/>
    <w:rsid w:val="62E1A1D6"/>
    <w:rsid w:val="62E665F2"/>
    <w:rsid w:val="62E85B9A"/>
    <w:rsid w:val="62EBAF3C"/>
    <w:rsid w:val="62EEB200"/>
    <w:rsid w:val="62EF0BE0"/>
    <w:rsid w:val="62F42036"/>
    <w:rsid w:val="62F7952A"/>
    <w:rsid w:val="62F86530"/>
    <w:rsid w:val="62FBAE55"/>
    <w:rsid w:val="62FE2740"/>
    <w:rsid w:val="62FE477A"/>
    <w:rsid w:val="62FF0061"/>
    <w:rsid w:val="630030A7"/>
    <w:rsid w:val="6301316F"/>
    <w:rsid w:val="630439AE"/>
    <w:rsid w:val="6304D29A"/>
    <w:rsid w:val="63055DE9"/>
    <w:rsid w:val="63060352"/>
    <w:rsid w:val="63063C45"/>
    <w:rsid w:val="6306B607"/>
    <w:rsid w:val="630855A8"/>
    <w:rsid w:val="630D4E0F"/>
    <w:rsid w:val="630D867E"/>
    <w:rsid w:val="630DDF01"/>
    <w:rsid w:val="630EA032"/>
    <w:rsid w:val="63123641"/>
    <w:rsid w:val="631244BC"/>
    <w:rsid w:val="6313917D"/>
    <w:rsid w:val="63153D77"/>
    <w:rsid w:val="63157FB6"/>
    <w:rsid w:val="631770C3"/>
    <w:rsid w:val="631AC39C"/>
    <w:rsid w:val="631FEE65"/>
    <w:rsid w:val="6324AE44"/>
    <w:rsid w:val="6324B206"/>
    <w:rsid w:val="6326CF74"/>
    <w:rsid w:val="632C9079"/>
    <w:rsid w:val="632FBE29"/>
    <w:rsid w:val="63302C52"/>
    <w:rsid w:val="6333A937"/>
    <w:rsid w:val="63379CA5"/>
    <w:rsid w:val="63389817"/>
    <w:rsid w:val="63395D0D"/>
    <w:rsid w:val="633AEFB0"/>
    <w:rsid w:val="633B2E0F"/>
    <w:rsid w:val="633EA651"/>
    <w:rsid w:val="633F397D"/>
    <w:rsid w:val="63412655"/>
    <w:rsid w:val="634257CF"/>
    <w:rsid w:val="6342AB04"/>
    <w:rsid w:val="63438C75"/>
    <w:rsid w:val="634518F8"/>
    <w:rsid w:val="6345A400"/>
    <w:rsid w:val="63466760"/>
    <w:rsid w:val="6348A35E"/>
    <w:rsid w:val="634C003E"/>
    <w:rsid w:val="634D3AE3"/>
    <w:rsid w:val="634F3334"/>
    <w:rsid w:val="635069C4"/>
    <w:rsid w:val="6350A4A0"/>
    <w:rsid w:val="6353836D"/>
    <w:rsid w:val="635406C4"/>
    <w:rsid w:val="6354AD5B"/>
    <w:rsid w:val="6355E326"/>
    <w:rsid w:val="635A476A"/>
    <w:rsid w:val="635AB1D9"/>
    <w:rsid w:val="635B42B2"/>
    <w:rsid w:val="635FE7A7"/>
    <w:rsid w:val="6360A442"/>
    <w:rsid w:val="6360C29B"/>
    <w:rsid w:val="6360DA5B"/>
    <w:rsid w:val="6360E24A"/>
    <w:rsid w:val="6362A5D8"/>
    <w:rsid w:val="636497FC"/>
    <w:rsid w:val="6365336F"/>
    <w:rsid w:val="63674D4B"/>
    <w:rsid w:val="6368C875"/>
    <w:rsid w:val="6368D270"/>
    <w:rsid w:val="636A4869"/>
    <w:rsid w:val="636AE1F2"/>
    <w:rsid w:val="636D74AE"/>
    <w:rsid w:val="636DF4ED"/>
    <w:rsid w:val="636F38A0"/>
    <w:rsid w:val="63718471"/>
    <w:rsid w:val="6372B611"/>
    <w:rsid w:val="6372E77D"/>
    <w:rsid w:val="637399A5"/>
    <w:rsid w:val="6373F2A6"/>
    <w:rsid w:val="63744A5A"/>
    <w:rsid w:val="63792B0B"/>
    <w:rsid w:val="6379B5E3"/>
    <w:rsid w:val="6379FD56"/>
    <w:rsid w:val="637A3529"/>
    <w:rsid w:val="637B026C"/>
    <w:rsid w:val="63802B02"/>
    <w:rsid w:val="63812893"/>
    <w:rsid w:val="6381BF9B"/>
    <w:rsid w:val="6387970E"/>
    <w:rsid w:val="6388682A"/>
    <w:rsid w:val="638A1480"/>
    <w:rsid w:val="638AF59E"/>
    <w:rsid w:val="638B8E01"/>
    <w:rsid w:val="638DEE6C"/>
    <w:rsid w:val="638EB183"/>
    <w:rsid w:val="638F9500"/>
    <w:rsid w:val="6390B843"/>
    <w:rsid w:val="6393406E"/>
    <w:rsid w:val="6394CE90"/>
    <w:rsid w:val="639838C2"/>
    <w:rsid w:val="639892F1"/>
    <w:rsid w:val="63999F35"/>
    <w:rsid w:val="6399A2E2"/>
    <w:rsid w:val="639A4DA9"/>
    <w:rsid w:val="639AE50D"/>
    <w:rsid w:val="639B5A68"/>
    <w:rsid w:val="639B8A21"/>
    <w:rsid w:val="639CD500"/>
    <w:rsid w:val="639EDE63"/>
    <w:rsid w:val="63A0FE4A"/>
    <w:rsid w:val="63A39955"/>
    <w:rsid w:val="63A3D7D1"/>
    <w:rsid w:val="63A4FF89"/>
    <w:rsid w:val="63A6195C"/>
    <w:rsid w:val="63A8573C"/>
    <w:rsid w:val="63AAACE2"/>
    <w:rsid w:val="63AAE3F0"/>
    <w:rsid w:val="63AE008C"/>
    <w:rsid w:val="63B293D4"/>
    <w:rsid w:val="63B29E4D"/>
    <w:rsid w:val="63B55A2F"/>
    <w:rsid w:val="63B5D49C"/>
    <w:rsid w:val="63B88084"/>
    <w:rsid w:val="63B93E13"/>
    <w:rsid w:val="63BA5262"/>
    <w:rsid w:val="63BB3EF6"/>
    <w:rsid w:val="63BF7F75"/>
    <w:rsid w:val="63C0FFBC"/>
    <w:rsid w:val="63C12CAA"/>
    <w:rsid w:val="63C3E4A5"/>
    <w:rsid w:val="63C73B12"/>
    <w:rsid w:val="63C764AE"/>
    <w:rsid w:val="63C870D7"/>
    <w:rsid w:val="63CAAE7B"/>
    <w:rsid w:val="63CEC850"/>
    <w:rsid w:val="63D67A7B"/>
    <w:rsid w:val="63D75938"/>
    <w:rsid w:val="63D776F5"/>
    <w:rsid w:val="63D7F76C"/>
    <w:rsid w:val="63D8BC23"/>
    <w:rsid w:val="63D9DD8D"/>
    <w:rsid w:val="63DD9920"/>
    <w:rsid w:val="63E03BAB"/>
    <w:rsid w:val="63E1EA04"/>
    <w:rsid w:val="63E41E71"/>
    <w:rsid w:val="63E56A03"/>
    <w:rsid w:val="63E68967"/>
    <w:rsid w:val="63E7292D"/>
    <w:rsid w:val="63E7E5FC"/>
    <w:rsid w:val="63E893BE"/>
    <w:rsid w:val="63EB4BE4"/>
    <w:rsid w:val="63EB5DE5"/>
    <w:rsid w:val="63EC198F"/>
    <w:rsid w:val="63ED30AE"/>
    <w:rsid w:val="63EE9E0E"/>
    <w:rsid w:val="63F2C995"/>
    <w:rsid w:val="63F5DF40"/>
    <w:rsid w:val="63F805DC"/>
    <w:rsid w:val="63FAE71A"/>
    <w:rsid w:val="63FE3029"/>
    <w:rsid w:val="6401A602"/>
    <w:rsid w:val="64054D33"/>
    <w:rsid w:val="6408D774"/>
    <w:rsid w:val="64096190"/>
    <w:rsid w:val="6409DCF2"/>
    <w:rsid w:val="640D62A9"/>
    <w:rsid w:val="640F2647"/>
    <w:rsid w:val="640FAB0A"/>
    <w:rsid w:val="64108F87"/>
    <w:rsid w:val="64129D36"/>
    <w:rsid w:val="6413F0E1"/>
    <w:rsid w:val="64162504"/>
    <w:rsid w:val="6418059D"/>
    <w:rsid w:val="641950B3"/>
    <w:rsid w:val="641BE36A"/>
    <w:rsid w:val="641C3574"/>
    <w:rsid w:val="641C54AE"/>
    <w:rsid w:val="641FB090"/>
    <w:rsid w:val="6420ACE2"/>
    <w:rsid w:val="64240EA5"/>
    <w:rsid w:val="6425E4BD"/>
    <w:rsid w:val="642898CA"/>
    <w:rsid w:val="64296885"/>
    <w:rsid w:val="642C1CAA"/>
    <w:rsid w:val="642E5FA7"/>
    <w:rsid w:val="642E662E"/>
    <w:rsid w:val="6430276A"/>
    <w:rsid w:val="64304556"/>
    <w:rsid w:val="6433D5BE"/>
    <w:rsid w:val="64367D4D"/>
    <w:rsid w:val="6437AA6D"/>
    <w:rsid w:val="6437DBDD"/>
    <w:rsid w:val="643916CF"/>
    <w:rsid w:val="643C117D"/>
    <w:rsid w:val="643DBF71"/>
    <w:rsid w:val="643DCE6E"/>
    <w:rsid w:val="6440F189"/>
    <w:rsid w:val="64416394"/>
    <w:rsid w:val="6447F862"/>
    <w:rsid w:val="64498B7C"/>
    <w:rsid w:val="644E6813"/>
    <w:rsid w:val="64500024"/>
    <w:rsid w:val="6450EC90"/>
    <w:rsid w:val="64520D08"/>
    <w:rsid w:val="6452131F"/>
    <w:rsid w:val="6456721A"/>
    <w:rsid w:val="6456B118"/>
    <w:rsid w:val="6457242A"/>
    <w:rsid w:val="6457A640"/>
    <w:rsid w:val="64580625"/>
    <w:rsid w:val="645A8DD0"/>
    <w:rsid w:val="645EDC2D"/>
    <w:rsid w:val="64633ECE"/>
    <w:rsid w:val="646557A0"/>
    <w:rsid w:val="646591AF"/>
    <w:rsid w:val="64672608"/>
    <w:rsid w:val="64685CC1"/>
    <w:rsid w:val="646962A2"/>
    <w:rsid w:val="646AF3CE"/>
    <w:rsid w:val="646C8040"/>
    <w:rsid w:val="646D1293"/>
    <w:rsid w:val="646F519B"/>
    <w:rsid w:val="6471F26D"/>
    <w:rsid w:val="647363D7"/>
    <w:rsid w:val="64753EEB"/>
    <w:rsid w:val="6475C1A7"/>
    <w:rsid w:val="64795EB2"/>
    <w:rsid w:val="647B3F8D"/>
    <w:rsid w:val="647D8271"/>
    <w:rsid w:val="647DCFA6"/>
    <w:rsid w:val="6480873E"/>
    <w:rsid w:val="648751F9"/>
    <w:rsid w:val="648944B0"/>
    <w:rsid w:val="6489815E"/>
    <w:rsid w:val="64899056"/>
    <w:rsid w:val="648A4E2E"/>
    <w:rsid w:val="648A8F62"/>
    <w:rsid w:val="648C1DB3"/>
    <w:rsid w:val="648DCA39"/>
    <w:rsid w:val="648E1540"/>
    <w:rsid w:val="6492E4A7"/>
    <w:rsid w:val="6495B371"/>
    <w:rsid w:val="6496562A"/>
    <w:rsid w:val="6497B16B"/>
    <w:rsid w:val="6498A25D"/>
    <w:rsid w:val="6499D5C5"/>
    <w:rsid w:val="649D16CD"/>
    <w:rsid w:val="649E68DB"/>
    <w:rsid w:val="649E90E1"/>
    <w:rsid w:val="64A0750B"/>
    <w:rsid w:val="64A089B7"/>
    <w:rsid w:val="64A11222"/>
    <w:rsid w:val="64A3F33D"/>
    <w:rsid w:val="64A61AC0"/>
    <w:rsid w:val="64A73024"/>
    <w:rsid w:val="64A9168D"/>
    <w:rsid w:val="64A9B848"/>
    <w:rsid w:val="64AA1599"/>
    <w:rsid w:val="64ABCF68"/>
    <w:rsid w:val="64ACAFB3"/>
    <w:rsid w:val="64AE558F"/>
    <w:rsid w:val="64B1E348"/>
    <w:rsid w:val="64B2D048"/>
    <w:rsid w:val="64B44CCD"/>
    <w:rsid w:val="64B7EFE6"/>
    <w:rsid w:val="64BA8E1D"/>
    <w:rsid w:val="64BADA97"/>
    <w:rsid w:val="64BF4428"/>
    <w:rsid w:val="64C1D216"/>
    <w:rsid w:val="64C23156"/>
    <w:rsid w:val="64C2F5D6"/>
    <w:rsid w:val="64C4C70D"/>
    <w:rsid w:val="64C5D11F"/>
    <w:rsid w:val="64C8178D"/>
    <w:rsid w:val="64CAF101"/>
    <w:rsid w:val="64CB2BDB"/>
    <w:rsid w:val="64D0B0B1"/>
    <w:rsid w:val="64D13ECB"/>
    <w:rsid w:val="64D4FC71"/>
    <w:rsid w:val="64D65367"/>
    <w:rsid w:val="64D93514"/>
    <w:rsid w:val="64D98EBA"/>
    <w:rsid w:val="64D9D316"/>
    <w:rsid w:val="64DA5292"/>
    <w:rsid w:val="64DAD138"/>
    <w:rsid w:val="64DB7C78"/>
    <w:rsid w:val="64DF5896"/>
    <w:rsid w:val="64E060DE"/>
    <w:rsid w:val="64E1744C"/>
    <w:rsid w:val="64E302C1"/>
    <w:rsid w:val="64E3268E"/>
    <w:rsid w:val="64E61B77"/>
    <w:rsid w:val="64E9AE1D"/>
    <w:rsid w:val="64EA7508"/>
    <w:rsid w:val="64EA7EB4"/>
    <w:rsid w:val="64F100CD"/>
    <w:rsid w:val="64F16980"/>
    <w:rsid w:val="64F276C2"/>
    <w:rsid w:val="64F4F7BC"/>
    <w:rsid w:val="64F5F2A6"/>
    <w:rsid w:val="64F6162D"/>
    <w:rsid w:val="64F64487"/>
    <w:rsid w:val="64F7A8AB"/>
    <w:rsid w:val="64F9883B"/>
    <w:rsid w:val="64F9C34F"/>
    <w:rsid w:val="64F9E7CC"/>
    <w:rsid w:val="64FAB706"/>
    <w:rsid w:val="64FB4352"/>
    <w:rsid w:val="64FB6F55"/>
    <w:rsid w:val="64FB7057"/>
    <w:rsid w:val="64FD5988"/>
    <w:rsid w:val="64FE1E04"/>
    <w:rsid w:val="64FE7D34"/>
    <w:rsid w:val="65011FD3"/>
    <w:rsid w:val="650413C7"/>
    <w:rsid w:val="65047C15"/>
    <w:rsid w:val="6507B6D6"/>
    <w:rsid w:val="65082228"/>
    <w:rsid w:val="6509023F"/>
    <w:rsid w:val="650B413F"/>
    <w:rsid w:val="650CC3CB"/>
    <w:rsid w:val="650D043E"/>
    <w:rsid w:val="651065A0"/>
    <w:rsid w:val="65142203"/>
    <w:rsid w:val="65150399"/>
    <w:rsid w:val="65151946"/>
    <w:rsid w:val="6515E909"/>
    <w:rsid w:val="65165115"/>
    <w:rsid w:val="651875E8"/>
    <w:rsid w:val="6518E4B3"/>
    <w:rsid w:val="651CCCCF"/>
    <w:rsid w:val="651DBF3C"/>
    <w:rsid w:val="65208164"/>
    <w:rsid w:val="6524486C"/>
    <w:rsid w:val="6526D597"/>
    <w:rsid w:val="652A8C1D"/>
    <w:rsid w:val="652D5416"/>
    <w:rsid w:val="653006DF"/>
    <w:rsid w:val="65327BA2"/>
    <w:rsid w:val="6534A67F"/>
    <w:rsid w:val="6534BD86"/>
    <w:rsid w:val="6534DD70"/>
    <w:rsid w:val="6536742C"/>
    <w:rsid w:val="6536D918"/>
    <w:rsid w:val="6537198F"/>
    <w:rsid w:val="653DFA53"/>
    <w:rsid w:val="653E648D"/>
    <w:rsid w:val="65432624"/>
    <w:rsid w:val="65474D96"/>
    <w:rsid w:val="654A4C19"/>
    <w:rsid w:val="654CCD10"/>
    <w:rsid w:val="654D855B"/>
    <w:rsid w:val="654E18C8"/>
    <w:rsid w:val="654F6810"/>
    <w:rsid w:val="654FBE56"/>
    <w:rsid w:val="65519BD5"/>
    <w:rsid w:val="6554B3A1"/>
    <w:rsid w:val="6555D0DF"/>
    <w:rsid w:val="6559BCEF"/>
    <w:rsid w:val="655CE0FA"/>
    <w:rsid w:val="655D17E7"/>
    <w:rsid w:val="6560E0A4"/>
    <w:rsid w:val="65635EE5"/>
    <w:rsid w:val="6563AE8A"/>
    <w:rsid w:val="6564CBE3"/>
    <w:rsid w:val="6567594C"/>
    <w:rsid w:val="6567F63A"/>
    <w:rsid w:val="6568382D"/>
    <w:rsid w:val="6569C282"/>
    <w:rsid w:val="656AC5F5"/>
    <w:rsid w:val="656D92B8"/>
    <w:rsid w:val="657234F7"/>
    <w:rsid w:val="65747165"/>
    <w:rsid w:val="65778881"/>
    <w:rsid w:val="6577D096"/>
    <w:rsid w:val="65799CE1"/>
    <w:rsid w:val="657B53E9"/>
    <w:rsid w:val="657F4E2B"/>
    <w:rsid w:val="6581E7A4"/>
    <w:rsid w:val="6581F58F"/>
    <w:rsid w:val="65856A94"/>
    <w:rsid w:val="658645BF"/>
    <w:rsid w:val="658785D1"/>
    <w:rsid w:val="65879759"/>
    <w:rsid w:val="6588D804"/>
    <w:rsid w:val="658B5553"/>
    <w:rsid w:val="658BDB9A"/>
    <w:rsid w:val="658C3236"/>
    <w:rsid w:val="6590B4C8"/>
    <w:rsid w:val="659100AD"/>
    <w:rsid w:val="6591AAF9"/>
    <w:rsid w:val="6593A301"/>
    <w:rsid w:val="6595BFBB"/>
    <w:rsid w:val="65969858"/>
    <w:rsid w:val="6597166F"/>
    <w:rsid w:val="659ABF04"/>
    <w:rsid w:val="659D776B"/>
    <w:rsid w:val="659EE63D"/>
    <w:rsid w:val="65A0CF02"/>
    <w:rsid w:val="65A251C4"/>
    <w:rsid w:val="65A3B36E"/>
    <w:rsid w:val="65A429C5"/>
    <w:rsid w:val="65A60F3F"/>
    <w:rsid w:val="65A79605"/>
    <w:rsid w:val="65A85742"/>
    <w:rsid w:val="65A991AB"/>
    <w:rsid w:val="65ABE119"/>
    <w:rsid w:val="65AC5455"/>
    <w:rsid w:val="65B1DCDF"/>
    <w:rsid w:val="65B49818"/>
    <w:rsid w:val="65B5C79C"/>
    <w:rsid w:val="65B61556"/>
    <w:rsid w:val="65B8942F"/>
    <w:rsid w:val="65BCA585"/>
    <w:rsid w:val="65BCAA80"/>
    <w:rsid w:val="65BD580F"/>
    <w:rsid w:val="65BF2CCC"/>
    <w:rsid w:val="65BF4A5D"/>
    <w:rsid w:val="65BF5A2F"/>
    <w:rsid w:val="65C02659"/>
    <w:rsid w:val="65C06775"/>
    <w:rsid w:val="65C0D14B"/>
    <w:rsid w:val="65C11A8C"/>
    <w:rsid w:val="65C30B15"/>
    <w:rsid w:val="65C3BC49"/>
    <w:rsid w:val="65C3DCEC"/>
    <w:rsid w:val="65C3DF54"/>
    <w:rsid w:val="65C3FE0C"/>
    <w:rsid w:val="65C6B1D9"/>
    <w:rsid w:val="65C779DB"/>
    <w:rsid w:val="65C7F008"/>
    <w:rsid w:val="65C957D6"/>
    <w:rsid w:val="65C9FBFA"/>
    <w:rsid w:val="65CBDBFC"/>
    <w:rsid w:val="65CC10F3"/>
    <w:rsid w:val="65CD9BCA"/>
    <w:rsid w:val="65CE33FB"/>
    <w:rsid w:val="65CF4BE6"/>
    <w:rsid w:val="65CFDEA8"/>
    <w:rsid w:val="65D5E9BC"/>
    <w:rsid w:val="65D700BD"/>
    <w:rsid w:val="65D7E261"/>
    <w:rsid w:val="65DA64DE"/>
    <w:rsid w:val="65DCC3BA"/>
    <w:rsid w:val="65DDBAF3"/>
    <w:rsid w:val="65DDF423"/>
    <w:rsid w:val="65DEDE5D"/>
    <w:rsid w:val="65E1293D"/>
    <w:rsid w:val="65E4C7FF"/>
    <w:rsid w:val="65E7B371"/>
    <w:rsid w:val="65E8ECB2"/>
    <w:rsid w:val="65ED6733"/>
    <w:rsid w:val="65EDBAF2"/>
    <w:rsid w:val="65EEF64D"/>
    <w:rsid w:val="65F16DB2"/>
    <w:rsid w:val="65F2C76B"/>
    <w:rsid w:val="65F83DDA"/>
    <w:rsid w:val="65F85B76"/>
    <w:rsid w:val="65F97F97"/>
    <w:rsid w:val="65FB13F7"/>
    <w:rsid w:val="65FB639C"/>
    <w:rsid w:val="65FB8775"/>
    <w:rsid w:val="65FC4F77"/>
    <w:rsid w:val="65FE6C60"/>
    <w:rsid w:val="65FFCBA0"/>
    <w:rsid w:val="660130B7"/>
    <w:rsid w:val="6601E040"/>
    <w:rsid w:val="66034988"/>
    <w:rsid w:val="660767CB"/>
    <w:rsid w:val="6607B211"/>
    <w:rsid w:val="660908FA"/>
    <w:rsid w:val="660978AF"/>
    <w:rsid w:val="660A1857"/>
    <w:rsid w:val="660A5D6C"/>
    <w:rsid w:val="660B1EAF"/>
    <w:rsid w:val="660DD7CD"/>
    <w:rsid w:val="6612DA95"/>
    <w:rsid w:val="66145DF0"/>
    <w:rsid w:val="661B0DEF"/>
    <w:rsid w:val="661D63A4"/>
    <w:rsid w:val="661F7CD5"/>
    <w:rsid w:val="661FCF7F"/>
    <w:rsid w:val="6625B963"/>
    <w:rsid w:val="66282DCE"/>
    <w:rsid w:val="6629B233"/>
    <w:rsid w:val="6629B2A2"/>
    <w:rsid w:val="662AC38F"/>
    <w:rsid w:val="66352BDC"/>
    <w:rsid w:val="6636C19B"/>
    <w:rsid w:val="66394F35"/>
    <w:rsid w:val="663B2DA2"/>
    <w:rsid w:val="663D5E5D"/>
    <w:rsid w:val="663E826A"/>
    <w:rsid w:val="663FDF7D"/>
    <w:rsid w:val="663FF349"/>
    <w:rsid w:val="6640D65C"/>
    <w:rsid w:val="66415146"/>
    <w:rsid w:val="66421212"/>
    <w:rsid w:val="6642E1F1"/>
    <w:rsid w:val="6643963E"/>
    <w:rsid w:val="6644CB5D"/>
    <w:rsid w:val="6645B9B4"/>
    <w:rsid w:val="66487867"/>
    <w:rsid w:val="66494334"/>
    <w:rsid w:val="66498243"/>
    <w:rsid w:val="664F7172"/>
    <w:rsid w:val="664FF4A6"/>
    <w:rsid w:val="6653DBE6"/>
    <w:rsid w:val="66583EFB"/>
    <w:rsid w:val="665A3383"/>
    <w:rsid w:val="665A36EC"/>
    <w:rsid w:val="665BD17C"/>
    <w:rsid w:val="665BDEA5"/>
    <w:rsid w:val="665CEC77"/>
    <w:rsid w:val="665D83F5"/>
    <w:rsid w:val="665DC894"/>
    <w:rsid w:val="6663BDD7"/>
    <w:rsid w:val="6668E7DE"/>
    <w:rsid w:val="666A9790"/>
    <w:rsid w:val="666ACFD7"/>
    <w:rsid w:val="666EB2B1"/>
    <w:rsid w:val="666EBF6B"/>
    <w:rsid w:val="6670AD90"/>
    <w:rsid w:val="66711972"/>
    <w:rsid w:val="66718F87"/>
    <w:rsid w:val="6672FF78"/>
    <w:rsid w:val="6674BD2E"/>
    <w:rsid w:val="6674EFBD"/>
    <w:rsid w:val="667523F6"/>
    <w:rsid w:val="6675FA22"/>
    <w:rsid w:val="6676B48D"/>
    <w:rsid w:val="6676C5CF"/>
    <w:rsid w:val="667800F7"/>
    <w:rsid w:val="667BF76D"/>
    <w:rsid w:val="667E14E7"/>
    <w:rsid w:val="667F8110"/>
    <w:rsid w:val="6683324A"/>
    <w:rsid w:val="6683CAD1"/>
    <w:rsid w:val="6683EB95"/>
    <w:rsid w:val="6684E441"/>
    <w:rsid w:val="66851C72"/>
    <w:rsid w:val="66865EB7"/>
    <w:rsid w:val="6686717D"/>
    <w:rsid w:val="668A04EC"/>
    <w:rsid w:val="668AEE48"/>
    <w:rsid w:val="668E4D88"/>
    <w:rsid w:val="6691E361"/>
    <w:rsid w:val="6694FDB4"/>
    <w:rsid w:val="66968767"/>
    <w:rsid w:val="669800A9"/>
    <w:rsid w:val="669AA6A4"/>
    <w:rsid w:val="669BC9CC"/>
    <w:rsid w:val="669D47E0"/>
    <w:rsid w:val="669D5515"/>
    <w:rsid w:val="669DFE98"/>
    <w:rsid w:val="669E4BD0"/>
    <w:rsid w:val="669FBC6C"/>
    <w:rsid w:val="66A58B67"/>
    <w:rsid w:val="66A8DFC2"/>
    <w:rsid w:val="66A9F78D"/>
    <w:rsid w:val="66AA9603"/>
    <w:rsid w:val="66AD96D7"/>
    <w:rsid w:val="66AEC91D"/>
    <w:rsid w:val="66B10041"/>
    <w:rsid w:val="66B243AF"/>
    <w:rsid w:val="66B5689C"/>
    <w:rsid w:val="66BC662E"/>
    <w:rsid w:val="66BE29B9"/>
    <w:rsid w:val="66BF4092"/>
    <w:rsid w:val="66C00048"/>
    <w:rsid w:val="66C0807B"/>
    <w:rsid w:val="66C312A5"/>
    <w:rsid w:val="66C3D4C6"/>
    <w:rsid w:val="66C55CA6"/>
    <w:rsid w:val="66C744E1"/>
    <w:rsid w:val="66C81B23"/>
    <w:rsid w:val="66C8A126"/>
    <w:rsid w:val="66CB216D"/>
    <w:rsid w:val="66CB6462"/>
    <w:rsid w:val="66CBF250"/>
    <w:rsid w:val="66CD4463"/>
    <w:rsid w:val="66D43891"/>
    <w:rsid w:val="66D53A32"/>
    <w:rsid w:val="66D72B8E"/>
    <w:rsid w:val="66D79ECF"/>
    <w:rsid w:val="66D85A8F"/>
    <w:rsid w:val="66DC022F"/>
    <w:rsid w:val="66E16729"/>
    <w:rsid w:val="66E2B1E9"/>
    <w:rsid w:val="66E7C32F"/>
    <w:rsid w:val="66E9095E"/>
    <w:rsid w:val="66E968EF"/>
    <w:rsid w:val="66E97CA3"/>
    <w:rsid w:val="66EC1AEC"/>
    <w:rsid w:val="66ECCD05"/>
    <w:rsid w:val="66EF6D54"/>
    <w:rsid w:val="66EF77B9"/>
    <w:rsid w:val="66F39527"/>
    <w:rsid w:val="66F4133C"/>
    <w:rsid w:val="66F44DD1"/>
    <w:rsid w:val="66F4E5CE"/>
    <w:rsid w:val="66F537ED"/>
    <w:rsid w:val="66F7591F"/>
    <w:rsid w:val="66F8B90D"/>
    <w:rsid w:val="66FD0452"/>
    <w:rsid w:val="66FF47E2"/>
    <w:rsid w:val="67007927"/>
    <w:rsid w:val="67011643"/>
    <w:rsid w:val="67030609"/>
    <w:rsid w:val="6704AC33"/>
    <w:rsid w:val="6704D150"/>
    <w:rsid w:val="670778B4"/>
    <w:rsid w:val="670B5389"/>
    <w:rsid w:val="670CD397"/>
    <w:rsid w:val="670E9C99"/>
    <w:rsid w:val="67144355"/>
    <w:rsid w:val="671605DA"/>
    <w:rsid w:val="671770CC"/>
    <w:rsid w:val="671785D4"/>
    <w:rsid w:val="6717AE31"/>
    <w:rsid w:val="6719F5D7"/>
    <w:rsid w:val="671A3D0B"/>
    <w:rsid w:val="671B9C0F"/>
    <w:rsid w:val="6725AF9A"/>
    <w:rsid w:val="672D6B83"/>
    <w:rsid w:val="672E79C2"/>
    <w:rsid w:val="672E7D0C"/>
    <w:rsid w:val="672E95E4"/>
    <w:rsid w:val="67308D62"/>
    <w:rsid w:val="6731F1D4"/>
    <w:rsid w:val="67328A44"/>
    <w:rsid w:val="67338694"/>
    <w:rsid w:val="6734C9D8"/>
    <w:rsid w:val="6736EDB5"/>
    <w:rsid w:val="6737D0B1"/>
    <w:rsid w:val="67388E42"/>
    <w:rsid w:val="67394425"/>
    <w:rsid w:val="673AF718"/>
    <w:rsid w:val="673B4E83"/>
    <w:rsid w:val="673C67A7"/>
    <w:rsid w:val="673CBF52"/>
    <w:rsid w:val="673DB6A8"/>
    <w:rsid w:val="673E7A8D"/>
    <w:rsid w:val="673F77A8"/>
    <w:rsid w:val="67407787"/>
    <w:rsid w:val="6740E40C"/>
    <w:rsid w:val="6743984D"/>
    <w:rsid w:val="67446772"/>
    <w:rsid w:val="67448F54"/>
    <w:rsid w:val="6746711C"/>
    <w:rsid w:val="67480127"/>
    <w:rsid w:val="67482777"/>
    <w:rsid w:val="67492AAC"/>
    <w:rsid w:val="674B83D6"/>
    <w:rsid w:val="674CDC4B"/>
    <w:rsid w:val="674DB7DD"/>
    <w:rsid w:val="674DD4E9"/>
    <w:rsid w:val="67518D8B"/>
    <w:rsid w:val="67520718"/>
    <w:rsid w:val="675366CB"/>
    <w:rsid w:val="6757CBDC"/>
    <w:rsid w:val="675846C9"/>
    <w:rsid w:val="675E156C"/>
    <w:rsid w:val="675ED6EA"/>
    <w:rsid w:val="675FC007"/>
    <w:rsid w:val="676235D0"/>
    <w:rsid w:val="67639D5D"/>
    <w:rsid w:val="67644A1C"/>
    <w:rsid w:val="6769CC5C"/>
    <w:rsid w:val="676A0E67"/>
    <w:rsid w:val="676B8084"/>
    <w:rsid w:val="676C3D6F"/>
    <w:rsid w:val="676EA692"/>
    <w:rsid w:val="676F1E03"/>
    <w:rsid w:val="676F824A"/>
    <w:rsid w:val="67721DB6"/>
    <w:rsid w:val="677361F3"/>
    <w:rsid w:val="6777A5FF"/>
    <w:rsid w:val="67788F4C"/>
    <w:rsid w:val="6779E472"/>
    <w:rsid w:val="677C76A7"/>
    <w:rsid w:val="677D3052"/>
    <w:rsid w:val="677DE0BA"/>
    <w:rsid w:val="677E2216"/>
    <w:rsid w:val="67827EA5"/>
    <w:rsid w:val="6785A8FF"/>
    <w:rsid w:val="67879A6D"/>
    <w:rsid w:val="678AC0DB"/>
    <w:rsid w:val="678BBA50"/>
    <w:rsid w:val="678C4974"/>
    <w:rsid w:val="6790EFAB"/>
    <w:rsid w:val="6790EFD1"/>
    <w:rsid w:val="679183B4"/>
    <w:rsid w:val="6791A2CC"/>
    <w:rsid w:val="679A9ACD"/>
    <w:rsid w:val="679BB0B2"/>
    <w:rsid w:val="679C9102"/>
    <w:rsid w:val="679ECEB1"/>
    <w:rsid w:val="67A329D0"/>
    <w:rsid w:val="67A347D5"/>
    <w:rsid w:val="67A400B4"/>
    <w:rsid w:val="67A41023"/>
    <w:rsid w:val="67A46FD6"/>
    <w:rsid w:val="67A47BDD"/>
    <w:rsid w:val="67A9A82E"/>
    <w:rsid w:val="67A9B870"/>
    <w:rsid w:val="67A9DEE8"/>
    <w:rsid w:val="67AA4DA3"/>
    <w:rsid w:val="67AC0C8B"/>
    <w:rsid w:val="67AC9AEB"/>
    <w:rsid w:val="67AD1617"/>
    <w:rsid w:val="67AEF553"/>
    <w:rsid w:val="67AF3261"/>
    <w:rsid w:val="67AF69D8"/>
    <w:rsid w:val="67B12347"/>
    <w:rsid w:val="67B2B46E"/>
    <w:rsid w:val="67B85D73"/>
    <w:rsid w:val="67B91F32"/>
    <w:rsid w:val="67BAEED0"/>
    <w:rsid w:val="67BCD6A3"/>
    <w:rsid w:val="67BF7DAC"/>
    <w:rsid w:val="67C0C60B"/>
    <w:rsid w:val="67C75B5B"/>
    <w:rsid w:val="67C9CE22"/>
    <w:rsid w:val="67CB3326"/>
    <w:rsid w:val="67CB7F7F"/>
    <w:rsid w:val="67CBBE23"/>
    <w:rsid w:val="67CBEC07"/>
    <w:rsid w:val="67CD090B"/>
    <w:rsid w:val="67D005D4"/>
    <w:rsid w:val="67D00A97"/>
    <w:rsid w:val="67D16038"/>
    <w:rsid w:val="67D20C96"/>
    <w:rsid w:val="67D2F0D1"/>
    <w:rsid w:val="67D5AFFE"/>
    <w:rsid w:val="67D72929"/>
    <w:rsid w:val="67D93FA8"/>
    <w:rsid w:val="67D9B952"/>
    <w:rsid w:val="67DA0ECF"/>
    <w:rsid w:val="67DEA241"/>
    <w:rsid w:val="67DEE7B3"/>
    <w:rsid w:val="67DF8130"/>
    <w:rsid w:val="67E0A0EB"/>
    <w:rsid w:val="67E0BB44"/>
    <w:rsid w:val="67E0E46D"/>
    <w:rsid w:val="67E37C1F"/>
    <w:rsid w:val="67E6D849"/>
    <w:rsid w:val="67E7D863"/>
    <w:rsid w:val="67EA54D5"/>
    <w:rsid w:val="67ED344D"/>
    <w:rsid w:val="67EDA7EA"/>
    <w:rsid w:val="67EE2E42"/>
    <w:rsid w:val="67EE7D47"/>
    <w:rsid w:val="67F0ABA3"/>
    <w:rsid w:val="67F1C350"/>
    <w:rsid w:val="67F39A1C"/>
    <w:rsid w:val="67F4154D"/>
    <w:rsid w:val="67F54520"/>
    <w:rsid w:val="67F5ABC7"/>
    <w:rsid w:val="67FAB3F9"/>
    <w:rsid w:val="67FE0FB5"/>
    <w:rsid w:val="67FE7997"/>
    <w:rsid w:val="67FF60B8"/>
    <w:rsid w:val="6800D0DE"/>
    <w:rsid w:val="6807013B"/>
    <w:rsid w:val="6808106F"/>
    <w:rsid w:val="6808560C"/>
    <w:rsid w:val="6809B66E"/>
    <w:rsid w:val="680AB152"/>
    <w:rsid w:val="680AE0E0"/>
    <w:rsid w:val="680EDD06"/>
    <w:rsid w:val="680F57C3"/>
    <w:rsid w:val="6810D56B"/>
    <w:rsid w:val="68113B3F"/>
    <w:rsid w:val="681236F9"/>
    <w:rsid w:val="6812AAA2"/>
    <w:rsid w:val="6814B301"/>
    <w:rsid w:val="6817865B"/>
    <w:rsid w:val="6817B0D0"/>
    <w:rsid w:val="68180231"/>
    <w:rsid w:val="6818CEF8"/>
    <w:rsid w:val="681AE0EE"/>
    <w:rsid w:val="681D4CC0"/>
    <w:rsid w:val="68221B42"/>
    <w:rsid w:val="68234C81"/>
    <w:rsid w:val="682426FE"/>
    <w:rsid w:val="6824D0D3"/>
    <w:rsid w:val="6825BC34"/>
    <w:rsid w:val="68284979"/>
    <w:rsid w:val="682913F9"/>
    <w:rsid w:val="6829A406"/>
    <w:rsid w:val="682AB627"/>
    <w:rsid w:val="682FB1C0"/>
    <w:rsid w:val="68308BB7"/>
    <w:rsid w:val="68378BA2"/>
    <w:rsid w:val="6837AB85"/>
    <w:rsid w:val="6837CC57"/>
    <w:rsid w:val="68385288"/>
    <w:rsid w:val="6839907F"/>
    <w:rsid w:val="683B3841"/>
    <w:rsid w:val="683BDF40"/>
    <w:rsid w:val="683E4D03"/>
    <w:rsid w:val="683F38E8"/>
    <w:rsid w:val="684041D6"/>
    <w:rsid w:val="6840A66B"/>
    <w:rsid w:val="6841D16C"/>
    <w:rsid w:val="6842CEC5"/>
    <w:rsid w:val="68458023"/>
    <w:rsid w:val="68476B2C"/>
    <w:rsid w:val="684B5D59"/>
    <w:rsid w:val="684CFAA3"/>
    <w:rsid w:val="684EF4DB"/>
    <w:rsid w:val="684F2E71"/>
    <w:rsid w:val="68504DA7"/>
    <w:rsid w:val="68517BBE"/>
    <w:rsid w:val="68521FA5"/>
    <w:rsid w:val="6855C0E5"/>
    <w:rsid w:val="685BC4DF"/>
    <w:rsid w:val="685FB300"/>
    <w:rsid w:val="686534BB"/>
    <w:rsid w:val="6866B2BF"/>
    <w:rsid w:val="686A46DF"/>
    <w:rsid w:val="686AAFB3"/>
    <w:rsid w:val="686AFF6E"/>
    <w:rsid w:val="686BC76B"/>
    <w:rsid w:val="686CB2CD"/>
    <w:rsid w:val="686D7463"/>
    <w:rsid w:val="686D9C09"/>
    <w:rsid w:val="686DD41C"/>
    <w:rsid w:val="686ECB8B"/>
    <w:rsid w:val="6870BB5E"/>
    <w:rsid w:val="68781805"/>
    <w:rsid w:val="6883423C"/>
    <w:rsid w:val="68849D9D"/>
    <w:rsid w:val="6885C307"/>
    <w:rsid w:val="6886847A"/>
    <w:rsid w:val="6888F18F"/>
    <w:rsid w:val="6888FA67"/>
    <w:rsid w:val="6889E09A"/>
    <w:rsid w:val="688A6601"/>
    <w:rsid w:val="688B2A56"/>
    <w:rsid w:val="688B565C"/>
    <w:rsid w:val="688BDB57"/>
    <w:rsid w:val="688D53CE"/>
    <w:rsid w:val="688F5F55"/>
    <w:rsid w:val="688FF512"/>
    <w:rsid w:val="6891BBEC"/>
    <w:rsid w:val="6892541A"/>
    <w:rsid w:val="68928208"/>
    <w:rsid w:val="68988336"/>
    <w:rsid w:val="689A880C"/>
    <w:rsid w:val="689C9BFA"/>
    <w:rsid w:val="689CE747"/>
    <w:rsid w:val="689CECF9"/>
    <w:rsid w:val="689E1EC7"/>
    <w:rsid w:val="68A0DD5E"/>
    <w:rsid w:val="68A1FCD0"/>
    <w:rsid w:val="68A30CD1"/>
    <w:rsid w:val="68A467BD"/>
    <w:rsid w:val="68A5259E"/>
    <w:rsid w:val="68A57F8B"/>
    <w:rsid w:val="68A5FFCD"/>
    <w:rsid w:val="68A64221"/>
    <w:rsid w:val="68A84AB7"/>
    <w:rsid w:val="68A9F850"/>
    <w:rsid w:val="68ABFDB9"/>
    <w:rsid w:val="68AD515E"/>
    <w:rsid w:val="68AE2BD5"/>
    <w:rsid w:val="68AFF15D"/>
    <w:rsid w:val="68B1C6C4"/>
    <w:rsid w:val="68B1D1AA"/>
    <w:rsid w:val="68B4BD32"/>
    <w:rsid w:val="68BA177D"/>
    <w:rsid w:val="68BA5727"/>
    <w:rsid w:val="68BBA5F0"/>
    <w:rsid w:val="68BCCF44"/>
    <w:rsid w:val="68BD0EC9"/>
    <w:rsid w:val="68BDB56F"/>
    <w:rsid w:val="68BF2399"/>
    <w:rsid w:val="68BFEB67"/>
    <w:rsid w:val="68C033F5"/>
    <w:rsid w:val="68C03EE5"/>
    <w:rsid w:val="68C44663"/>
    <w:rsid w:val="68C44851"/>
    <w:rsid w:val="68CBDC16"/>
    <w:rsid w:val="68CC60A8"/>
    <w:rsid w:val="68CD4CB5"/>
    <w:rsid w:val="68CE1612"/>
    <w:rsid w:val="68CEA86E"/>
    <w:rsid w:val="68D04CCB"/>
    <w:rsid w:val="68D08BDD"/>
    <w:rsid w:val="68D19FCD"/>
    <w:rsid w:val="68D1CCB9"/>
    <w:rsid w:val="68D49CDD"/>
    <w:rsid w:val="68D9E0F3"/>
    <w:rsid w:val="68DE2A82"/>
    <w:rsid w:val="68E19835"/>
    <w:rsid w:val="68E2E50A"/>
    <w:rsid w:val="68E65640"/>
    <w:rsid w:val="68E6CFD0"/>
    <w:rsid w:val="68EE0711"/>
    <w:rsid w:val="68EE8516"/>
    <w:rsid w:val="68F03611"/>
    <w:rsid w:val="68F2161A"/>
    <w:rsid w:val="68F2AD7C"/>
    <w:rsid w:val="68F2E000"/>
    <w:rsid w:val="68F349A1"/>
    <w:rsid w:val="68F35693"/>
    <w:rsid w:val="68F80837"/>
    <w:rsid w:val="68F8C125"/>
    <w:rsid w:val="68FBDAF4"/>
    <w:rsid w:val="68FC5F9E"/>
    <w:rsid w:val="6900CC0B"/>
    <w:rsid w:val="6900EA93"/>
    <w:rsid w:val="69014D81"/>
    <w:rsid w:val="6901CEFC"/>
    <w:rsid w:val="690227EA"/>
    <w:rsid w:val="690408F0"/>
    <w:rsid w:val="69059F73"/>
    <w:rsid w:val="6905B739"/>
    <w:rsid w:val="6905BB59"/>
    <w:rsid w:val="6909FB8C"/>
    <w:rsid w:val="690B1B90"/>
    <w:rsid w:val="690B54B8"/>
    <w:rsid w:val="690BBCA9"/>
    <w:rsid w:val="690C1F44"/>
    <w:rsid w:val="690CDBC6"/>
    <w:rsid w:val="690D57BF"/>
    <w:rsid w:val="690E9C1C"/>
    <w:rsid w:val="690F93E0"/>
    <w:rsid w:val="69108D8B"/>
    <w:rsid w:val="69122278"/>
    <w:rsid w:val="69127B69"/>
    <w:rsid w:val="6914462E"/>
    <w:rsid w:val="69165E0F"/>
    <w:rsid w:val="6919EBA6"/>
    <w:rsid w:val="691D8740"/>
    <w:rsid w:val="691F794E"/>
    <w:rsid w:val="691FEAE4"/>
    <w:rsid w:val="6921E2DA"/>
    <w:rsid w:val="69257801"/>
    <w:rsid w:val="6925857A"/>
    <w:rsid w:val="69258A65"/>
    <w:rsid w:val="6926305C"/>
    <w:rsid w:val="6928E28F"/>
    <w:rsid w:val="692ACD69"/>
    <w:rsid w:val="692B2ECB"/>
    <w:rsid w:val="692D05CD"/>
    <w:rsid w:val="692D1607"/>
    <w:rsid w:val="692FCC8B"/>
    <w:rsid w:val="6930B5CB"/>
    <w:rsid w:val="6930FAFA"/>
    <w:rsid w:val="69312890"/>
    <w:rsid w:val="693311B7"/>
    <w:rsid w:val="693387D3"/>
    <w:rsid w:val="6934085B"/>
    <w:rsid w:val="69360260"/>
    <w:rsid w:val="69363B1E"/>
    <w:rsid w:val="6936D7DB"/>
    <w:rsid w:val="693707DA"/>
    <w:rsid w:val="69381783"/>
    <w:rsid w:val="69389BE4"/>
    <w:rsid w:val="693B2E77"/>
    <w:rsid w:val="693DBC09"/>
    <w:rsid w:val="693E12E7"/>
    <w:rsid w:val="693E813D"/>
    <w:rsid w:val="694030BE"/>
    <w:rsid w:val="6940568C"/>
    <w:rsid w:val="69437950"/>
    <w:rsid w:val="6946E4D9"/>
    <w:rsid w:val="6947BF1C"/>
    <w:rsid w:val="69487C65"/>
    <w:rsid w:val="694922C4"/>
    <w:rsid w:val="69492716"/>
    <w:rsid w:val="69498DF4"/>
    <w:rsid w:val="694AF87D"/>
    <w:rsid w:val="694E1324"/>
    <w:rsid w:val="695350D8"/>
    <w:rsid w:val="69561F8E"/>
    <w:rsid w:val="6959A038"/>
    <w:rsid w:val="6959E1A6"/>
    <w:rsid w:val="6959EF1C"/>
    <w:rsid w:val="695B2D6D"/>
    <w:rsid w:val="695D6BF9"/>
    <w:rsid w:val="695E325C"/>
    <w:rsid w:val="6960023A"/>
    <w:rsid w:val="6961B9C7"/>
    <w:rsid w:val="6961E7BA"/>
    <w:rsid w:val="6962A908"/>
    <w:rsid w:val="69631A3F"/>
    <w:rsid w:val="6963A562"/>
    <w:rsid w:val="69661F3A"/>
    <w:rsid w:val="6967E825"/>
    <w:rsid w:val="696941B0"/>
    <w:rsid w:val="696A0A86"/>
    <w:rsid w:val="696AEC14"/>
    <w:rsid w:val="696B4E2F"/>
    <w:rsid w:val="696D4CEE"/>
    <w:rsid w:val="696E4283"/>
    <w:rsid w:val="696FD698"/>
    <w:rsid w:val="696FD7CD"/>
    <w:rsid w:val="6970AEE7"/>
    <w:rsid w:val="6971C10C"/>
    <w:rsid w:val="6972DB82"/>
    <w:rsid w:val="6977D96D"/>
    <w:rsid w:val="697D4CCD"/>
    <w:rsid w:val="697EAE48"/>
    <w:rsid w:val="69850C55"/>
    <w:rsid w:val="69862888"/>
    <w:rsid w:val="6986955E"/>
    <w:rsid w:val="698ADA85"/>
    <w:rsid w:val="698D2AEC"/>
    <w:rsid w:val="698E548A"/>
    <w:rsid w:val="6996A5A0"/>
    <w:rsid w:val="6998774C"/>
    <w:rsid w:val="6999A4CB"/>
    <w:rsid w:val="6999EC3D"/>
    <w:rsid w:val="699B3BA1"/>
    <w:rsid w:val="699B7693"/>
    <w:rsid w:val="699C3853"/>
    <w:rsid w:val="699C9065"/>
    <w:rsid w:val="699F4B4C"/>
    <w:rsid w:val="69A0D682"/>
    <w:rsid w:val="69A19C2E"/>
    <w:rsid w:val="69A3259B"/>
    <w:rsid w:val="69A5F42D"/>
    <w:rsid w:val="69A65242"/>
    <w:rsid w:val="69A6C023"/>
    <w:rsid w:val="69A724C0"/>
    <w:rsid w:val="69AE78EB"/>
    <w:rsid w:val="69B075EF"/>
    <w:rsid w:val="69B2E3D8"/>
    <w:rsid w:val="69B2F40D"/>
    <w:rsid w:val="69B2F74B"/>
    <w:rsid w:val="69B547CB"/>
    <w:rsid w:val="69B7C247"/>
    <w:rsid w:val="69B810D3"/>
    <w:rsid w:val="69B85E29"/>
    <w:rsid w:val="69B88EB6"/>
    <w:rsid w:val="69B8AE83"/>
    <w:rsid w:val="69BC2063"/>
    <w:rsid w:val="69BC5A1A"/>
    <w:rsid w:val="69BE4F91"/>
    <w:rsid w:val="69BEA3A6"/>
    <w:rsid w:val="69C15E6D"/>
    <w:rsid w:val="69C16ED7"/>
    <w:rsid w:val="69C2448E"/>
    <w:rsid w:val="69C34108"/>
    <w:rsid w:val="69C4657F"/>
    <w:rsid w:val="69C5BE34"/>
    <w:rsid w:val="69C6177C"/>
    <w:rsid w:val="69CA11E6"/>
    <w:rsid w:val="69CA76FA"/>
    <w:rsid w:val="69CE6996"/>
    <w:rsid w:val="69D1D448"/>
    <w:rsid w:val="69D52067"/>
    <w:rsid w:val="69D6F05D"/>
    <w:rsid w:val="69D8112F"/>
    <w:rsid w:val="69DAFEAE"/>
    <w:rsid w:val="69DB0DEB"/>
    <w:rsid w:val="69DBA45B"/>
    <w:rsid w:val="69DF09AD"/>
    <w:rsid w:val="69E0E939"/>
    <w:rsid w:val="69E2263A"/>
    <w:rsid w:val="69E36D66"/>
    <w:rsid w:val="69E62B53"/>
    <w:rsid w:val="69E70077"/>
    <w:rsid w:val="69E90057"/>
    <w:rsid w:val="69E96726"/>
    <w:rsid w:val="69E98E6A"/>
    <w:rsid w:val="69E9A87F"/>
    <w:rsid w:val="69E9FED0"/>
    <w:rsid w:val="69EE7945"/>
    <w:rsid w:val="69EEC064"/>
    <w:rsid w:val="69EFF19E"/>
    <w:rsid w:val="69F0091F"/>
    <w:rsid w:val="69F07727"/>
    <w:rsid w:val="69F139A4"/>
    <w:rsid w:val="69F1520E"/>
    <w:rsid w:val="69F4564A"/>
    <w:rsid w:val="69F7E93A"/>
    <w:rsid w:val="69F982BE"/>
    <w:rsid w:val="69FCDF31"/>
    <w:rsid w:val="69FE25CA"/>
    <w:rsid w:val="6A031A41"/>
    <w:rsid w:val="6A045F9D"/>
    <w:rsid w:val="6A084070"/>
    <w:rsid w:val="6A09AE3E"/>
    <w:rsid w:val="6A09B74A"/>
    <w:rsid w:val="6A0E901B"/>
    <w:rsid w:val="6A0EA5AC"/>
    <w:rsid w:val="6A0F289F"/>
    <w:rsid w:val="6A135FCA"/>
    <w:rsid w:val="6A159EFB"/>
    <w:rsid w:val="6A1624B3"/>
    <w:rsid w:val="6A162E5E"/>
    <w:rsid w:val="6A17B39D"/>
    <w:rsid w:val="6A19EED8"/>
    <w:rsid w:val="6A1B980D"/>
    <w:rsid w:val="6A1CE661"/>
    <w:rsid w:val="6A1D46F3"/>
    <w:rsid w:val="6A235DC0"/>
    <w:rsid w:val="6A243804"/>
    <w:rsid w:val="6A267054"/>
    <w:rsid w:val="6A2E5F04"/>
    <w:rsid w:val="6A336638"/>
    <w:rsid w:val="6A341FCC"/>
    <w:rsid w:val="6A352824"/>
    <w:rsid w:val="6A366698"/>
    <w:rsid w:val="6A37FFEC"/>
    <w:rsid w:val="6A39EF7E"/>
    <w:rsid w:val="6A3A1E99"/>
    <w:rsid w:val="6A3A7438"/>
    <w:rsid w:val="6A3A8AB9"/>
    <w:rsid w:val="6A3B0CC4"/>
    <w:rsid w:val="6A3B9970"/>
    <w:rsid w:val="6A470EA3"/>
    <w:rsid w:val="6A492F14"/>
    <w:rsid w:val="6A4CCA15"/>
    <w:rsid w:val="6A4D6C7D"/>
    <w:rsid w:val="6A4DEAF2"/>
    <w:rsid w:val="6A4ED9AB"/>
    <w:rsid w:val="6A4F7A4A"/>
    <w:rsid w:val="6A518A8C"/>
    <w:rsid w:val="6A56439F"/>
    <w:rsid w:val="6A574F19"/>
    <w:rsid w:val="6A583F60"/>
    <w:rsid w:val="6A5883C8"/>
    <w:rsid w:val="6A5AC017"/>
    <w:rsid w:val="6A5D99A7"/>
    <w:rsid w:val="6A5E79E0"/>
    <w:rsid w:val="6A6227AC"/>
    <w:rsid w:val="6A6327F9"/>
    <w:rsid w:val="6A64AC3A"/>
    <w:rsid w:val="6A6614A0"/>
    <w:rsid w:val="6A685C17"/>
    <w:rsid w:val="6A6AD1F1"/>
    <w:rsid w:val="6A6B017F"/>
    <w:rsid w:val="6A6F7533"/>
    <w:rsid w:val="6A77098E"/>
    <w:rsid w:val="6A78CCB2"/>
    <w:rsid w:val="6A7CC2DA"/>
    <w:rsid w:val="6A7CE5C5"/>
    <w:rsid w:val="6A868306"/>
    <w:rsid w:val="6A891D0E"/>
    <w:rsid w:val="6A8C13AE"/>
    <w:rsid w:val="6A90043A"/>
    <w:rsid w:val="6A9016C4"/>
    <w:rsid w:val="6A918CC8"/>
    <w:rsid w:val="6A930F98"/>
    <w:rsid w:val="6A93A81A"/>
    <w:rsid w:val="6A95605A"/>
    <w:rsid w:val="6A9561C3"/>
    <w:rsid w:val="6A95DDDD"/>
    <w:rsid w:val="6A97620C"/>
    <w:rsid w:val="6A976594"/>
    <w:rsid w:val="6A991428"/>
    <w:rsid w:val="6A99A5BE"/>
    <w:rsid w:val="6A9E08C1"/>
    <w:rsid w:val="6A9E7805"/>
    <w:rsid w:val="6A9ED047"/>
    <w:rsid w:val="6A9F70EE"/>
    <w:rsid w:val="6A9F843D"/>
    <w:rsid w:val="6AA45BF6"/>
    <w:rsid w:val="6AA67828"/>
    <w:rsid w:val="6AA74D42"/>
    <w:rsid w:val="6AA7C965"/>
    <w:rsid w:val="6AAD5D27"/>
    <w:rsid w:val="6AAD8F3C"/>
    <w:rsid w:val="6AAE23B8"/>
    <w:rsid w:val="6AAE2A63"/>
    <w:rsid w:val="6AAF385E"/>
    <w:rsid w:val="6AAF9DDA"/>
    <w:rsid w:val="6AB0AF9C"/>
    <w:rsid w:val="6AB18BD3"/>
    <w:rsid w:val="6AB1E978"/>
    <w:rsid w:val="6AB230D4"/>
    <w:rsid w:val="6AB28FE6"/>
    <w:rsid w:val="6AB55CBD"/>
    <w:rsid w:val="6AB76610"/>
    <w:rsid w:val="6AB78474"/>
    <w:rsid w:val="6AB895E7"/>
    <w:rsid w:val="6ABAE316"/>
    <w:rsid w:val="6ABBBB4B"/>
    <w:rsid w:val="6ABD7940"/>
    <w:rsid w:val="6AC01FE8"/>
    <w:rsid w:val="6AC076C1"/>
    <w:rsid w:val="6AC1F42F"/>
    <w:rsid w:val="6AC344A8"/>
    <w:rsid w:val="6AC4FAAA"/>
    <w:rsid w:val="6AC67796"/>
    <w:rsid w:val="6AC7BEDF"/>
    <w:rsid w:val="6AC97385"/>
    <w:rsid w:val="6ACA4AAC"/>
    <w:rsid w:val="6ACBD93C"/>
    <w:rsid w:val="6ACCA61D"/>
    <w:rsid w:val="6ACD32D1"/>
    <w:rsid w:val="6ACDFA9E"/>
    <w:rsid w:val="6ACE2C44"/>
    <w:rsid w:val="6ACE6A29"/>
    <w:rsid w:val="6AD07840"/>
    <w:rsid w:val="6AD11B9E"/>
    <w:rsid w:val="6AD1CFF0"/>
    <w:rsid w:val="6AD20633"/>
    <w:rsid w:val="6AD267B0"/>
    <w:rsid w:val="6AD34FBD"/>
    <w:rsid w:val="6AD4279E"/>
    <w:rsid w:val="6AD4A5C4"/>
    <w:rsid w:val="6AD4C948"/>
    <w:rsid w:val="6AD5F9E5"/>
    <w:rsid w:val="6ADCB6CE"/>
    <w:rsid w:val="6ADECBE5"/>
    <w:rsid w:val="6ADF1249"/>
    <w:rsid w:val="6AE00810"/>
    <w:rsid w:val="6AE05237"/>
    <w:rsid w:val="6AE1D554"/>
    <w:rsid w:val="6AE20666"/>
    <w:rsid w:val="6AE3C16B"/>
    <w:rsid w:val="6AE42429"/>
    <w:rsid w:val="6AE69559"/>
    <w:rsid w:val="6AE69727"/>
    <w:rsid w:val="6AEAD383"/>
    <w:rsid w:val="6AEBE5F8"/>
    <w:rsid w:val="6AEC5DF5"/>
    <w:rsid w:val="6AF13D79"/>
    <w:rsid w:val="6AF40099"/>
    <w:rsid w:val="6AF5C28E"/>
    <w:rsid w:val="6AF68BE7"/>
    <w:rsid w:val="6AF7832D"/>
    <w:rsid w:val="6AFA0E05"/>
    <w:rsid w:val="6AFB667D"/>
    <w:rsid w:val="6AFD50FB"/>
    <w:rsid w:val="6AFFF7AB"/>
    <w:rsid w:val="6B00515D"/>
    <w:rsid w:val="6B02B2C0"/>
    <w:rsid w:val="6B038471"/>
    <w:rsid w:val="6B09596D"/>
    <w:rsid w:val="6B0B3904"/>
    <w:rsid w:val="6B0D8218"/>
    <w:rsid w:val="6B0F43F6"/>
    <w:rsid w:val="6B13DEE5"/>
    <w:rsid w:val="6B192EBB"/>
    <w:rsid w:val="6B1AD6C0"/>
    <w:rsid w:val="6B1B17CF"/>
    <w:rsid w:val="6B1CF210"/>
    <w:rsid w:val="6B1DD9CB"/>
    <w:rsid w:val="6B20C09C"/>
    <w:rsid w:val="6B20CA5D"/>
    <w:rsid w:val="6B25E64B"/>
    <w:rsid w:val="6B2622DF"/>
    <w:rsid w:val="6B318C32"/>
    <w:rsid w:val="6B323678"/>
    <w:rsid w:val="6B36CCEC"/>
    <w:rsid w:val="6B36F684"/>
    <w:rsid w:val="6B3937C2"/>
    <w:rsid w:val="6B39FEAE"/>
    <w:rsid w:val="6B3C9299"/>
    <w:rsid w:val="6B3D28CB"/>
    <w:rsid w:val="6B412D93"/>
    <w:rsid w:val="6B44832D"/>
    <w:rsid w:val="6B4630B7"/>
    <w:rsid w:val="6B486DF4"/>
    <w:rsid w:val="6B4C5394"/>
    <w:rsid w:val="6B4CE38F"/>
    <w:rsid w:val="6B4CE5FE"/>
    <w:rsid w:val="6B4FC834"/>
    <w:rsid w:val="6B5121A3"/>
    <w:rsid w:val="6B519BD3"/>
    <w:rsid w:val="6B51D89E"/>
    <w:rsid w:val="6B534D25"/>
    <w:rsid w:val="6B5409EE"/>
    <w:rsid w:val="6B550756"/>
    <w:rsid w:val="6B5616DA"/>
    <w:rsid w:val="6B5A357F"/>
    <w:rsid w:val="6B5AAFD0"/>
    <w:rsid w:val="6B5BE0F7"/>
    <w:rsid w:val="6B5C09DB"/>
    <w:rsid w:val="6B5CE070"/>
    <w:rsid w:val="6B616A7E"/>
    <w:rsid w:val="6B622E5C"/>
    <w:rsid w:val="6B6854BC"/>
    <w:rsid w:val="6B69FF7F"/>
    <w:rsid w:val="6B6A4491"/>
    <w:rsid w:val="6B6CE726"/>
    <w:rsid w:val="6B6D67EF"/>
    <w:rsid w:val="6B6EDFDE"/>
    <w:rsid w:val="6B6F52C7"/>
    <w:rsid w:val="6B706859"/>
    <w:rsid w:val="6B7124CA"/>
    <w:rsid w:val="6B7194C5"/>
    <w:rsid w:val="6B721158"/>
    <w:rsid w:val="6B73E1ED"/>
    <w:rsid w:val="6B749C9A"/>
    <w:rsid w:val="6B763D27"/>
    <w:rsid w:val="6B76DD23"/>
    <w:rsid w:val="6B78A008"/>
    <w:rsid w:val="6B7CA995"/>
    <w:rsid w:val="6B7E800E"/>
    <w:rsid w:val="6B7EE7B1"/>
    <w:rsid w:val="6B825754"/>
    <w:rsid w:val="6B830802"/>
    <w:rsid w:val="6B886F6D"/>
    <w:rsid w:val="6B8D14A7"/>
    <w:rsid w:val="6B8D7F95"/>
    <w:rsid w:val="6B8F2758"/>
    <w:rsid w:val="6B92F2CE"/>
    <w:rsid w:val="6B9398B0"/>
    <w:rsid w:val="6B94982C"/>
    <w:rsid w:val="6B987137"/>
    <w:rsid w:val="6B99862B"/>
    <w:rsid w:val="6B9A892A"/>
    <w:rsid w:val="6B9AE296"/>
    <w:rsid w:val="6B9C16D8"/>
    <w:rsid w:val="6BA4143B"/>
    <w:rsid w:val="6BA76AD4"/>
    <w:rsid w:val="6BA92A37"/>
    <w:rsid w:val="6BAB3B85"/>
    <w:rsid w:val="6BAB3BCF"/>
    <w:rsid w:val="6BAD9D24"/>
    <w:rsid w:val="6BADF062"/>
    <w:rsid w:val="6BAE084B"/>
    <w:rsid w:val="6BAE8B07"/>
    <w:rsid w:val="6BAF78F8"/>
    <w:rsid w:val="6BB1AEA7"/>
    <w:rsid w:val="6BB30C66"/>
    <w:rsid w:val="6BB33244"/>
    <w:rsid w:val="6BB8141C"/>
    <w:rsid w:val="6BBB051E"/>
    <w:rsid w:val="6BBC1810"/>
    <w:rsid w:val="6BBC5B85"/>
    <w:rsid w:val="6BBCB3AE"/>
    <w:rsid w:val="6BBD6398"/>
    <w:rsid w:val="6BBD84C4"/>
    <w:rsid w:val="6BBE6C44"/>
    <w:rsid w:val="6BBFC4A9"/>
    <w:rsid w:val="6BBFF7E7"/>
    <w:rsid w:val="6BC30B49"/>
    <w:rsid w:val="6BC4A02A"/>
    <w:rsid w:val="6BC5CE2B"/>
    <w:rsid w:val="6BC6844B"/>
    <w:rsid w:val="6BC7B7F0"/>
    <w:rsid w:val="6BC942E9"/>
    <w:rsid w:val="6BC963EC"/>
    <w:rsid w:val="6BCA1776"/>
    <w:rsid w:val="6BCAE275"/>
    <w:rsid w:val="6BCD4517"/>
    <w:rsid w:val="6BCE7431"/>
    <w:rsid w:val="6BD0348C"/>
    <w:rsid w:val="6BD0B271"/>
    <w:rsid w:val="6BD19345"/>
    <w:rsid w:val="6BD259BC"/>
    <w:rsid w:val="6BD26AEF"/>
    <w:rsid w:val="6BD3FA97"/>
    <w:rsid w:val="6BD79707"/>
    <w:rsid w:val="6BD8587D"/>
    <w:rsid w:val="6BD85F87"/>
    <w:rsid w:val="6BDA5F79"/>
    <w:rsid w:val="6BDC058A"/>
    <w:rsid w:val="6BDDF8C0"/>
    <w:rsid w:val="6BDF3EDB"/>
    <w:rsid w:val="6BDF9F64"/>
    <w:rsid w:val="6BE04082"/>
    <w:rsid w:val="6BE22F5C"/>
    <w:rsid w:val="6BE2F76F"/>
    <w:rsid w:val="6BE41B7D"/>
    <w:rsid w:val="6BE41F9D"/>
    <w:rsid w:val="6BE86E4D"/>
    <w:rsid w:val="6BEA0B13"/>
    <w:rsid w:val="6BEACCFC"/>
    <w:rsid w:val="6BEDA170"/>
    <w:rsid w:val="6BF41D5B"/>
    <w:rsid w:val="6BF42285"/>
    <w:rsid w:val="6BF7308C"/>
    <w:rsid w:val="6BF981C3"/>
    <w:rsid w:val="6BFB1C82"/>
    <w:rsid w:val="6BFC00C1"/>
    <w:rsid w:val="6BFD1C52"/>
    <w:rsid w:val="6BFD29F2"/>
    <w:rsid w:val="6BFF463C"/>
    <w:rsid w:val="6BFFB422"/>
    <w:rsid w:val="6C009B20"/>
    <w:rsid w:val="6C014894"/>
    <w:rsid w:val="6C022996"/>
    <w:rsid w:val="6C022F38"/>
    <w:rsid w:val="6C0273FC"/>
    <w:rsid w:val="6C03D4AF"/>
    <w:rsid w:val="6C0637BF"/>
    <w:rsid w:val="6C0852D2"/>
    <w:rsid w:val="6C096F0A"/>
    <w:rsid w:val="6C0AA94A"/>
    <w:rsid w:val="6C0D6299"/>
    <w:rsid w:val="6C0F0623"/>
    <w:rsid w:val="6C0FAF2F"/>
    <w:rsid w:val="6C12DBEE"/>
    <w:rsid w:val="6C13CFA4"/>
    <w:rsid w:val="6C148405"/>
    <w:rsid w:val="6C179664"/>
    <w:rsid w:val="6C184DA2"/>
    <w:rsid w:val="6C196E55"/>
    <w:rsid w:val="6C1B5A37"/>
    <w:rsid w:val="6C1B63A4"/>
    <w:rsid w:val="6C1E605B"/>
    <w:rsid w:val="6C210F8B"/>
    <w:rsid w:val="6C22AF6D"/>
    <w:rsid w:val="6C2562C6"/>
    <w:rsid w:val="6C2B7E37"/>
    <w:rsid w:val="6C2BBE1A"/>
    <w:rsid w:val="6C2F3D18"/>
    <w:rsid w:val="6C30990A"/>
    <w:rsid w:val="6C322655"/>
    <w:rsid w:val="6C325D7D"/>
    <w:rsid w:val="6C347847"/>
    <w:rsid w:val="6C35C57F"/>
    <w:rsid w:val="6C35FD20"/>
    <w:rsid w:val="6C383312"/>
    <w:rsid w:val="6C3842C5"/>
    <w:rsid w:val="6C3A6905"/>
    <w:rsid w:val="6C40F672"/>
    <w:rsid w:val="6C429E24"/>
    <w:rsid w:val="6C443505"/>
    <w:rsid w:val="6C455731"/>
    <w:rsid w:val="6C45AA87"/>
    <w:rsid w:val="6C48340F"/>
    <w:rsid w:val="6C492815"/>
    <w:rsid w:val="6C49990D"/>
    <w:rsid w:val="6C4A3719"/>
    <w:rsid w:val="6C4C82C1"/>
    <w:rsid w:val="6C4D75C8"/>
    <w:rsid w:val="6C4DF3EB"/>
    <w:rsid w:val="6C4E553A"/>
    <w:rsid w:val="6C4EBA6E"/>
    <w:rsid w:val="6C549C87"/>
    <w:rsid w:val="6C54A0B0"/>
    <w:rsid w:val="6C55C433"/>
    <w:rsid w:val="6C56CDAB"/>
    <w:rsid w:val="6C5794E9"/>
    <w:rsid w:val="6C57CEAF"/>
    <w:rsid w:val="6C57D70C"/>
    <w:rsid w:val="6C581753"/>
    <w:rsid w:val="6C59E847"/>
    <w:rsid w:val="6C5B3700"/>
    <w:rsid w:val="6C5C195C"/>
    <w:rsid w:val="6C601394"/>
    <w:rsid w:val="6C62CC6D"/>
    <w:rsid w:val="6C63364F"/>
    <w:rsid w:val="6C6506A2"/>
    <w:rsid w:val="6C664C96"/>
    <w:rsid w:val="6C678212"/>
    <w:rsid w:val="6C68AAAC"/>
    <w:rsid w:val="6C6A6C1B"/>
    <w:rsid w:val="6C6AA678"/>
    <w:rsid w:val="6C6BE410"/>
    <w:rsid w:val="6C6C78F1"/>
    <w:rsid w:val="6C6C855D"/>
    <w:rsid w:val="6C6D0390"/>
    <w:rsid w:val="6C6D2915"/>
    <w:rsid w:val="6C6FC1DC"/>
    <w:rsid w:val="6C6FFCB2"/>
    <w:rsid w:val="6C706C7E"/>
    <w:rsid w:val="6C76934F"/>
    <w:rsid w:val="6C77D4F8"/>
    <w:rsid w:val="6C78872F"/>
    <w:rsid w:val="6C799E2F"/>
    <w:rsid w:val="6C79B18B"/>
    <w:rsid w:val="6C7A18E1"/>
    <w:rsid w:val="6C7A7AE6"/>
    <w:rsid w:val="6C7CC3E0"/>
    <w:rsid w:val="6C7D465C"/>
    <w:rsid w:val="6C7E65CC"/>
    <w:rsid w:val="6C7E9AA0"/>
    <w:rsid w:val="6C803C19"/>
    <w:rsid w:val="6C804667"/>
    <w:rsid w:val="6C83FBE6"/>
    <w:rsid w:val="6C898D80"/>
    <w:rsid w:val="6C8A6145"/>
    <w:rsid w:val="6C8B3634"/>
    <w:rsid w:val="6C8C1216"/>
    <w:rsid w:val="6C8E939F"/>
    <w:rsid w:val="6C8F1C1C"/>
    <w:rsid w:val="6C91DDEB"/>
    <w:rsid w:val="6C928ACC"/>
    <w:rsid w:val="6C9302EB"/>
    <w:rsid w:val="6C932584"/>
    <w:rsid w:val="6C94259E"/>
    <w:rsid w:val="6C95C43B"/>
    <w:rsid w:val="6C95D5C6"/>
    <w:rsid w:val="6C999CDE"/>
    <w:rsid w:val="6C99BD57"/>
    <w:rsid w:val="6C9ACD5A"/>
    <w:rsid w:val="6C9B807C"/>
    <w:rsid w:val="6C9D7616"/>
    <w:rsid w:val="6CA0EDDC"/>
    <w:rsid w:val="6CA85EEB"/>
    <w:rsid w:val="6CA9AE91"/>
    <w:rsid w:val="6CAB221C"/>
    <w:rsid w:val="6CAE087A"/>
    <w:rsid w:val="6CB03DC2"/>
    <w:rsid w:val="6CB35377"/>
    <w:rsid w:val="6CB54F84"/>
    <w:rsid w:val="6CB658A4"/>
    <w:rsid w:val="6CB6B44D"/>
    <w:rsid w:val="6CB6C1CE"/>
    <w:rsid w:val="6CB726D1"/>
    <w:rsid w:val="6CB81BEE"/>
    <w:rsid w:val="6CB8417F"/>
    <w:rsid w:val="6CB966BD"/>
    <w:rsid w:val="6CB9DFE0"/>
    <w:rsid w:val="6CBA8CBC"/>
    <w:rsid w:val="6CBD654E"/>
    <w:rsid w:val="6CBE3387"/>
    <w:rsid w:val="6CBF0EE7"/>
    <w:rsid w:val="6CBF1608"/>
    <w:rsid w:val="6CBF980B"/>
    <w:rsid w:val="6CC0101B"/>
    <w:rsid w:val="6CC3F62C"/>
    <w:rsid w:val="6CC405C5"/>
    <w:rsid w:val="6CC7E89B"/>
    <w:rsid w:val="6CC8C7F5"/>
    <w:rsid w:val="6CC99982"/>
    <w:rsid w:val="6CCD95E7"/>
    <w:rsid w:val="6CD127DF"/>
    <w:rsid w:val="6CD430C2"/>
    <w:rsid w:val="6CD66511"/>
    <w:rsid w:val="6CD79872"/>
    <w:rsid w:val="6CD80994"/>
    <w:rsid w:val="6CD9174E"/>
    <w:rsid w:val="6CDB0F31"/>
    <w:rsid w:val="6CDFA0DD"/>
    <w:rsid w:val="6CE41E94"/>
    <w:rsid w:val="6CECD7E6"/>
    <w:rsid w:val="6CED8013"/>
    <w:rsid w:val="6CF563F7"/>
    <w:rsid w:val="6CFA3691"/>
    <w:rsid w:val="6CFB271E"/>
    <w:rsid w:val="6CFB72D2"/>
    <w:rsid w:val="6CFCA849"/>
    <w:rsid w:val="6CFCAAC1"/>
    <w:rsid w:val="6CFD203C"/>
    <w:rsid w:val="6CFD799A"/>
    <w:rsid w:val="6D005300"/>
    <w:rsid w:val="6D00F0DF"/>
    <w:rsid w:val="6D00FD02"/>
    <w:rsid w:val="6D059326"/>
    <w:rsid w:val="6D07DC8C"/>
    <w:rsid w:val="6D095FBA"/>
    <w:rsid w:val="6D0ADF92"/>
    <w:rsid w:val="6D0E2DED"/>
    <w:rsid w:val="6D0E6F88"/>
    <w:rsid w:val="6D0F6D0E"/>
    <w:rsid w:val="6D129600"/>
    <w:rsid w:val="6D14EA5E"/>
    <w:rsid w:val="6D1796CD"/>
    <w:rsid w:val="6D1828C1"/>
    <w:rsid w:val="6D1A55B1"/>
    <w:rsid w:val="6D1CC26C"/>
    <w:rsid w:val="6D1D0233"/>
    <w:rsid w:val="6D1D04D7"/>
    <w:rsid w:val="6D1DE6D7"/>
    <w:rsid w:val="6D217796"/>
    <w:rsid w:val="6D231FF3"/>
    <w:rsid w:val="6D238739"/>
    <w:rsid w:val="6D246C26"/>
    <w:rsid w:val="6D26773F"/>
    <w:rsid w:val="6D27441F"/>
    <w:rsid w:val="6D27F9AB"/>
    <w:rsid w:val="6D2AD4B6"/>
    <w:rsid w:val="6D2CCD0C"/>
    <w:rsid w:val="6D2E7828"/>
    <w:rsid w:val="6D2FC214"/>
    <w:rsid w:val="6D308DFA"/>
    <w:rsid w:val="6D325171"/>
    <w:rsid w:val="6D336422"/>
    <w:rsid w:val="6D339FCD"/>
    <w:rsid w:val="6D393CEC"/>
    <w:rsid w:val="6D3983C5"/>
    <w:rsid w:val="6D3C02CD"/>
    <w:rsid w:val="6D3D8914"/>
    <w:rsid w:val="6D40CFCB"/>
    <w:rsid w:val="6D41F085"/>
    <w:rsid w:val="6D472D14"/>
    <w:rsid w:val="6D476AA2"/>
    <w:rsid w:val="6D4808B1"/>
    <w:rsid w:val="6D487209"/>
    <w:rsid w:val="6D49B3EA"/>
    <w:rsid w:val="6D49CBAE"/>
    <w:rsid w:val="6D4A9B7E"/>
    <w:rsid w:val="6D4B7055"/>
    <w:rsid w:val="6D4BC033"/>
    <w:rsid w:val="6D51E72A"/>
    <w:rsid w:val="6D55434D"/>
    <w:rsid w:val="6D565416"/>
    <w:rsid w:val="6D5827BF"/>
    <w:rsid w:val="6D58A6A1"/>
    <w:rsid w:val="6D5AD1A1"/>
    <w:rsid w:val="6D5ADA2A"/>
    <w:rsid w:val="6D5B7C30"/>
    <w:rsid w:val="6D5C6F53"/>
    <w:rsid w:val="6D5E7084"/>
    <w:rsid w:val="6D5EB905"/>
    <w:rsid w:val="6D5FB93D"/>
    <w:rsid w:val="6D5FDC89"/>
    <w:rsid w:val="6D605F0B"/>
    <w:rsid w:val="6D62BC32"/>
    <w:rsid w:val="6D632F5C"/>
    <w:rsid w:val="6D65E4A0"/>
    <w:rsid w:val="6D6A99F9"/>
    <w:rsid w:val="6D6C88D0"/>
    <w:rsid w:val="6D6D01D4"/>
    <w:rsid w:val="6D6D5DFE"/>
    <w:rsid w:val="6D6D8A3D"/>
    <w:rsid w:val="6D6F7004"/>
    <w:rsid w:val="6D7044F3"/>
    <w:rsid w:val="6D732691"/>
    <w:rsid w:val="6D7640D3"/>
    <w:rsid w:val="6D7ADB7C"/>
    <w:rsid w:val="6D7B48A0"/>
    <w:rsid w:val="6D7C006E"/>
    <w:rsid w:val="6D7E1CF4"/>
    <w:rsid w:val="6D7E4E86"/>
    <w:rsid w:val="6D8033BC"/>
    <w:rsid w:val="6D835D7E"/>
    <w:rsid w:val="6D85B6AE"/>
    <w:rsid w:val="6D863A4E"/>
    <w:rsid w:val="6D87121C"/>
    <w:rsid w:val="6D88B81A"/>
    <w:rsid w:val="6D8B0B6F"/>
    <w:rsid w:val="6D8C61E2"/>
    <w:rsid w:val="6D8CFA75"/>
    <w:rsid w:val="6D8D6C9B"/>
    <w:rsid w:val="6D8DE218"/>
    <w:rsid w:val="6D8EE2BE"/>
    <w:rsid w:val="6D8EE8B0"/>
    <w:rsid w:val="6D8F2A96"/>
    <w:rsid w:val="6D90ACC5"/>
    <w:rsid w:val="6D9261FA"/>
    <w:rsid w:val="6D92E85F"/>
    <w:rsid w:val="6D934883"/>
    <w:rsid w:val="6D94B769"/>
    <w:rsid w:val="6D9571DC"/>
    <w:rsid w:val="6D958928"/>
    <w:rsid w:val="6D98E700"/>
    <w:rsid w:val="6D994D34"/>
    <w:rsid w:val="6D9B7ED6"/>
    <w:rsid w:val="6D9BBE3E"/>
    <w:rsid w:val="6D9E7D85"/>
    <w:rsid w:val="6DA1577E"/>
    <w:rsid w:val="6DA2E296"/>
    <w:rsid w:val="6DA48917"/>
    <w:rsid w:val="6DA51756"/>
    <w:rsid w:val="6DA555BD"/>
    <w:rsid w:val="6DA574B6"/>
    <w:rsid w:val="6DA6CDE1"/>
    <w:rsid w:val="6DAB294A"/>
    <w:rsid w:val="6DABD4C0"/>
    <w:rsid w:val="6DAD6AF1"/>
    <w:rsid w:val="6DADBC11"/>
    <w:rsid w:val="6DAE04BB"/>
    <w:rsid w:val="6DAE56A1"/>
    <w:rsid w:val="6DAFFE11"/>
    <w:rsid w:val="6DB15588"/>
    <w:rsid w:val="6DB1E7A6"/>
    <w:rsid w:val="6DB24250"/>
    <w:rsid w:val="6DB76271"/>
    <w:rsid w:val="6DB7EE2D"/>
    <w:rsid w:val="6DBBC9AD"/>
    <w:rsid w:val="6DBCF512"/>
    <w:rsid w:val="6DBDCD02"/>
    <w:rsid w:val="6DBFCEF7"/>
    <w:rsid w:val="6DC2C538"/>
    <w:rsid w:val="6DC38A3E"/>
    <w:rsid w:val="6DC398A7"/>
    <w:rsid w:val="6DC43A3B"/>
    <w:rsid w:val="6DC503CC"/>
    <w:rsid w:val="6DC968A7"/>
    <w:rsid w:val="6DCC36F6"/>
    <w:rsid w:val="6DCC3AC8"/>
    <w:rsid w:val="6DCCB95B"/>
    <w:rsid w:val="6DCF2798"/>
    <w:rsid w:val="6DD01CA8"/>
    <w:rsid w:val="6DD0B3FA"/>
    <w:rsid w:val="6DD3D409"/>
    <w:rsid w:val="6DD7F98B"/>
    <w:rsid w:val="6DD8E24B"/>
    <w:rsid w:val="6DDA22F8"/>
    <w:rsid w:val="6DDCDFE6"/>
    <w:rsid w:val="6DDFB920"/>
    <w:rsid w:val="6DE1BCE6"/>
    <w:rsid w:val="6DE2ABD5"/>
    <w:rsid w:val="6DE2E285"/>
    <w:rsid w:val="6DE531C3"/>
    <w:rsid w:val="6DE89385"/>
    <w:rsid w:val="6DEC97DB"/>
    <w:rsid w:val="6DECFD7F"/>
    <w:rsid w:val="6DEF05EF"/>
    <w:rsid w:val="6DF0BB74"/>
    <w:rsid w:val="6DF2D2C9"/>
    <w:rsid w:val="6DF4B882"/>
    <w:rsid w:val="6DF4D717"/>
    <w:rsid w:val="6DF66ADE"/>
    <w:rsid w:val="6DF6D2BC"/>
    <w:rsid w:val="6DF7B690"/>
    <w:rsid w:val="6DF93653"/>
    <w:rsid w:val="6DFAF05B"/>
    <w:rsid w:val="6DFBFD6D"/>
    <w:rsid w:val="6DFC5C0A"/>
    <w:rsid w:val="6DFDEA33"/>
    <w:rsid w:val="6DFE7D20"/>
    <w:rsid w:val="6E01792F"/>
    <w:rsid w:val="6E07FCC0"/>
    <w:rsid w:val="6E086942"/>
    <w:rsid w:val="6E0CD9F5"/>
    <w:rsid w:val="6E0D8E3D"/>
    <w:rsid w:val="6E12F889"/>
    <w:rsid w:val="6E134BCB"/>
    <w:rsid w:val="6E13E763"/>
    <w:rsid w:val="6E196BF8"/>
    <w:rsid w:val="6E1A35E7"/>
    <w:rsid w:val="6E1DDEE8"/>
    <w:rsid w:val="6E1FB247"/>
    <w:rsid w:val="6E202ADF"/>
    <w:rsid w:val="6E233292"/>
    <w:rsid w:val="6E23F322"/>
    <w:rsid w:val="6E24D27D"/>
    <w:rsid w:val="6E28CE15"/>
    <w:rsid w:val="6E2AFF17"/>
    <w:rsid w:val="6E2B3749"/>
    <w:rsid w:val="6E2CAEFF"/>
    <w:rsid w:val="6E34684B"/>
    <w:rsid w:val="6E3A1FEE"/>
    <w:rsid w:val="6E3D4DC2"/>
    <w:rsid w:val="6E3EAAE7"/>
    <w:rsid w:val="6E3ECE3F"/>
    <w:rsid w:val="6E3FA6F0"/>
    <w:rsid w:val="6E40322E"/>
    <w:rsid w:val="6E4192AC"/>
    <w:rsid w:val="6E428C14"/>
    <w:rsid w:val="6E43BE6D"/>
    <w:rsid w:val="6E44D2E2"/>
    <w:rsid w:val="6E466A89"/>
    <w:rsid w:val="6E47F58E"/>
    <w:rsid w:val="6E4C12CA"/>
    <w:rsid w:val="6E523F9B"/>
    <w:rsid w:val="6E55E2C2"/>
    <w:rsid w:val="6E5892F9"/>
    <w:rsid w:val="6E5B81FB"/>
    <w:rsid w:val="6E5B8D76"/>
    <w:rsid w:val="6E5C5F58"/>
    <w:rsid w:val="6E5FC9A7"/>
    <w:rsid w:val="6E61E06D"/>
    <w:rsid w:val="6E627744"/>
    <w:rsid w:val="6E63F9AD"/>
    <w:rsid w:val="6E6409E6"/>
    <w:rsid w:val="6E64BB95"/>
    <w:rsid w:val="6E699B94"/>
    <w:rsid w:val="6E6C8287"/>
    <w:rsid w:val="6E6ED3FA"/>
    <w:rsid w:val="6E71FB30"/>
    <w:rsid w:val="6E794EF8"/>
    <w:rsid w:val="6E7A00F1"/>
    <w:rsid w:val="6E7B4781"/>
    <w:rsid w:val="6E7D2722"/>
    <w:rsid w:val="6E7D4380"/>
    <w:rsid w:val="6E7D4D1C"/>
    <w:rsid w:val="6E81A975"/>
    <w:rsid w:val="6E82F51E"/>
    <w:rsid w:val="6E830ECC"/>
    <w:rsid w:val="6E8433C2"/>
    <w:rsid w:val="6E868696"/>
    <w:rsid w:val="6E886425"/>
    <w:rsid w:val="6E8AB69A"/>
    <w:rsid w:val="6E8B694B"/>
    <w:rsid w:val="6E8C99EA"/>
    <w:rsid w:val="6E922C3F"/>
    <w:rsid w:val="6E92E501"/>
    <w:rsid w:val="6E92E65F"/>
    <w:rsid w:val="6E93698A"/>
    <w:rsid w:val="6E950F1A"/>
    <w:rsid w:val="6E972381"/>
    <w:rsid w:val="6E97D994"/>
    <w:rsid w:val="6E98F57B"/>
    <w:rsid w:val="6E9DC084"/>
    <w:rsid w:val="6E9E7D57"/>
    <w:rsid w:val="6E9FE505"/>
    <w:rsid w:val="6E9FFE15"/>
    <w:rsid w:val="6EA3BDC7"/>
    <w:rsid w:val="6EA7B473"/>
    <w:rsid w:val="6EAABAE5"/>
    <w:rsid w:val="6EAB5980"/>
    <w:rsid w:val="6EAE1013"/>
    <w:rsid w:val="6EAED492"/>
    <w:rsid w:val="6EB1DDF8"/>
    <w:rsid w:val="6EB3024B"/>
    <w:rsid w:val="6EB364CE"/>
    <w:rsid w:val="6EB4A5ED"/>
    <w:rsid w:val="6EB7CC47"/>
    <w:rsid w:val="6EB890E4"/>
    <w:rsid w:val="6EBB6B06"/>
    <w:rsid w:val="6EBCAF16"/>
    <w:rsid w:val="6EBED621"/>
    <w:rsid w:val="6EC03C87"/>
    <w:rsid w:val="6EC40AF1"/>
    <w:rsid w:val="6EC54B44"/>
    <w:rsid w:val="6EC58CD2"/>
    <w:rsid w:val="6EC6CC5F"/>
    <w:rsid w:val="6EC76C4C"/>
    <w:rsid w:val="6EC7DA0F"/>
    <w:rsid w:val="6EC97863"/>
    <w:rsid w:val="6ECB037B"/>
    <w:rsid w:val="6ECC8EDF"/>
    <w:rsid w:val="6ECE186A"/>
    <w:rsid w:val="6ED04566"/>
    <w:rsid w:val="6ED0593C"/>
    <w:rsid w:val="6ED4C569"/>
    <w:rsid w:val="6ED5C224"/>
    <w:rsid w:val="6ED769AF"/>
    <w:rsid w:val="6ED7AD40"/>
    <w:rsid w:val="6ED80B0F"/>
    <w:rsid w:val="6ED94411"/>
    <w:rsid w:val="6EDAB5AC"/>
    <w:rsid w:val="6EDBD7EC"/>
    <w:rsid w:val="6EDE4D93"/>
    <w:rsid w:val="6EE02B74"/>
    <w:rsid w:val="6EE18228"/>
    <w:rsid w:val="6EE36927"/>
    <w:rsid w:val="6EE87251"/>
    <w:rsid w:val="6EE87B68"/>
    <w:rsid w:val="6EEB404B"/>
    <w:rsid w:val="6EEED72D"/>
    <w:rsid w:val="6EEFF1F1"/>
    <w:rsid w:val="6EEFFC9D"/>
    <w:rsid w:val="6EF0925D"/>
    <w:rsid w:val="6EF270C8"/>
    <w:rsid w:val="6EF71E79"/>
    <w:rsid w:val="6EF9655D"/>
    <w:rsid w:val="6EF9BD5F"/>
    <w:rsid w:val="6EFA6A57"/>
    <w:rsid w:val="6EFB1175"/>
    <w:rsid w:val="6EFB18A5"/>
    <w:rsid w:val="6EFC0AFC"/>
    <w:rsid w:val="6EFD99D8"/>
    <w:rsid w:val="6EFE248C"/>
    <w:rsid w:val="6EFFC291"/>
    <w:rsid w:val="6F00980C"/>
    <w:rsid w:val="6F033825"/>
    <w:rsid w:val="6F038BA8"/>
    <w:rsid w:val="6F0B83A9"/>
    <w:rsid w:val="6F0DA7EB"/>
    <w:rsid w:val="6F0EB9CC"/>
    <w:rsid w:val="6F0F1C0A"/>
    <w:rsid w:val="6F1692F1"/>
    <w:rsid w:val="6F182F9D"/>
    <w:rsid w:val="6F1C7EE1"/>
    <w:rsid w:val="6F1CFEEC"/>
    <w:rsid w:val="6F1FA4AC"/>
    <w:rsid w:val="6F201CD4"/>
    <w:rsid w:val="6F2064FC"/>
    <w:rsid w:val="6F21B33F"/>
    <w:rsid w:val="6F23B6A4"/>
    <w:rsid w:val="6F243D24"/>
    <w:rsid w:val="6F2642DA"/>
    <w:rsid w:val="6F27F16B"/>
    <w:rsid w:val="6F29DE05"/>
    <w:rsid w:val="6F2B58E0"/>
    <w:rsid w:val="6F2BBCE3"/>
    <w:rsid w:val="6F2CA36E"/>
    <w:rsid w:val="6F2D85B0"/>
    <w:rsid w:val="6F314D82"/>
    <w:rsid w:val="6F31778A"/>
    <w:rsid w:val="6F31C71A"/>
    <w:rsid w:val="6F32774F"/>
    <w:rsid w:val="6F33D6D0"/>
    <w:rsid w:val="6F371413"/>
    <w:rsid w:val="6F3955A3"/>
    <w:rsid w:val="6F3A580A"/>
    <w:rsid w:val="6F3B40AC"/>
    <w:rsid w:val="6F3CE573"/>
    <w:rsid w:val="6F41AAE6"/>
    <w:rsid w:val="6F42223B"/>
    <w:rsid w:val="6F4324EB"/>
    <w:rsid w:val="6F442927"/>
    <w:rsid w:val="6F474FE5"/>
    <w:rsid w:val="6F4B1BED"/>
    <w:rsid w:val="6F4BAD24"/>
    <w:rsid w:val="6F4CAACB"/>
    <w:rsid w:val="6F4F77F5"/>
    <w:rsid w:val="6F51AFBA"/>
    <w:rsid w:val="6F52B330"/>
    <w:rsid w:val="6F535448"/>
    <w:rsid w:val="6F550A3D"/>
    <w:rsid w:val="6F5572DF"/>
    <w:rsid w:val="6F560148"/>
    <w:rsid w:val="6F56CC45"/>
    <w:rsid w:val="6F59A41F"/>
    <w:rsid w:val="6F5B3797"/>
    <w:rsid w:val="6F5E1168"/>
    <w:rsid w:val="6F5F1904"/>
    <w:rsid w:val="6F608557"/>
    <w:rsid w:val="6F660BE8"/>
    <w:rsid w:val="6F6A39D6"/>
    <w:rsid w:val="6F6A5DE3"/>
    <w:rsid w:val="6F6B61E4"/>
    <w:rsid w:val="6F6D6641"/>
    <w:rsid w:val="6F6E2D01"/>
    <w:rsid w:val="6F6ED7C2"/>
    <w:rsid w:val="6F6F8DAA"/>
    <w:rsid w:val="6F6F92A4"/>
    <w:rsid w:val="6F722EBA"/>
    <w:rsid w:val="6F727442"/>
    <w:rsid w:val="6F727C02"/>
    <w:rsid w:val="6F7505FA"/>
    <w:rsid w:val="6F751EA5"/>
    <w:rsid w:val="6F76D905"/>
    <w:rsid w:val="6F78442B"/>
    <w:rsid w:val="6F7D878A"/>
    <w:rsid w:val="6F7DC0C0"/>
    <w:rsid w:val="6F7DF091"/>
    <w:rsid w:val="6F7E8EC1"/>
    <w:rsid w:val="6F7EEB62"/>
    <w:rsid w:val="6F80727B"/>
    <w:rsid w:val="6F844616"/>
    <w:rsid w:val="6F844C02"/>
    <w:rsid w:val="6F852656"/>
    <w:rsid w:val="6F86E628"/>
    <w:rsid w:val="6F89120B"/>
    <w:rsid w:val="6F8A48A1"/>
    <w:rsid w:val="6F8B24E4"/>
    <w:rsid w:val="6F8CC0EA"/>
    <w:rsid w:val="6F8CE55C"/>
    <w:rsid w:val="6F8F581F"/>
    <w:rsid w:val="6F8F77CE"/>
    <w:rsid w:val="6F936AF3"/>
    <w:rsid w:val="6F974095"/>
    <w:rsid w:val="6F976B82"/>
    <w:rsid w:val="6F9A9EBA"/>
    <w:rsid w:val="6F9BBC12"/>
    <w:rsid w:val="6F9DE614"/>
    <w:rsid w:val="6F9E6D5D"/>
    <w:rsid w:val="6F9F32BD"/>
    <w:rsid w:val="6FA1F178"/>
    <w:rsid w:val="6FAC28C7"/>
    <w:rsid w:val="6FAD664F"/>
    <w:rsid w:val="6FB04B09"/>
    <w:rsid w:val="6FB4BA13"/>
    <w:rsid w:val="6FB52538"/>
    <w:rsid w:val="6FB60A20"/>
    <w:rsid w:val="6FB71E70"/>
    <w:rsid w:val="6FBA6C54"/>
    <w:rsid w:val="6FBECDB3"/>
    <w:rsid w:val="6FBFF576"/>
    <w:rsid w:val="6FC0E677"/>
    <w:rsid w:val="6FC1F41F"/>
    <w:rsid w:val="6FC34FB7"/>
    <w:rsid w:val="6FC41F61"/>
    <w:rsid w:val="6FC6A9B8"/>
    <w:rsid w:val="6FC6CEE1"/>
    <w:rsid w:val="6FC70B66"/>
    <w:rsid w:val="6FC8E64C"/>
    <w:rsid w:val="6FCB20F2"/>
    <w:rsid w:val="6FCCC350"/>
    <w:rsid w:val="6FCD08C4"/>
    <w:rsid w:val="6FCDEC51"/>
    <w:rsid w:val="6FCFAE45"/>
    <w:rsid w:val="6FD48A10"/>
    <w:rsid w:val="6FD52212"/>
    <w:rsid w:val="6FD70F3F"/>
    <w:rsid w:val="6FD7642C"/>
    <w:rsid w:val="6FD849C0"/>
    <w:rsid w:val="6FD8B948"/>
    <w:rsid w:val="6FD8E51D"/>
    <w:rsid w:val="6FDBC4A5"/>
    <w:rsid w:val="6FDC1D6A"/>
    <w:rsid w:val="6FDCEC15"/>
    <w:rsid w:val="6FE02210"/>
    <w:rsid w:val="6FE271AE"/>
    <w:rsid w:val="6FE274F6"/>
    <w:rsid w:val="6FE3DB31"/>
    <w:rsid w:val="6FEE4114"/>
    <w:rsid w:val="6FEEF482"/>
    <w:rsid w:val="6FEF0F19"/>
    <w:rsid w:val="6FF08730"/>
    <w:rsid w:val="6FF097B5"/>
    <w:rsid w:val="6FF0A944"/>
    <w:rsid w:val="6FF63891"/>
    <w:rsid w:val="6FFB94DE"/>
    <w:rsid w:val="6FFD8D3E"/>
    <w:rsid w:val="6FFDF0E4"/>
    <w:rsid w:val="6FFE57E0"/>
    <w:rsid w:val="6FFEDBFC"/>
    <w:rsid w:val="6FFF7615"/>
    <w:rsid w:val="6FFFB080"/>
    <w:rsid w:val="6FFFCDF1"/>
    <w:rsid w:val="7000A604"/>
    <w:rsid w:val="70051C9B"/>
    <w:rsid w:val="7009A017"/>
    <w:rsid w:val="700A1521"/>
    <w:rsid w:val="700CBCDC"/>
    <w:rsid w:val="700CBD83"/>
    <w:rsid w:val="700E1355"/>
    <w:rsid w:val="701AAA63"/>
    <w:rsid w:val="701C1027"/>
    <w:rsid w:val="7020162A"/>
    <w:rsid w:val="70212E30"/>
    <w:rsid w:val="7021B375"/>
    <w:rsid w:val="702380A0"/>
    <w:rsid w:val="70272C0F"/>
    <w:rsid w:val="7029087A"/>
    <w:rsid w:val="70291D76"/>
    <w:rsid w:val="702B593D"/>
    <w:rsid w:val="702BC2C1"/>
    <w:rsid w:val="702BC358"/>
    <w:rsid w:val="702C1099"/>
    <w:rsid w:val="702C58DA"/>
    <w:rsid w:val="702DD34A"/>
    <w:rsid w:val="702F92D3"/>
    <w:rsid w:val="702FB7FF"/>
    <w:rsid w:val="70301E3B"/>
    <w:rsid w:val="70307B6A"/>
    <w:rsid w:val="7034F323"/>
    <w:rsid w:val="7036813F"/>
    <w:rsid w:val="70388346"/>
    <w:rsid w:val="703ACC69"/>
    <w:rsid w:val="703B831D"/>
    <w:rsid w:val="703D85F3"/>
    <w:rsid w:val="7041DF6B"/>
    <w:rsid w:val="70428863"/>
    <w:rsid w:val="7042D41D"/>
    <w:rsid w:val="70443248"/>
    <w:rsid w:val="7045697D"/>
    <w:rsid w:val="704D35E4"/>
    <w:rsid w:val="704F9789"/>
    <w:rsid w:val="70518904"/>
    <w:rsid w:val="7055ADEB"/>
    <w:rsid w:val="7056B697"/>
    <w:rsid w:val="7057DAB6"/>
    <w:rsid w:val="70597E34"/>
    <w:rsid w:val="705A7841"/>
    <w:rsid w:val="705B1890"/>
    <w:rsid w:val="705B9663"/>
    <w:rsid w:val="705C8D69"/>
    <w:rsid w:val="705CC70B"/>
    <w:rsid w:val="70609291"/>
    <w:rsid w:val="7060D223"/>
    <w:rsid w:val="7060FDEC"/>
    <w:rsid w:val="706141EF"/>
    <w:rsid w:val="70646007"/>
    <w:rsid w:val="70651933"/>
    <w:rsid w:val="70663B1F"/>
    <w:rsid w:val="7066E1F1"/>
    <w:rsid w:val="70676CAB"/>
    <w:rsid w:val="706848F7"/>
    <w:rsid w:val="7068CB0C"/>
    <w:rsid w:val="7069DF09"/>
    <w:rsid w:val="706D29A6"/>
    <w:rsid w:val="70724EC8"/>
    <w:rsid w:val="70743619"/>
    <w:rsid w:val="70746054"/>
    <w:rsid w:val="70773201"/>
    <w:rsid w:val="707935BF"/>
    <w:rsid w:val="707A890F"/>
    <w:rsid w:val="707AB99E"/>
    <w:rsid w:val="70807727"/>
    <w:rsid w:val="7082A5AB"/>
    <w:rsid w:val="708453CC"/>
    <w:rsid w:val="7087DD14"/>
    <w:rsid w:val="708A7C7B"/>
    <w:rsid w:val="708C2598"/>
    <w:rsid w:val="708D405E"/>
    <w:rsid w:val="708FECBB"/>
    <w:rsid w:val="7090B1D8"/>
    <w:rsid w:val="7090EDC8"/>
    <w:rsid w:val="7092337C"/>
    <w:rsid w:val="7092DDE1"/>
    <w:rsid w:val="70944CAB"/>
    <w:rsid w:val="70962AD7"/>
    <w:rsid w:val="70976CAB"/>
    <w:rsid w:val="70986DC0"/>
    <w:rsid w:val="7099D5BF"/>
    <w:rsid w:val="709B8060"/>
    <w:rsid w:val="709D2F94"/>
    <w:rsid w:val="709DD58F"/>
    <w:rsid w:val="70A16C7B"/>
    <w:rsid w:val="70A4EA53"/>
    <w:rsid w:val="70A5F23C"/>
    <w:rsid w:val="70AB9A08"/>
    <w:rsid w:val="70B15AB8"/>
    <w:rsid w:val="70B1A35A"/>
    <w:rsid w:val="70B2AA31"/>
    <w:rsid w:val="70B56229"/>
    <w:rsid w:val="70B60E7B"/>
    <w:rsid w:val="70B8C3C0"/>
    <w:rsid w:val="70BC783C"/>
    <w:rsid w:val="70BD2A23"/>
    <w:rsid w:val="70BEBEAC"/>
    <w:rsid w:val="70C79DC4"/>
    <w:rsid w:val="70C7BD1B"/>
    <w:rsid w:val="70CAA2AB"/>
    <w:rsid w:val="70CC2F8D"/>
    <w:rsid w:val="70D03636"/>
    <w:rsid w:val="70D31BD1"/>
    <w:rsid w:val="70D421FC"/>
    <w:rsid w:val="70D55392"/>
    <w:rsid w:val="70DA7F6F"/>
    <w:rsid w:val="70DD2B9C"/>
    <w:rsid w:val="70DEBFF8"/>
    <w:rsid w:val="70DFFF03"/>
    <w:rsid w:val="70E20205"/>
    <w:rsid w:val="70E22240"/>
    <w:rsid w:val="70E34B1E"/>
    <w:rsid w:val="70E3F539"/>
    <w:rsid w:val="70E5E8B3"/>
    <w:rsid w:val="70E6BDA3"/>
    <w:rsid w:val="70E7A647"/>
    <w:rsid w:val="70E7EB75"/>
    <w:rsid w:val="70E9720A"/>
    <w:rsid w:val="70E9F3CF"/>
    <w:rsid w:val="70EA839F"/>
    <w:rsid w:val="70ECCC1F"/>
    <w:rsid w:val="70ECEC72"/>
    <w:rsid w:val="70F08EF9"/>
    <w:rsid w:val="70F5CD65"/>
    <w:rsid w:val="70F82273"/>
    <w:rsid w:val="70FB2082"/>
    <w:rsid w:val="70FB5815"/>
    <w:rsid w:val="70FB82AA"/>
    <w:rsid w:val="70FD8C99"/>
    <w:rsid w:val="7101F040"/>
    <w:rsid w:val="7103C7B4"/>
    <w:rsid w:val="7103F4F5"/>
    <w:rsid w:val="71055300"/>
    <w:rsid w:val="71060D95"/>
    <w:rsid w:val="71079EF5"/>
    <w:rsid w:val="710A249B"/>
    <w:rsid w:val="710AD9D0"/>
    <w:rsid w:val="710CFFCE"/>
    <w:rsid w:val="710DB8F6"/>
    <w:rsid w:val="710E1A48"/>
    <w:rsid w:val="711016BD"/>
    <w:rsid w:val="7110B316"/>
    <w:rsid w:val="71123CE5"/>
    <w:rsid w:val="71153B16"/>
    <w:rsid w:val="71180D88"/>
    <w:rsid w:val="711B5367"/>
    <w:rsid w:val="711BD23B"/>
    <w:rsid w:val="711D498D"/>
    <w:rsid w:val="712086E9"/>
    <w:rsid w:val="71214782"/>
    <w:rsid w:val="7121E358"/>
    <w:rsid w:val="71235060"/>
    <w:rsid w:val="712579BD"/>
    <w:rsid w:val="7127B475"/>
    <w:rsid w:val="7127BB8E"/>
    <w:rsid w:val="7127BE21"/>
    <w:rsid w:val="712871C5"/>
    <w:rsid w:val="712886D0"/>
    <w:rsid w:val="712926FD"/>
    <w:rsid w:val="712994F5"/>
    <w:rsid w:val="712B9713"/>
    <w:rsid w:val="712CE30A"/>
    <w:rsid w:val="712CF6EE"/>
    <w:rsid w:val="712D0E26"/>
    <w:rsid w:val="712E7765"/>
    <w:rsid w:val="712E8FF6"/>
    <w:rsid w:val="712F9C25"/>
    <w:rsid w:val="7134FC10"/>
    <w:rsid w:val="71350EB1"/>
    <w:rsid w:val="71376870"/>
    <w:rsid w:val="713A676C"/>
    <w:rsid w:val="713DCB40"/>
    <w:rsid w:val="713DD50B"/>
    <w:rsid w:val="714055D0"/>
    <w:rsid w:val="71463508"/>
    <w:rsid w:val="7148EE17"/>
    <w:rsid w:val="714AB93F"/>
    <w:rsid w:val="714BC5D4"/>
    <w:rsid w:val="714D5F51"/>
    <w:rsid w:val="71508BEF"/>
    <w:rsid w:val="7153BCCE"/>
    <w:rsid w:val="71543A9F"/>
    <w:rsid w:val="71546253"/>
    <w:rsid w:val="715731BE"/>
    <w:rsid w:val="7158A9F5"/>
    <w:rsid w:val="7159EFC2"/>
    <w:rsid w:val="715BDE81"/>
    <w:rsid w:val="715C679C"/>
    <w:rsid w:val="715DB9A4"/>
    <w:rsid w:val="715DC480"/>
    <w:rsid w:val="715DCE58"/>
    <w:rsid w:val="7161C5CE"/>
    <w:rsid w:val="71629F8C"/>
    <w:rsid w:val="7164AD9C"/>
    <w:rsid w:val="7164C70B"/>
    <w:rsid w:val="716B8D48"/>
    <w:rsid w:val="716C9C6C"/>
    <w:rsid w:val="716D6070"/>
    <w:rsid w:val="716E9CAE"/>
    <w:rsid w:val="716F207F"/>
    <w:rsid w:val="7172514B"/>
    <w:rsid w:val="7174822F"/>
    <w:rsid w:val="71761AFD"/>
    <w:rsid w:val="71781DF4"/>
    <w:rsid w:val="717856F9"/>
    <w:rsid w:val="717B929F"/>
    <w:rsid w:val="717FC186"/>
    <w:rsid w:val="71801094"/>
    <w:rsid w:val="7181B66B"/>
    <w:rsid w:val="7182C8D0"/>
    <w:rsid w:val="71837D2B"/>
    <w:rsid w:val="7186574F"/>
    <w:rsid w:val="718762C2"/>
    <w:rsid w:val="7187EB21"/>
    <w:rsid w:val="7188EB72"/>
    <w:rsid w:val="71897A61"/>
    <w:rsid w:val="718AC1E2"/>
    <w:rsid w:val="718D6CCF"/>
    <w:rsid w:val="718EA5E9"/>
    <w:rsid w:val="71914121"/>
    <w:rsid w:val="7191B4BF"/>
    <w:rsid w:val="719459A6"/>
    <w:rsid w:val="7194AC9F"/>
    <w:rsid w:val="71959AD0"/>
    <w:rsid w:val="71963F0B"/>
    <w:rsid w:val="719666D8"/>
    <w:rsid w:val="719669EA"/>
    <w:rsid w:val="7199A466"/>
    <w:rsid w:val="719C1900"/>
    <w:rsid w:val="719C8A1F"/>
    <w:rsid w:val="719CD134"/>
    <w:rsid w:val="71A00B0C"/>
    <w:rsid w:val="71A11D1E"/>
    <w:rsid w:val="71A15800"/>
    <w:rsid w:val="71A24288"/>
    <w:rsid w:val="71A283B2"/>
    <w:rsid w:val="71A58A6F"/>
    <w:rsid w:val="71A9EA93"/>
    <w:rsid w:val="71AC7D72"/>
    <w:rsid w:val="71AE9643"/>
    <w:rsid w:val="71B01EBB"/>
    <w:rsid w:val="71B14E75"/>
    <w:rsid w:val="71B3F245"/>
    <w:rsid w:val="71B69CDD"/>
    <w:rsid w:val="71BEDB90"/>
    <w:rsid w:val="71C07925"/>
    <w:rsid w:val="71C116D5"/>
    <w:rsid w:val="71C404F0"/>
    <w:rsid w:val="71C770B1"/>
    <w:rsid w:val="71C78E2B"/>
    <w:rsid w:val="71C8434D"/>
    <w:rsid w:val="71C8D256"/>
    <w:rsid w:val="71CAAA29"/>
    <w:rsid w:val="71CB0578"/>
    <w:rsid w:val="71CBC583"/>
    <w:rsid w:val="71CE1371"/>
    <w:rsid w:val="71D01F21"/>
    <w:rsid w:val="71D08284"/>
    <w:rsid w:val="71D0E596"/>
    <w:rsid w:val="71D1B3C8"/>
    <w:rsid w:val="71D1F58C"/>
    <w:rsid w:val="71D93F2D"/>
    <w:rsid w:val="71DA985B"/>
    <w:rsid w:val="71DB9C7A"/>
    <w:rsid w:val="71DBA1D6"/>
    <w:rsid w:val="71DFD0E9"/>
    <w:rsid w:val="71E0E1C8"/>
    <w:rsid w:val="71E556E6"/>
    <w:rsid w:val="71E6081C"/>
    <w:rsid w:val="71E64DC6"/>
    <w:rsid w:val="71E67051"/>
    <w:rsid w:val="71E75D48"/>
    <w:rsid w:val="71E91BB7"/>
    <w:rsid w:val="71EA51A5"/>
    <w:rsid w:val="71EAE98D"/>
    <w:rsid w:val="71ECA8F2"/>
    <w:rsid w:val="71EDE5FD"/>
    <w:rsid w:val="71EE0718"/>
    <w:rsid w:val="71EFDEBF"/>
    <w:rsid w:val="71F114EC"/>
    <w:rsid w:val="71F1DFFC"/>
    <w:rsid w:val="71F7F317"/>
    <w:rsid w:val="71F8BCDE"/>
    <w:rsid w:val="71FD6633"/>
    <w:rsid w:val="7200FC7C"/>
    <w:rsid w:val="72051EE9"/>
    <w:rsid w:val="7205BC25"/>
    <w:rsid w:val="720813AC"/>
    <w:rsid w:val="720AC8B1"/>
    <w:rsid w:val="720C092B"/>
    <w:rsid w:val="720D98E6"/>
    <w:rsid w:val="720EBE85"/>
    <w:rsid w:val="720F37AA"/>
    <w:rsid w:val="72101668"/>
    <w:rsid w:val="7216330A"/>
    <w:rsid w:val="72167300"/>
    <w:rsid w:val="72183453"/>
    <w:rsid w:val="72187CBF"/>
    <w:rsid w:val="721A0F0E"/>
    <w:rsid w:val="721A94F1"/>
    <w:rsid w:val="72219285"/>
    <w:rsid w:val="7221FA3C"/>
    <w:rsid w:val="72232685"/>
    <w:rsid w:val="7223372F"/>
    <w:rsid w:val="7225572C"/>
    <w:rsid w:val="722660F0"/>
    <w:rsid w:val="7227AFF3"/>
    <w:rsid w:val="722A4DA9"/>
    <w:rsid w:val="722F80A9"/>
    <w:rsid w:val="723145BB"/>
    <w:rsid w:val="72332D52"/>
    <w:rsid w:val="723765B7"/>
    <w:rsid w:val="723816AC"/>
    <w:rsid w:val="72399F35"/>
    <w:rsid w:val="723AC069"/>
    <w:rsid w:val="723FB68B"/>
    <w:rsid w:val="7242289C"/>
    <w:rsid w:val="7242C89F"/>
    <w:rsid w:val="724744F5"/>
    <w:rsid w:val="7249EB9B"/>
    <w:rsid w:val="724B6AE5"/>
    <w:rsid w:val="724C8217"/>
    <w:rsid w:val="724FD29C"/>
    <w:rsid w:val="724FF4A2"/>
    <w:rsid w:val="72529408"/>
    <w:rsid w:val="72574EE9"/>
    <w:rsid w:val="7258AA73"/>
    <w:rsid w:val="7259B432"/>
    <w:rsid w:val="7259E486"/>
    <w:rsid w:val="725B1803"/>
    <w:rsid w:val="725C0549"/>
    <w:rsid w:val="725F4A68"/>
    <w:rsid w:val="72633F8F"/>
    <w:rsid w:val="72654928"/>
    <w:rsid w:val="72655215"/>
    <w:rsid w:val="7265C074"/>
    <w:rsid w:val="726B32BE"/>
    <w:rsid w:val="726CB244"/>
    <w:rsid w:val="726E6F35"/>
    <w:rsid w:val="7276A23B"/>
    <w:rsid w:val="727814E5"/>
    <w:rsid w:val="727908A6"/>
    <w:rsid w:val="7279E96E"/>
    <w:rsid w:val="727CD0E2"/>
    <w:rsid w:val="727E3166"/>
    <w:rsid w:val="727F2FB0"/>
    <w:rsid w:val="7280BE92"/>
    <w:rsid w:val="7280C6FC"/>
    <w:rsid w:val="72853C0B"/>
    <w:rsid w:val="7285AA01"/>
    <w:rsid w:val="72867B0E"/>
    <w:rsid w:val="7286BAA8"/>
    <w:rsid w:val="728B91A3"/>
    <w:rsid w:val="728CC2CE"/>
    <w:rsid w:val="728E6D2C"/>
    <w:rsid w:val="728F90D4"/>
    <w:rsid w:val="728F93B9"/>
    <w:rsid w:val="729078B4"/>
    <w:rsid w:val="7294B396"/>
    <w:rsid w:val="72971A25"/>
    <w:rsid w:val="7299179F"/>
    <w:rsid w:val="729B728B"/>
    <w:rsid w:val="729DA228"/>
    <w:rsid w:val="729DC5FD"/>
    <w:rsid w:val="729F2D59"/>
    <w:rsid w:val="72A0719A"/>
    <w:rsid w:val="72A48874"/>
    <w:rsid w:val="72A4906F"/>
    <w:rsid w:val="72A518A5"/>
    <w:rsid w:val="72A581F5"/>
    <w:rsid w:val="72A781BC"/>
    <w:rsid w:val="72A7D398"/>
    <w:rsid w:val="72A90660"/>
    <w:rsid w:val="72A927F3"/>
    <w:rsid w:val="72ABE6EE"/>
    <w:rsid w:val="72AC7584"/>
    <w:rsid w:val="72AC904D"/>
    <w:rsid w:val="72AEF785"/>
    <w:rsid w:val="72B26D07"/>
    <w:rsid w:val="72B31D4A"/>
    <w:rsid w:val="72B44F14"/>
    <w:rsid w:val="72B45FC6"/>
    <w:rsid w:val="72B46F00"/>
    <w:rsid w:val="72B5AEA8"/>
    <w:rsid w:val="72B8DECA"/>
    <w:rsid w:val="72B9D954"/>
    <w:rsid w:val="72BC8527"/>
    <w:rsid w:val="72C17923"/>
    <w:rsid w:val="72C1C303"/>
    <w:rsid w:val="72C87127"/>
    <w:rsid w:val="72C8BFEC"/>
    <w:rsid w:val="72C9AF8A"/>
    <w:rsid w:val="72CEF962"/>
    <w:rsid w:val="72D06163"/>
    <w:rsid w:val="72D0B553"/>
    <w:rsid w:val="72D0C49E"/>
    <w:rsid w:val="72D24EDC"/>
    <w:rsid w:val="72D3FE1E"/>
    <w:rsid w:val="72D43509"/>
    <w:rsid w:val="72D502B6"/>
    <w:rsid w:val="72D73EEE"/>
    <w:rsid w:val="72DBAAAB"/>
    <w:rsid w:val="72DEA891"/>
    <w:rsid w:val="72DEC10C"/>
    <w:rsid w:val="72DFA418"/>
    <w:rsid w:val="72E1497E"/>
    <w:rsid w:val="72E23C5D"/>
    <w:rsid w:val="72E2F892"/>
    <w:rsid w:val="72E316A8"/>
    <w:rsid w:val="72E49EDA"/>
    <w:rsid w:val="72E4E8AC"/>
    <w:rsid w:val="72E7A4A8"/>
    <w:rsid w:val="72E8E138"/>
    <w:rsid w:val="72E9519C"/>
    <w:rsid w:val="72EBCA66"/>
    <w:rsid w:val="72EE2CE7"/>
    <w:rsid w:val="72EE56EE"/>
    <w:rsid w:val="72EEA7A2"/>
    <w:rsid w:val="72F1D5AD"/>
    <w:rsid w:val="72F3FB3A"/>
    <w:rsid w:val="72F51471"/>
    <w:rsid w:val="72F55156"/>
    <w:rsid w:val="72F943A8"/>
    <w:rsid w:val="72FA1038"/>
    <w:rsid w:val="72FC95D2"/>
    <w:rsid w:val="72FD2E19"/>
    <w:rsid w:val="73025946"/>
    <w:rsid w:val="7302E0EE"/>
    <w:rsid w:val="7303742A"/>
    <w:rsid w:val="73043931"/>
    <w:rsid w:val="73068CEE"/>
    <w:rsid w:val="7306FD43"/>
    <w:rsid w:val="73076342"/>
    <w:rsid w:val="7308DB81"/>
    <w:rsid w:val="730952A8"/>
    <w:rsid w:val="730B23A8"/>
    <w:rsid w:val="730B38E1"/>
    <w:rsid w:val="730BFDCA"/>
    <w:rsid w:val="730D2337"/>
    <w:rsid w:val="730E1343"/>
    <w:rsid w:val="730F411F"/>
    <w:rsid w:val="731077FF"/>
    <w:rsid w:val="7310D05E"/>
    <w:rsid w:val="7312C1DF"/>
    <w:rsid w:val="7313883B"/>
    <w:rsid w:val="7313D842"/>
    <w:rsid w:val="7313FD07"/>
    <w:rsid w:val="7314BBCF"/>
    <w:rsid w:val="731676F8"/>
    <w:rsid w:val="7317D5AD"/>
    <w:rsid w:val="73195BFF"/>
    <w:rsid w:val="731A2D70"/>
    <w:rsid w:val="731AF2CA"/>
    <w:rsid w:val="7321449E"/>
    <w:rsid w:val="73229658"/>
    <w:rsid w:val="7324E84A"/>
    <w:rsid w:val="7326A9C5"/>
    <w:rsid w:val="73270038"/>
    <w:rsid w:val="7327D8B3"/>
    <w:rsid w:val="73280B45"/>
    <w:rsid w:val="732B1F2D"/>
    <w:rsid w:val="732D8F03"/>
    <w:rsid w:val="732DCB8D"/>
    <w:rsid w:val="73334832"/>
    <w:rsid w:val="7335F1BF"/>
    <w:rsid w:val="7336AC9C"/>
    <w:rsid w:val="7338C5BB"/>
    <w:rsid w:val="733D3828"/>
    <w:rsid w:val="733DBE29"/>
    <w:rsid w:val="733DECD2"/>
    <w:rsid w:val="733FA1F6"/>
    <w:rsid w:val="73407C2A"/>
    <w:rsid w:val="73449C7E"/>
    <w:rsid w:val="7344EBF1"/>
    <w:rsid w:val="7345D252"/>
    <w:rsid w:val="73465D58"/>
    <w:rsid w:val="7348EAB4"/>
    <w:rsid w:val="7349CDFA"/>
    <w:rsid w:val="734B4A7D"/>
    <w:rsid w:val="734BBA3E"/>
    <w:rsid w:val="734C20E0"/>
    <w:rsid w:val="734DA459"/>
    <w:rsid w:val="734DF51F"/>
    <w:rsid w:val="734E326D"/>
    <w:rsid w:val="734FCC0F"/>
    <w:rsid w:val="7350EBEB"/>
    <w:rsid w:val="73535681"/>
    <w:rsid w:val="73536D5F"/>
    <w:rsid w:val="735435DB"/>
    <w:rsid w:val="735582CD"/>
    <w:rsid w:val="735642E8"/>
    <w:rsid w:val="7356D231"/>
    <w:rsid w:val="735A9BFA"/>
    <w:rsid w:val="736035F2"/>
    <w:rsid w:val="73637D53"/>
    <w:rsid w:val="736468FD"/>
    <w:rsid w:val="7364A13D"/>
    <w:rsid w:val="736576FC"/>
    <w:rsid w:val="7365C5B8"/>
    <w:rsid w:val="736C946A"/>
    <w:rsid w:val="736D99F1"/>
    <w:rsid w:val="736F857E"/>
    <w:rsid w:val="737050D2"/>
    <w:rsid w:val="73736D6B"/>
    <w:rsid w:val="737664E5"/>
    <w:rsid w:val="737C9ED0"/>
    <w:rsid w:val="737E8633"/>
    <w:rsid w:val="7381D204"/>
    <w:rsid w:val="7384EFAD"/>
    <w:rsid w:val="738D4324"/>
    <w:rsid w:val="738D5EAD"/>
    <w:rsid w:val="738E1433"/>
    <w:rsid w:val="738F1348"/>
    <w:rsid w:val="73914A82"/>
    <w:rsid w:val="73927C14"/>
    <w:rsid w:val="7393BC84"/>
    <w:rsid w:val="73967948"/>
    <w:rsid w:val="7396F93A"/>
    <w:rsid w:val="73990310"/>
    <w:rsid w:val="739CCADC"/>
    <w:rsid w:val="739F134A"/>
    <w:rsid w:val="739FF9C7"/>
    <w:rsid w:val="73A04FE3"/>
    <w:rsid w:val="73A3222F"/>
    <w:rsid w:val="73A5B5D3"/>
    <w:rsid w:val="73A62041"/>
    <w:rsid w:val="73A93361"/>
    <w:rsid w:val="73A94A31"/>
    <w:rsid w:val="73AD2BDB"/>
    <w:rsid w:val="73ADECFF"/>
    <w:rsid w:val="73B033EC"/>
    <w:rsid w:val="73B237F4"/>
    <w:rsid w:val="73B2FB89"/>
    <w:rsid w:val="73B87BFE"/>
    <w:rsid w:val="73B8CF8D"/>
    <w:rsid w:val="73B94BDF"/>
    <w:rsid w:val="73BACE9E"/>
    <w:rsid w:val="73BD5BBC"/>
    <w:rsid w:val="73BDAF0C"/>
    <w:rsid w:val="73BF9F6A"/>
    <w:rsid w:val="73C0723B"/>
    <w:rsid w:val="73C18828"/>
    <w:rsid w:val="73C1B9E1"/>
    <w:rsid w:val="73C1F197"/>
    <w:rsid w:val="73C897FE"/>
    <w:rsid w:val="73C9985A"/>
    <w:rsid w:val="73CBEDAB"/>
    <w:rsid w:val="73CC9F62"/>
    <w:rsid w:val="73D1AD13"/>
    <w:rsid w:val="73D42047"/>
    <w:rsid w:val="73D4D675"/>
    <w:rsid w:val="73D53C93"/>
    <w:rsid w:val="73D543D1"/>
    <w:rsid w:val="73D5A022"/>
    <w:rsid w:val="73D89FC6"/>
    <w:rsid w:val="73DC8A43"/>
    <w:rsid w:val="73DE3C6B"/>
    <w:rsid w:val="73DE5554"/>
    <w:rsid w:val="73DF6131"/>
    <w:rsid w:val="73E0B204"/>
    <w:rsid w:val="73E30863"/>
    <w:rsid w:val="73E655ED"/>
    <w:rsid w:val="73E6A3B9"/>
    <w:rsid w:val="73E753C8"/>
    <w:rsid w:val="73EA70CF"/>
    <w:rsid w:val="73ECB485"/>
    <w:rsid w:val="73EE3B0D"/>
    <w:rsid w:val="73F0800F"/>
    <w:rsid w:val="73F34C8F"/>
    <w:rsid w:val="73F4540B"/>
    <w:rsid w:val="73F64B84"/>
    <w:rsid w:val="73FC08E4"/>
    <w:rsid w:val="73FC2B20"/>
    <w:rsid w:val="73FC4C4C"/>
    <w:rsid w:val="73FD8FD4"/>
    <w:rsid w:val="73FE1031"/>
    <w:rsid w:val="7400075F"/>
    <w:rsid w:val="7402A85F"/>
    <w:rsid w:val="7403BDE6"/>
    <w:rsid w:val="7403EA6C"/>
    <w:rsid w:val="7404FE2D"/>
    <w:rsid w:val="74052CF5"/>
    <w:rsid w:val="74059C81"/>
    <w:rsid w:val="7407158C"/>
    <w:rsid w:val="74073C2D"/>
    <w:rsid w:val="740B5F7A"/>
    <w:rsid w:val="740E1E61"/>
    <w:rsid w:val="741117E5"/>
    <w:rsid w:val="74113F3D"/>
    <w:rsid w:val="7411A75D"/>
    <w:rsid w:val="7412C714"/>
    <w:rsid w:val="741494F6"/>
    <w:rsid w:val="741961CA"/>
    <w:rsid w:val="741C66BD"/>
    <w:rsid w:val="741CFD95"/>
    <w:rsid w:val="741FAB40"/>
    <w:rsid w:val="74205072"/>
    <w:rsid w:val="74242026"/>
    <w:rsid w:val="742654DE"/>
    <w:rsid w:val="7427997B"/>
    <w:rsid w:val="74286997"/>
    <w:rsid w:val="742A58F2"/>
    <w:rsid w:val="742AFB60"/>
    <w:rsid w:val="742C0470"/>
    <w:rsid w:val="7430A723"/>
    <w:rsid w:val="7432CD6D"/>
    <w:rsid w:val="743598FA"/>
    <w:rsid w:val="7435B17A"/>
    <w:rsid w:val="7435CC99"/>
    <w:rsid w:val="74378AFE"/>
    <w:rsid w:val="7438BAD8"/>
    <w:rsid w:val="7439A3AC"/>
    <w:rsid w:val="743F7F25"/>
    <w:rsid w:val="743FD29E"/>
    <w:rsid w:val="7441B19E"/>
    <w:rsid w:val="74467F08"/>
    <w:rsid w:val="7447B722"/>
    <w:rsid w:val="744962B6"/>
    <w:rsid w:val="7449EC07"/>
    <w:rsid w:val="744A4602"/>
    <w:rsid w:val="744B74A7"/>
    <w:rsid w:val="744CA59B"/>
    <w:rsid w:val="744E600F"/>
    <w:rsid w:val="744E95C5"/>
    <w:rsid w:val="744F4C1A"/>
    <w:rsid w:val="744FCE04"/>
    <w:rsid w:val="7451F922"/>
    <w:rsid w:val="74585588"/>
    <w:rsid w:val="74588C81"/>
    <w:rsid w:val="74589615"/>
    <w:rsid w:val="745B1AF6"/>
    <w:rsid w:val="74605249"/>
    <w:rsid w:val="7460C523"/>
    <w:rsid w:val="7461D2C4"/>
    <w:rsid w:val="74629524"/>
    <w:rsid w:val="7464B4E3"/>
    <w:rsid w:val="7466AC36"/>
    <w:rsid w:val="74680C45"/>
    <w:rsid w:val="74680DC8"/>
    <w:rsid w:val="746A3ABE"/>
    <w:rsid w:val="746C2B26"/>
    <w:rsid w:val="7473717B"/>
    <w:rsid w:val="7475F838"/>
    <w:rsid w:val="74769D16"/>
    <w:rsid w:val="7477E0CD"/>
    <w:rsid w:val="74789274"/>
    <w:rsid w:val="7478D0E1"/>
    <w:rsid w:val="7479F9F5"/>
    <w:rsid w:val="747AF790"/>
    <w:rsid w:val="747BA50F"/>
    <w:rsid w:val="747C952E"/>
    <w:rsid w:val="747FC5C4"/>
    <w:rsid w:val="747FD9C5"/>
    <w:rsid w:val="7480B7CB"/>
    <w:rsid w:val="748171CD"/>
    <w:rsid w:val="74835C92"/>
    <w:rsid w:val="7485DA04"/>
    <w:rsid w:val="74867947"/>
    <w:rsid w:val="7489A27E"/>
    <w:rsid w:val="748DC24A"/>
    <w:rsid w:val="748F1E1B"/>
    <w:rsid w:val="74903A41"/>
    <w:rsid w:val="7493499D"/>
    <w:rsid w:val="749406AF"/>
    <w:rsid w:val="74947367"/>
    <w:rsid w:val="74953183"/>
    <w:rsid w:val="74954A89"/>
    <w:rsid w:val="74967008"/>
    <w:rsid w:val="74989BCC"/>
    <w:rsid w:val="749B99E9"/>
    <w:rsid w:val="749C9C43"/>
    <w:rsid w:val="749E0C1F"/>
    <w:rsid w:val="74A16CD1"/>
    <w:rsid w:val="74A4FCA6"/>
    <w:rsid w:val="74A5B984"/>
    <w:rsid w:val="74A76D45"/>
    <w:rsid w:val="74A8E9D9"/>
    <w:rsid w:val="74A978BA"/>
    <w:rsid w:val="74AEA992"/>
    <w:rsid w:val="74AFE2AD"/>
    <w:rsid w:val="74B36354"/>
    <w:rsid w:val="74B42829"/>
    <w:rsid w:val="74BBC753"/>
    <w:rsid w:val="74BE2143"/>
    <w:rsid w:val="74BEBFF3"/>
    <w:rsid w:val="74BF0485"/>
    <w:rsid w:val="74C1102D"/>
    <w:rsid w:val="74C2AD55"/>
    <w:rsid w:val="74C76113"/>
    <w:rsid w:val="74C8667B"/>
    <w:rsid w:val="74CB3309"/>
    <w:rsid w:val="74CBDED4"/>
    <w:rsid w:val="74CCE55B"/>
    <w:rsid w:val="74CD87EF"/>
    <w:rsid w:val="74D0183A"/>
    <w:rsid w:val="74D5BB54"/>
    <w:rsid w:val="74D61D8D"/>
    <w:rsid w:val="74D62B6F"/>
    <w:rsid w:val="74D9E846"/>
    <w:rsid w:val="74D9F30E"/>
    <w:rsid w:val="74DA81AA"/>
    <w:rsid w:val="74DCE106"/>
    <w:rsid w:val="74E0334D"/>
    <w:rsid w:val="74E20EFC"/>
    <w:rsid w:val="74E8E7D1"/>
    <w:rsid w:val="74EA87BF"/>
    <w:rsid w:val="74EB3812"/>
    <w:rsid w:val="74EB5286"/>
    <w:rsid w:val="74EE6202"/>
    <w:rsid w:val="74EE974E"/>
    <w:rsid w:val="74EEA22F"/>
    <w:rsid w:val="74EEB508"/>
    <w:rsid w:val="74EFE56F"/>
    <w:rsid w:val="74F3E516"/>
    <w:rsid w:val="74F6776A"/>
    <w:rsid w:val="74F7C92B"/>
    <w:rsid w:val="74FB5A8B"/>
    <w:rsid w:val="74FBAAD1"/>
    <w:rsid w:val="74FC6B69"/>
    <w:rsid w:val="74FCE64D"/>
    <w:rsid w:val="74FD0FF5"/>
    <w:rsid w:val="7502CC11"/>
    <w:rsid w:val="75033A83"/>
    <w:rsid w:val="7503440E"/>
    <w:rsid w:val="7507BCE5"/>
    <w:rsid w:val="750933EC"/>
    <w:rsid w:val="750951B7"/>
    <w:rsid w:val="7509641D"/>
    <w:rsid w:val="750B8E4C"/>
    <w:rsid w:val="750B9827"/>
    <w:rsid w:val="750E1711"/>
    <w:rsid w:val="75102EB9"/>
    <w:rsid w:val="7511DC4E"/>
    <w:rsid w:val="7514856A"/>
    <w:rsid w:val="75148C60"/>
    <w:rsid w:val="7514C660"/>
    <w:rsid w:val="7516BE18"/>
    <w:rsid w:val="751880E2"/>
    <w:rsid w:val="75189173"/>
    <w:rsid w:val="7518DEBB"/>
    <w:rsid w:val="751D12D8"/>
    <w:rsid w:val="751FFF53"/>
    <w:rsid w:val="7524764E"/>
    <w:rsid w:val="7524C69E"/>
    <w:rsid w:val="752C6D8D"/>
    <w:rsid w:val="752C77A0"/>
    <w:rsid w:val="752C8344"/>
    <w:rsid w:val="75301600"/>
    <w:rsid w:val="7532ABB6"/>
    <w:rsid w:val="75334F42"/>
    <w:rsid w:val="7533B97B"/>
    <w:rsid w:val="753718B8"/>
    <w:rsid w:val="75395A8E"/>
    <w:rsid w:val="7539BD0B"/>
    <w:rsid w:val="7539C92A"/>
    <w:rsid w:val="753A96E2"/>
    <w:rsid w:val="753AE5CC"/>
    <w:rsid w:val="753B027E"/>
    <w:rsid w:val="753C0673"/>
    <w:rsid w:val="753D03A7"/>
    <w:rsid w:val="753D3DAF"/>
    <w:rsid w:val="753F8FCF"/>
    <w:rsid w:val="7540F159"/>
    <w:rsid w:val="7547FED2"/>
    <w:rsid w:val="7548CB8F"/>
    <w:rsid w:val="7548DD07"/>
    <w:rsid w:val="754AB877"/>
    <w:rsid w:val="754D944D"/>
    <w:rsid w:val="7553C51C"/>
    <w:rsid w:val="7555DBFD"/>
    <w:rsid w:val="7556FC46"/>
    <w:rsid w:val="755859D6"/>
    <w:rsid w:val="75598FA1"/>
    <w:rsid w:val="755D7850"/>
    <w:rsid w:val="755E513B"/>
    <w:rsid w:val="75602045"/>
    <w:rsid w:val="7560700C"/>
    <w:rsid w:val="75629A85"/>
    <w:rsid w:val="75654F5F"/>
    <w:rsid w:val="75691BC0"/>
    <w:rsid w:val="75696318"/>
    <w:rsid w:val="7569B936"/>
    <w:rsid w:val="756BCE56"/>
    <w:rsid w:val="756D80D6"/>
    <w:rsid w:val="756FC3BD"/>
    <w:rsid w:val="7572B4E4"/>
    <w:rsid w:val="7575649B"/>
    <w:rsid w:val="7577AE05"/>
    <w:rsid w:val="75797FE5"/>
    <w:rsid w:val="757C879F"/>
    <w:rsid w:val="757F84BB"/>
    <w:rsid w:val="7580F793"/>
    <w:rsid w:val="7581E463"/>
    <w:rsid w:val="7583D354"/>
    <w:rsid w:val="7586192E"/>
    <w:rsid w:val="758792D3"/>
    <w:rsid w:val="75888149"/>
    <w:rsid w:val="75899B7F"/>
    <w:rsid w:val="758AE348"/>
    <w:rsid w:val="758BA786"/>
    <w:rsid w:val="758CFFCB"/>
    <w:rsid w:val="758D4C78"/>
    <w:rsid w:val="758F3216"/>
    <w:rsid w:val="758F8E76"/>
    <w:rsid w:val="7590C432"/>
    <w:rsid w:val="75937FFF"/>
    <w:rsid w:val="7593941E"/>
    <w:rsid w:val="7595901F"/>
    <w:rsid w:val="759604AB"/>
    <w:rsid w:val="7596B932"/>
    <w:rsid w:val="759AE8F2"/>
    <w:rsid w:val="759B1ADE"/>
    <w:rsid w:val="759E6441"/>
    <w:rsid w:val="759EC9BD"/>
    <w:rsid w:val="759ED425"/>
    <w:rsid w:val="75A06DF0"/>
    <w:rsid w:val="75A2701E"/>
    <w:rsid w:val="75A3CE4A"/>
    <w:rsid w:val="75A69461"/>
    <w:rsid w:val="75A8BC1C"/>
    <w:rsid w:val="75AC5501"/>
    <w:rsid w:val="75ACBEF4"/>
    <w:rsid w:val="75AD4436"/>
    <w:rsid w:val="75AE0CA2"/>
    <w:rsid w:val="75AF4F62"/>
    <w:rsid w:val="75B5F698"/>
    <w:rsid w:val="75BA49F8"/>
    <w:rsid w:val="75BD6BB8"/>
    <w:rsid w:val="75BFBDBE"/>
    <w:rsid w:val="75C1251D"/>
    <w:rsid w:val="75C16289"/>
    <w:rsid w:val="75C19682"/>
    <w:rsid w:val="75C76822"/>
    <w:rsid w:val="75C93066"/>
    <w:rsid w:val="75CCF39E"/>
    <w:rsid w:val="75D0FF69"/>
    <w:rsid w:val="75D13C7A"/>
    <w:rsid w:val="75D26AD3"/>
    <w:rsid w:val="75D355A8"/>
    <w:rsid w:val="75D51E35"/>
    <w:rsid w:val="75D68AB9"/>
    <w:rsid w:val="75D7EC57"/>
    <w:rsid w:val="75D8DE11"/>
    <w:rsid w:val="75DB9BE7"/>
    <w:rsid w:val="75DBB517"/>
    <w:rsid w:val="75DBC0C7"/>
    <w:rsid w:val="75DF9D94"/>
    <w:rsid w:val="75DFC1F1"/>
    <w:rsid w:val="75E3BC71"/>
    <w:rsid w:val="75E5B688"/>
    <w:rsid w:val="75E6A9F4"/>
    <w:rsid w:val="75E6FC80"/>
    <w:rsid w:val="75E79790"/>
    <w:rsid w:val="75E7E750"/>
    <w:rsid w:val="75E8D42B"/>
    <w:rsid w:val="75EC13F4"/>
    <w:rsid w:val="75EC3268"/>
    <w:rsid w:val="75EEAA75"/>
    <w:rsid w:val="75EFE89F"/>
    <w:rsid w:val="75F155BA"/>
    <w:rsid w:val="75F30BA2"/>
    <w:rsid w:val="75F33ED6"/>
    <w:rsid w:val="75F4DCB4"/>
    <w:rsid w:val="75F53545"/>
    <w:rsid w:val="75F6D40F"/>
    <w:rsid w:val="75F7D676"/>
    <w:rsid w:val="75F8FEAF"/>
    <w:rsid w:val="75FC18D0"/>
    <w:rsid w:val="75FD7F7E"/>
    <w:rsid w:val="75FD827F"/>
    <w:rsid w:val="75FDE0A5"/>
    <w:rsid w:val="75FDF99E"/>
    <w:rsid w:val="7600F394"/>
    <w:rsid w:val="76026A03"/>
    <w:rsid w:val="76050BB1"/>
    <w:rsid w:val="7606A05A"/>
    <w:rsid w:val="7606E323"/>
    <w:rsid w:val="7609EC52"/>
    <w:rsid w:val="760D3797"/>
    <w:rsid w:val="760E39DA"/>
    <w:rsid w:val="760F6248"/>
    <w:rsid w:val="760F7269"/>
    <w:rsid w:val="760FF5D7"/>
    <w:rsid w:val="7612F5BD"/>
    <w:rsid w:val="7613FC5D"/>
    <w:rsid w:val="76158C97"/>
    <w:rsid w:val="7615ED80"/>
    <w:rsid w:val="761607BE"/>
    <w:rsid w:val="761889AE"/>
    <w:rsid w:val="7618CDD2"/>
    <w:rsid w:val="76197737"/>
    <w:rsid w:val="76198D3B"/>
    <w:rsid w:val="761D83D9"/>
    <w:rsid w:val="761E35A8"/>
    <w:rsid w:val="7623E7CE"/>
    <w:rsid w:val="7624CFEE"/>
    <w:rsid w:val="76260DA9"/>
    <w:rsid w:val="76268833"/>
    <w:rsid w:val="76276A72"/>
    <w:rsid w:val="762F1C13"/>
    <w:rsid w:val="76311B4F"/>
    <w:rsid w:val="7632AD24"/>
    <w:rsid w:val="7632EF63"/>
    <w:rsid w:val="7636CDBB"/>
    <w:rsid w:val="7637198B"/>
    <w:rsid w:val="7639417F"/>
    <w:rsid w:val="763A5D31"/>
    <w:rsid w:val="763A796F"/>
    <w:rsid w:val="763C392F"/>
    <w:rsid w:val="763D6142"/>
    <w:rsid w:val="763EBE29"/>
    <w:rsid w:val="763ED043"/>
    <w:rsid w:val="763F0196"/>
    <w:rsid w:val="763F70FF"/>
    <w:rsid w:val="76422A8A"/>
    <w:rsid w:val="76425781"/>
    <w:rsid w:val="764427A3"/>
    <w:rsid w:val="76463A0B"/>
    <w:rsid w:val="76486909"/>
    <w:rsid w:val="764E5F35"/>
    <w:rsid w:val="76548801"/>
    <w:rsid w:val="765DB0E3"/>
    <w:rsid w:val="7661D9A2"/>
    <w:rsid w:val="7663886B"/>
    <w:rsid w:val="7663E124"/>
    <w:rsid w:val="766901A7"/>
    <w:rsid w:val="766BC8A9"/>
    <w:rsid w:val="766C757B"/>
    <w:rsid w:val="766C8AFB"/>
    <w:rsid w:val="766F2E42"/>
    <w:rsid w:val="76713E86"/>
    <w:rsid w:val="76718210"/>
    <w:rsid w:val="7672CCB7"/>
    <w:rsid w:val="76747D8D"/>
    <w:rsid w:val="767642E8"/>
    <w:rsid w:val="7676DFD7"/>
    <w:rsid w:val="7677E10C"/>
    <w:rsid w:val="76784392"/>
    <w:rsid w:val="7679987C"/>
    <w:rsid w:val="767B02FE"/>
    <w:rsid w:val="767B7F0E"/>
    <w:rsid w:val="76808DB7"/>
    <w:rsid w:val="7681CD31"/>
    <w:rsid w:val="7681D670"/>
    <w:rsid w:val="76851B4E"/>
    <w:rsid w:val="7686575F"/>
    <w:rsid w:val="76866850"/>
    <w:rsid w:val="7686DBAE"/>
    <w:rsid w:val="7688AE40"/>
    <w:rsid w:val="7688EE77"/>
    <w:rsid w:val="768923BA"/>
    <w:rsid w:val="768A462E"/>
    <w:rsid w:val="7690434E"/>
    <w:rsid w:val="7690AF42"/>
    <w:rsid w:val="7691EF11"/>
    <w:rsid w:val="76923BD3"/>
    <w:rsid w:val="7693275B"/>
    <w:rsid w:val="769360D9"/>
    <w:rsid w:val="769505E8"/>
    <w:rsid w:val="76951C4C"/>
    <w:rsid w:val="7696AD93"/>
    <w:rsid w:val="7696B418"/>
    <w:rsid w:val="7696C942"/>
    <w:rsid w:val="7699361C"/>
    <w:rsid w:val="769A5EFF"/>
    <w:rsid w:val="769ADE91"/>
    <w:rsid w:val="769E2E79"/>
    <w:rsid w:val="76A0A9F7"/>
    <w:rsid w:val="76A0DC6F"/>
    <w:rsid w:val="76A5B7D4"/>
    <w:rsid w:val="76A7320F"/>
    <w:rsid w:val="76AF4788"/>
    <w:rsid w:val="76AF78EB"/>
    <w:rsid w:val="76B0145D"/>
    <w:rsid w:val="76B33B58"/>
    <w:rsid w:val="76B40736"/>
    <w:rsid w:val="76B4696A"/>
    <w:rsid w:val="76B652C1"/>
    <w:rsid w:val="76B7E881"/>
    <w:rsid w:val="76B879F7"/>
    <w:rsid w:val="76BA32BD"/>
    <w:rsid w:val="76BA47A9"/>
    <w:rsid w:val="76BB4B84"/>
    <w:rsid w:val="76BFD9AE"/>
    <w:rsid w:val="76C07610"/>
    <w:rsid w:val="76C3CD7E"/>
    <w:rsid w:val="76C3DF9C"/>
    <w:rsid w:val="76C446EB"/>
    <w:rsid w:val="76C4A643"/>
    <w:rsid w:val="76CF802D"/>
    <w:rsid w:val="76D046D7"/>
    <w:rsid w:val="76D6AB3A"/>
    <w:rsid w:val="76D8F8FB"/>
    <w:rsid w:val="76DBCA9A"/>
    <w:rsid w:val="76DCAB33"/>
    <w:rsid w:val="76E11F5A"/>
    <w:rsid w:val="76E1925E"/>
    <w:rsid w:val="76E2608E"/>
    <w:rsid w:val="76E3519B"/>
    <w:rsid w:val="76E7A59D"/>
    <w:rsid w:val="76EAD56C"/>
    <w:rsid w:val="76EB9B99"/>
    <w:rsid w:val="76EC700F"/>
    <w:rsid w:val="76EDE771"/>
    <w:rsid w:val="76EE54C8"/>
    <w:rsid w:val="76EE60C2"/>
    <w:rsid w:val="76EF0156"/>
    <w:rsid w:val="76F143BA"/>
    <w:rsid w:val="76F29A47"/>
    <w:rsid w:val="76F35131"/>
    <w:rsid w:val="76F43F66"/>
    <w:rsid w:val="76F7AF19"/>
    <w:rsid w:val="76FC7B36"/>
    <w:rsid w:val="7703652E"/>
    <w:rsid w:val="7705D845"/>
    <w:rsid w:val="7706E6AD"/>
    <w:rsid w:val="77079ED2"/>
    <w:rsid w:val="7709843D"/>
    <w:rsid w:val="770B21BD"/>
    <w:rsid w:val="770B3EE2"/>
    <w:rsid w:val="770C2A1A"/>
    <w:rsid w:val="7713CEE1"/>
    <w:rsid w:val="7714257B"/>
    <w:rsid w:val="7715E4CF"/>
    <w:rsid w:val="77179BEA"/>
    <w:rsid w:val="77184402"/>
    <w:rsid w:val="771922D4"/>
    <w:rsid w:val="77198FA0"/>
    <w:rsid w:val="771E8D77"/>
    <w:rsid w:val="771F5F97"/>
    <w:rsid w:val="7721486D"/>
    <w:rsid w:val="772465D6"/>
    <w:rsid w:val="772524F1"/>
    <w:rsid w:val="7726052B"/>
    <w:rsid w:val="77295803"/>
    <w:rsid w:val="772A83BD"/>
    <w:rsid w:val="772E6F43"/>
    <w:rsid w:val="772F4BB0"/>
    <w:rsid w:val="772FC6BD"/>
    <w:rsid w:val="77342645"/>
    <w:rsid w:val="7736BEF4"/>
    <w:rsid w:val="773B185A"/>
    <w:rsid w:val="77400044"/>
    <w:rsid w:val="77405642"/>
    <w:rsid w:val="77415E71"/>
    <w:rsid w:val="7741D888"/>
    <w:rsid w:val="7742D34C"/>
    <w:rsid w:val="7742D35C"/>
    <w:rsid w:val="77451B01"/>
    <w:rsid w:val="77462538"/>
    <w:rsid w:val="7746AFDF"/>
    <w:rsid w:val="774962AB"/>
    <w:rsid w:val="774D0E9F"/>
    <w:rsid w:val="774D6C30"/>
    <w:rsid w:val="774E958E"/>
    <w:rsid w:val="774F1215"/>
    <w:rsid w:val="774F9BA2"/>
    <w:rsid w:val="7750B55E"/>
    <w:rsid w:val="77537FA2"/>
    <w:rsid w:val="77538981"/>
    <w:rsid w:val="7754F5A9"/>
    <w:rsid w:val="77550D37"/>
    <w:rsid w:val="775A9600"/>
    <w:rsid w:val="775BA452"/>
    <w:rsid w:val="775EE103"/>
    <w:rsid w:val="775F2265"/>
    <w:rsid w:val="7760EBCD"/>
    <w:rsid w:val="7762DA31"/>
    <w:rsid w:val="7764F16D"/>
    <w:rsid w:val="776557D2"/>
    <w:rsid w:val="77680922"/>
    <w:rsid w:val="7768EB5B"/>
    <w:rsid w:val="77690466"/>
    <w:rsid w:val="776C3F43"/>
    <w:rsid w:val="776CA274"/>
    <w:rsid w:val="777098C8"/>
    <w:rsid w:val="77739663"/>
    <w:rsid w:val="7773CC75"/>
    <w:rsid w:val="77786158"/>
    <w:rsid w:val="7778DCF2"/>
    <w:rsid w:val="777B2832"/>
    <w:rsid w:val="777B341D"/>
    <w:rsid w:val="777EDDF1"/>
    <w:rsid w:val="777F1957"/>
    <w:rsid w:val="77800AA2"/>
    <w:rsid w:val="77816199"/>
    <w:rsid w:val="7782E2BC"/>
    <w:rsid w:val="77848B1F"/>
    <w:rsid w:val="7784B38B"/>
    <w:rsid w:val="77872B17"/>
    <w:rsid w:val="7787EEB1"/>
    <w:rsid w:val="7788138A"/>
    <w:rsid w:val="77887499"/>
    <w:rsid w:val="7789836B"/>
    <w:rsid w:val="778B0322"/>
    <w:rsid w:val="778B1E59"/>
    <w:rsid w:val="778B2F58"/>
    <w:rsid w:val="778E888B"/>
    <w:rsid w:val="778EA7A9"/>
    <w:rsid w:val="778F2FD5"/>
    <w:rsid w:val="77908ECD"/>
    <w:rsid w:val="77923719"/>
    <w:rsid w:val="7793563D"/>
    <w:rsid w:val="77956365"/>
    <w:rsid w:val="77978108"/>
    <w:rsid w:val="7798DCD7"/>
    <w:rsid w:val="77A1A81F"/>
    <w:rsid w:val="77A42676"/>
    <w:rsid w:val="77A6DD7F"/>
    <w:rsid w:val="77A7D6EF"/>
    <w:rsid w:val="77ADB7DA"/>
    <w:rsid w:val="77AE5AC6"/>
    <w:rsid w:val="77AF48B1"/>
    <w:rsid w:val="77B01475"/>
    <w:rsid w:val="77B0477F"/>
    <w:rsid w:val="77B0E393"/>
    <w:rsid w:val="77B0EED3"/>
    <w:rsid w:val="77B1A7F1"/>
    <w:rsid w:val="77B311DE"/>
    <w:rsid w:val="77B3ADE0"/>
    <w:rsid w:val="77B58A4C"/>
    <w:rsid w:val="77B64939"/>
    <w:rsid w:val="77B79E75"/>
    <w:rsid w:val="77B854BB"/>
    <w:rsid w:val="77B8E68E"/>
    <w:rsid w:val="77BA28FE"/>
    <w:rsid w:val="77BE55EF"/>
    <w:rsid w:val="77BFFF6B"/>
    <w:rsid w:val="77C007D0"/>
    <w:rsid w:val="77C089E1"/>
    <w:rsid w:val="77C0C8D2"/>
    <w:rsid w:val="77C13102"/>
    <w:rsid w:val="77C18950"/>
    <w:rsid w:val="77C666C2"/>
    <w:rsid w:val="77CB10EF"/>
    <w:rsid w:val="77CCB36C"/>
    <w:rsid w:val="77CD2EDF"/>
    <w:rsid w:val="77CD621F"/>
    <w:rsid w:val="77D50A49"/>
    <w:rsid w:val="77D5B441"/>
    <w:rsid w:val="77D69C80"/>
    <w:rsid w:val="77D848D9"/>
    <w:rsid w:val="77DBB5B6"/>
    <w:rsid w:val="77DC6D5D"/>
    <w:rsid w:val="77DEBB6C"/>
    <w:rsid w:val="77DED490"/>
    <w:rsid w:val="77E16DFB"/>
    <w:rsid w:val="77E5D978"/>
    <w:rsid w:val="77E68F7A"/>
    <w:rsid w:val="77EA13F9"/>
    <w:rsid w:val="77EAE204"/>
    <w:rsid w:val="77ED3333"/>
    <w:rsid w:val="77EE00B6"/>
    <w:rsid w:val="77EEDE44"/>
    <w:rsid w:val="77F076F6"/>
    <w:rsid w:val="77F0DA8D"/>
    <w:rsid w:val="77F43D1B"/>
    <w:rsid w:val="77F4EF32"/>
    <w:rsid w:val="77F527BB"/>
    <w:rsid w:val="77FAA975"/>
    <w:rsid w:val="77FB6730"/>
    <w:rsid w:val="77FE4124"/>
    <w:rsid w:val="77FE5355"/>
    <w:rsid w:val="77FE78EE"/>
    <w:rsid w:val="7801EF32"/>
    <w:rsid w:val="78024570"/>
    <w:rsid w:val="78037C76"/>
    <w:rsid w:val="78049C26"/>
    <w:rsid w:val="78062CEE"/>
    <w:rsid w:val="780807A6"/>
    <w:rsid w:val="7809F481"/>
    <w:rsid w:val="780CE837"/>
    <w:rsid w:val="780F10E2"/>
    <w:rsid w:val="7812557E"/>
    <w:rsid w:val="7813E0F4"/>
    <w:rsid w:val="7814490B"/>
    <w:rsid w:val="7816C5B7"/>
    <w:rsid w:val="78185D14"/>
    <w:rsid w:val="78194474"/>
    <w:rsid w:val="7819D1E9"/>
    <w:rsid w:val="781AF613"/>
    <w:rsid w:val="781AFAE4"/>
    <w:rsid w:val="781BD8E2"/>
    <w:rsid w:val="781BE7EC"/>
    <w:rsid w:val="781C4D80"/>
    <w:rsid w:val="781E63B8"/>
    <w:rsid w:val="781EC427"/>
    <w:rsid w:val="7822AC0F"/>
    <w:rsid w:val="7825F9B8"/>
    <w:rsid w:val="782715D0"/>
    <w:rsid w:val="782A6C5E"/>
    <w:rsid w:val="782CB62D"/>
    <w:rsid w:val="782CF10C"/>
    <w:rsid w:val="782E037C"/>
    <w:rsid w:val="782EB50D"/>
    <w:rsid w:val="78336125"/>
    <w:rsid w:val="7834476F"/>
    <w:rsid w:val="7836B3DA"/>
    <w:rsid w:val="78383FD6"/>
    <w:rsid w:val="783ADF56"/>
    <w:rsid w:val="783C36A1"/>
    <w:rsid w:val="783E39AB"/>
    <w:rsid w:val="783E8EBA"/>
    <w:rsid w:val="783FC6B3"/>
    <w:rsid w:val="784005ED"/>
    <w:rsid w:val="78460DFC"/>
    <w:rsid w:val="784652ED"/>
    <w:rsid w:val="7846D7D0"/>
    <w:rsid w:val="7847E577"/>
    <w:rsid w:val="784A4DB5"/>
    <w:rsid w:val="784A6DC3"/>
    <w:rsid w:val="784B36D3"/>
    <w:rsid w:val="784BB288"/>
    <w:rsid w:val="784D0D75"/>
    <w:rsid w:val="784D804B"/>
    <w:rsid w:val="784E0E2C"/>
    <w:rsid w:val="78505755"/>
    <w:rsid w:val="7850F543"/>
    <w:rsid w:val="7852A8FB"/>
    <w:rsid w:val="78585D3B"/>
    <w:rsid w:val="7859FF37"/>
    <w:rsid w:val="785B31EC"/>
    <w:rsid w:val="7860062A"/>
    <w:rsid w:val="7860792F"/>
    <w:rsid w:val="7861B18C"/>
    <w:rsid w:val="786D652A"/>
    <w:rsid w:val="786F6B98"/>
    <w:rsid w:val="7876C413"/>
    <w:rsid w:val="7878E74C"/>
    <w:rsid w:val="78832194"/>
    <w:rsid w:val="78877B07"/>
    <w:rsid w:val="7888349B"/>
    <w:rsid w:val="7888897B"/>
    <w:rsid w:val="7888E8AE"/>
    <w:rsid w:val="788A603C"/>
    <w:rsid w:val="788BAC80"/>
    <w:rsid w:val="78906FBB"/>
    <w:rsid w:val="78909CB0"/>
    <w:rsid w:val="7891160D"/>
    <w:rsid w:val="789147B8"/>
    <w:rsid w:val="78929A99"/>
    <w:rsid w:val="78932CDB"/>
    <w:rsid w:val="789C199D"/>
    <w:rsid w:val="789E7D15"/>
    <w:rsid w:val="78A74EA7"/>
    <w:rsid w:val="78A8659C"/>
    <w:rsid w:val="78A8C37C"/>
    <w:rsid w:val="78A94BC2"/>
    <w:rsid w:val="78AC25B4"/>
    <w:rsid w:val="78AD00B2"/>
    <w:rsid w:val="78AD1049"/>
    <w:rsid w:val="78AF4509"/>
    <w:rsid w:val="78B0039C"/>
    <w:rsid w:val="78B12736"/>
    <w:rsid w:val="78B2718D"/>
    <w:rsid w:val="78B3C370"/>
    <w:rsid w:val="78B5B243"/>
    <w:rsid w:val="78BBC08C"/>
    <w:rsid w:val="78BC6A61"/>
    <w:rsid w:val="78BCBF1B"/>
    <w:rsid w:val="78BD7F46"/>
    <w:rsid w:val="78BD96D6"/>
    <w:rsid w:val="78BF65DA"/>
    <w:rsid w:val="78C19E09"/>
    <w:rsid w:val="78C82A60"/>
    <w:rsid w:val="78C9ED02"/>
    <w:rsid w:val="78CAFAB1"/>
    <w:rsid w:val="78CD7550"/>
    <w:rsid w:val="78D326CE"/>
    <w:rsid w:val="78D32C9B"/>
    <w:rsid w:val="78D4BD72"/>
    <w:rsid w:val="78D61E03"/>
    <w:rsid w:val="78D6F0E3"/>
    <w:rsid w:val="78D75EB7"/>
    <w:rsid w:val="78D7C6B0"/>
    <w:rsid w:val="78D898D3"/>
    <w:rsid w:val="78D9642E"/>
    <w:rsid w:val="78DA0E8E"/>
    <w:rsid w:val="78DE5898"/>
    <w:rsid w:val="78E10F72"/>
    <w:rsid w:val="78E20F67"/>
    <w:rsid w:val="78E70F37"/>
    <w:rsid w:val="78ECD2ED"/>
    <w:rsid w:val="78EEC2E7"/>
    <w:rsid w:val="78F2E438"/>
    <w:rsid w:val="78F41E38"/>
    <w:rsid w:val="78F5BC92"/>
    <w:rsid w:val="78F6943E"/>
    <w:rsid w:val="78F6B498"/>
    <w:rsid w:val="78F8CE78"/>
    <w:rsid w:val="78FAB066"/>
    <w:rsid w:val="78FAC307"/>
    <w:rsid w:val="78FF7677"/>
    <w:rsid w:val="790119EB"/>
    <w:rsid w:val="7901311F"/>
    <w:rsid w:val="79015FC9"/>
    <w:rsid w:val="79023E1F"/>
    <w:rsid w:val="7905B847"/>
    <w:rsid w:val="79066EA9"/>
    <w:rsid w:val="790A9CD3"/>
    <w:rsid w:val="790AABB9"/>
    <w:rsid w:val="790D04CC"/>
    <w:rsid w:val="790EDBFD"/>
    <w:rsid w:val="79107182"/>
    <w:rsid w:val="79109143"/>
    <w:rsid w:val="7910FBBB"/>
    <w:rsid w:val="79183528"/>
    <w:rsid w:val="79188809"/>
    <w:rsid w:val="791945E6"/>
    <w:rsid w:val="791B0E27"/>
    <w:rsid w:val="791C622A"/>
    <w:rsid w:val="791C6241"/>
    <w:rsid w:val="791E951A"/>
    <w:rsid w:val="791F1E60"/>
    <w:rsid w:val="791FF003"/>
    <w:rsid w:val="79225C9C"/>
    <w:rsid w:val="7922BCA0"/>
    <w:rsid w:val="79235C07"/>
    <w:rsid w:val="792739C3"/>
    <w:rsid w:val="792770BF"/>
    <w:rsid w:val="792892E7"/>
    <w:rsid w:val="79290D06"/>
    <w:rsid w:val="792A25C3"/>
    <w:rsid w:val="792A6538"/>
    <w:rsid w:val="792D0A6D"/>
    <w:rsid w:val="79379DAC"/>
    <w:rsid w:val="793803A8"/>
    <w:rsid w:val="79394BEA"/>
    <w:rsid w:val="7939FEA9"/>
    <w:rsid w:val="79406ECD"/>
    <w:rsid w:val="794149B3"/>
    <w:rsid w:val="79419E6C"/>
    <w:rsid w:val="7941C8F8"/>
    <w:rsid w:val="7948DA12"/>
    <w:rsid w:val="794A8590"/>
    <w:rsid w:val="794AEEC0"/>
    <w:rsid w:val="794BA625"/>
    <w:rsid w:val="794BDCEB"/>
    <w:rsid w:val="794C4A17"/>
    <w:rsid w:val="79540361"/>
    <w:rsid w:val="7954CB71"/>
    <w:rsid w:val="7954DE73"/>
    <w:rsid w:val="7954F6F5"/>
    <w:rsid w:val="795709B9"/>
    <w:rsid w:val="79586901"/>
    <w:rsid w:val="79586FEC"/>
    <w:rsid w:val="795AA278"/>
    <w:rsid w:val="795B9C59"/>
    <w:rsid w:val="795C1622"/>
    <w:rsid w:val="795DD3D8"/>
    <w:rsid w:val="795DDCCB"/>
    <w:rsid w:val="796331AD"/>
    <w:rsid w:val="796354A0"/>
    <w:rsid w:val="796701A8"/>
    <w:rsid w:val="7967675E"/>
    <w:rsid w:val="7968D665"/>
    <w:rsid w:val="7969546B"/>
    <w:rsid w:val="796A5C09"/>
    <w:rsid w:val="796AD166"/>
    <w:rsid w:val="796B6B68"/>
    <w:rsid w:val="796B7274"/>
    <w:rsid w:val="796B76ED"/>
    <w:rsid w:val="796F80EF"/>
    <w:rsid w:val="796F9F8A"/>
    <w:rsid w:val="796FA8CE"/>
    <w:rsid w:val="796FF505"/>
    <w:rsid w:val="7971617D"/>
    <w:rsid w:val="797244C9"/>
    <w:rsid w:val="79729B39"/>
    <w:rsid w:val="7973ED66"/>
    <w:rsid w:val="79768400"/>
    <w:rsid w:val="7976B0AA"/>
    <w:rsid w:val="7977662B"/>
    <w:rsid w:val="79784863"/>
    <w:rsid w:val="7978B81B"/>
    <w:rsid w:val="797D6347"/>
    <w:rsid w:val="797E6EC6"/>
    <w:rsid w:val="797F74FB"/>
    <w:rsid w:val="797F7B99"/>
    <w:rsid w:val="79806745"/>
    <w:rsid w:val="7980731B"/>
    <w:rsid w:val="79829634"/>
    <w:rsid w:val="7984870B"/>
    <w:rsid w:val="7985CE2B"/>
    <w:rsid w:val="79862B05"/>
    <w:rsid w:val="7987E220"/>
    <w:rsid w:val="7988EEAA"/>
    <w:rsid w:val="7989E54C"/>
    <w:rsid w:val="798B33D3"/>
    <w:rsid w:val="798B5779"/>
    <w:rsid w:val="798C2397"/>
    <w:rsid w:val="798CB330"/>
    <w:rsid w:val="798DC0F5"/>
    <w:rsid w:val="798ED076"/>
    <w:rsid w:val="798ED0EE"/>
    <w:rsid w:val="798FCE26"/>
    <w:rsid w:val="79943053"/>
    <w:rsid w:val="79946AD9"/>
    <w:rsid w:val="7995FBA1"/>
    <w:rsid w:val="7996F7C1"/>
    <w:rsid w:val="7998C9C5"/>
    <w:rsid w:val="799A28D3"/>
    <w:rsid w:val="799B7C76"/>
    <w:rsid w:val="799BD8C1"/>
    <w:rsid w:val="799C53E6"/>
    <w:rsid w:val="799E9A48"/>
    <w:rsid w:val="79A3ADFF"/>
    <w:rsid w:val="79A44CF5"/>
    <w:rsid w:val="79A51012"/>
    <w:rsid w:val="79AECEA1"/>
    <w:rsid w:val="79AEDF56"/>
    <w:rsid w:val="79AFF628"/>
    <w:rsid w:val="79B46017"/>
    <w:rsid w:val="79B57F2D"/>
    <w:rsid w:val="79B90ED4"/>
    <w:rsid w:val="79B9B3F6"/>
    <w:rsid w:val="79BDF9AA"/>
    <w:rsid w:val="79C0DF55"/>
    <w:rsid w:val="79C28AC6"/>
    <w:rsid w:val="79C2F556"/>
    <w:rsid w:val="79C49B85"/>
    <w:rsid w:val="79C53B30"/>
    <w:rsid w:val="79C65335"/>
    <w:rsid w:val="79C6BACA"/>
    <w:rsid w:val="79C9C8F0"/>
    <w:rsid w:val="79CC8145"/>
    <w:rsid w:val="79CE2AE8"/>
    <w:rsid w:val="79D4912B"/>
    <w:rsid w:val="79D70D88"/>
    <w:rsid w:val="79D7AA2A"/>
    <w:rsid w:val="79D8A238"/>
    <w:rsid w:val="79D99347"/>
    <w:rsid w:val="79DE2614"/>
    <w:rsid w:val="79E21E62"/>
    <w:rsid w:val="79E31672"/>
    <w:rsid w:val="79E60FA1"/>
    <w:rsid w:val="79E730F6"/>
    <w:rsid w:val="79EAFDD0"/>
    <w:rsid w:val="79EC0F19"/>
    <w:rsid w:val="79EFEE33"/>
    <w:rsid w:val="79F2398F"/>
    <w:rsid w:val="79F24545"/>
    <w:rsid w:val="79F3268C"/>
    <w:rsid w:val="79F3D655"/>
    <w:rsid w:val="79F44991"/>
    <w:rsid w:val="79F6BA82"/>
    <w:rsid w:val="79FAD3D4"/>
    <w:rsid w:val="79FC71D7"/>
    <w:rsid w:val="7A02B4B4"/>
    <w:rsid w:val="7A0590BC"/>
    <w:rsid w:val="7A06CB01"/>
    <w:rsid w:val="7A06FEA5"/>
    <w:rsid w:val="7A093DBE"/>
    <w:rsid w:val="7A0A6D03"/>
    <w:rsid w:val="7A0D0D7C"/>
    <w:rsid w:val="7A0F94F4"/>
    <w:rsid w:val="7A0FDF1F"/>
    <w:rsid w:val="7A108B47"/>
    <w:rsid w:val="7A111078"/>
    <w:rsid w:val="7A11465D"/>
    <w:rsid w:val="7A12D0E0"/>
    <w:rsid w:val="7A12E2C8"/>
    <w:rsid w:val="7A14FA0F"/>
    <w:rsid w:val="7A166E9B"/>
    <w:rsid w:val="7A18B1F5"/>
    <w:rsid w:val="7A190E9D"/>
    <w:rsid w:val="7A1DBF1F"/>
    <w:rsid w:val="7A220B4E"/>
    <w:rsid w:val="7A249DAA"/>
    <w:rsid w:val="7A25535A"/>
    <w:rsid w:val="7A26136C"/>
    <w:rsid w:val="7A28AD3C"/>
    <w:rsid w:val="7A294C86"/>
    <w:rsid w:val="7A2A57D2"/>
    <w:rsid w:val="7A2CB381"/>
    <w:rsid w:val="7A2FD1CF"/>
    <w:rsid w:val="7A30F08E"/>
    <w:rsid w:val="7A338A3B"/>
    <w:rsid w:val="7A35573A"/>
    <w:rsid w:val="7A361120"/>
    <w:rsid w:val="7A3A2DE5"/>
    <w:rsid w:val="7A3BE5BC"/>
    <w:rsid w:val="7A3C5275"/>
    <w:rsid w:val="7A3F3D9F"/>
    <w:rsid w:val="7A408280"/>
    <w:rsid w:val="7A414974"/>
    <w:rsid w:val="7A42DAD8"/>
    <w:rsid w:val="7A44356C"/>
    <w:rsid w:val="7A4459EC"/>
    <w:rsid w:val="7A45CC4A"/>
    <w:rsid w:val="7A45E4E3"/>
    <w:rsid w:val="7A470B79"/>
    <w:rsid w:val="7A488C3F"/>
    <w:rsid w:val="7A4B47B8"/>
    <w:rsid w:val="7A4B960D"/>
    <w:rsid w:val="7A51EED1"/>
    <w:rsid w:val="7A541659"/>
    <w:rsid w:val="7A582FB2"/>
    <w:rsid w:val="7A5ACF0C"/>
    <w:rsid w:val="7A5C0A28"/>
    <w:rsid w:val="7A5DC54B"/>
    <w:rsid w:val="7A5E9AFE"/>
    <w:rsid w:val="7A63976C"/>
    <w:rsid w:val="7A64F76C"/>
    <w:rsid w:val="7A662E3B"/>
    <w:rsid w:val="7A684525"/>
    <w:rsid w:val="7A6EF846"/>
    <w:rsid w:val="7A716598"/>
    <w:rsid w:val="7A71AB32"/>
    <w:rsid w:val="7A7496CB"/>
    <w:rsid w:val="7A757045"/>
    <w:rsid w:val="7A76A75E"/>
    <w:rsid w:val="7A7C3C29"/>
    <w:rsid w:val="7A7D0ABC"/>
    <w:rsid w:val="7A810F14"/>
    <w:rsid w:val="7A8195A8"/>
    <w:rsid w:val="7A82F6D6"/>
    <w:rsid w:val="7A8489F9"/>
    <w:rsid w:val="7A85416E"/>
    <w:rsid w:val="7A857543"/>
    <w:rsid w:val="7A86D519"/>
    <w:rsid w:val="7A8842CC"/>
    <w:rsid w:val="7A8881FF"/>
    <w:rsid w:val="7A8A8436"/>
    <w:rsid w:val="7A8B9E99"/>
    <w:rsid w:val="7A8D9C90"/>
    <w:rsid w:val="7A943725"/>
    <w:rsid w:val="7A94BDB3"/>
    <w:rsid w:val="7A94CDC7"/>
    <w:rsid w:val="7A9A7FC1"/>
    <w:rsid w:val="7A9B91DF"/>
    <w:rsid w:val="7A9C1923"/>
    <w:rsid w:val="7A9E0AAB"/>
    <w:rsid w:val="7AA0DDE3"/>
    <w:rsid w:val="7AA50C58"/>
    <w:rsid w:val="7AA6FA12"/>
    <w:rsid w:val="7AA7841C"/>
    <w:rsid w:val="7AAC28F5"/>
    <w:rsid w:val="7AAD04D2"/>
    <w:rsid w:val="7AAE73C3"/>
    <w:rsid w:val="7AB05DAB"/>
    <w:rsid w:val="7AB0AE85"/>
    <w:rsid w:val="7AB21A08"/>
    <w:rsid w:val="7AB22FE6"/>
    <w:rsid w:val="7AB24D53"/>
    <w:rsid w:val="7AB32B63"/>
    <w:rsid w:val="7AB64F71"/>
    <w:rsid w:val="7ABCB3B6"/>
    <w:rsid w:val="7ABDD959"/>
    <w:rsid w:val="7ABF98EA"/>
    <w:rsid w:val="7AC01CAD"/>
    <w:rsid w:val="7AC0790A"/>
    <w:rsid w:val="7AC265E9"/>
    <w:rsid w:val="7AC37700"/>
    <w:rsid w:val="7AC3ED3A"/>
    <w:rsid w:val="7AC8439A"/>
    <w:rsid w:val="7AC8F094"/>
    <w:rsid w:val="7AC9CFD8"/>
    <w:rsid w:val="7ACDC799"/>
    <w:rsid w:val="7ACF30F6"/>
    <w:rsid w:val="7AD06371"/>
    <w:rsid w:val="7AD2CC25"/>
    <w:rsid w:val="7AD3533D"/>
    <w:rsid w:val="7AD36951"/>
    <w:rsid w:val="7AD3D3D7"/>
    <w:rsid w:val="7AD4F429"/>
    <w:rsid w:val="7AD62682"/>
    <w:rsid w:val="7AD88EA5"/>
    <w:rsid w:val="7AD9E436"/>
    <w:rsid w:val="7ADCBE92"/>
    <w:rsid w:val="7ADE2050"/>
    <w:rsid w:val="7ADE2C9B"/>
    <w:rsid w:val="7ADF5942"/>
    <w:rsid w:val="7ADF8207"/>
    <w:rsid w:val="7ADFF1E8"/>
    <w:rsid w:val="7AE219E6"/>
    <w:rsid w:val="7AE22DBE"/>
    <w:rsid w:val="7AE2FCA3"/>
    <w:rsid w:val="7AE4404F"/>
    <w:rsid w:val="7AE51DED"/>
    <w:rsid w:val="7AE5428D"/>
    <w:rsid w:val="7AE98A78"/>
    <w:rsid w:val="7AEAB9B2"/>
    <w:rsid w:val="7AEAF0F5"/>
    <w:rsid w:val="7AEC13E6"/>
    <w:rsid w:val="7AEE6FB1"/>
    <w:rsid w:val="7AEF2121"/>
    <w:rsid w:val="7AEFDDFE"/>
    <w:rsid w:val="7AF15014"/>
    <w:rsid w:val="7AF4D197"/>
    <w:rsid w:val="7AF5A6F0"/>
    <w:rsid w:val="7AF6F2F2"/>
    <w:rsid w:val="7AF82329"/>
    <w:rsid w:val="7AF9477B"/>
    <w:rsid w:val="7AFCB6D9"/>
    <w:rsid w:val="7B04C4FD"/>
    <w:rsid w:val="7B0861EB"/>
    <w:rsid w:val="7B09488F"/>
    <w:rsid w:val="7B098442"/>
    <w:rsid w:val="7B0BDF73"/>
    <w:rsid w:val="7B0C6E81"/>
    <w:rsid w:val="7B0C84C7"/>
    <w:rsid w:val="7B0E0A78"/>
    <w:rsid w:val="7B0E3332"/>
    <w:rsid w:val="7B0EDBFC"/>
    <w:rsid w:val="7B0F5B47"/>
    <w:rsid w:val="7B0FE5F1"/>
    <w:rsid w:val="7B141F4A"/>
    <w:rsid w:val="7B1435DD"/>
    <w:rsid w:val="7B149B78"/>
    <w:rsid w:val="7B160016"/>
    <w:rsid w:val="7B166D7E"/>
    <w:rsid w:val="7B172824"/>
    <w:rsid w:val="7B17FF31"/>
    <w:rsid w:val="7B1A3841"/>
    <w:rsid w:val="7B1BF501"/>
    <w:rsid w:val="7B1C4CDE"/>
    <w:rsid w:val="7B1D0CD2"/>
    <w:rsid w:val="7B2220B1"/>
    <w:rsid w:val="7B22A160"/>
    <w:rsid w:val="7B22D0A0"/>
    <w:rsid w:val="7B267134"/>
    <w:rsid w:val="7B28E75A"/>
    <w:rsid w:val="7B2B0099"/>
    <w:rsid w:val="7B2BC13D"/>
    <w:rsid w:val="7B2FE918"/>
    <w:rsid w:val="7B3E587A"/>
    <w:rsid w:val="7B3F4115"/>
    <w:rsid w:val="7B41832C"/>
    <w:rsid w:val="7B418CE5"/>
    <w:rsid w:val="7B423524"/>
    <w:rsid w:val="7B423C75"/>
    <w:rsid w:val="7B4306FB"/>
    <w:rsid w:val="7B43A0F8"/>
    <w:rsid w:val="7B44FD33"/>
    <w:rsid w:val="7B4A3EBB"/>
    <w:rsid w:val="7B4D115B"/>
    <w:rsid w:val="7B4D3419"/>
    <w:rsid w:val="7B4E95C1"/>
    <w:rsid w:val="7B4EF2C6"/>
    <w:rsid w:val="7B516659"/>
    <w:rsid w:val="7B592702"/>
    <w:rsid w:val="7B5AE0C3"/>
    <w:rsid w:val="7B5BB1DE"/>
    <w:rsid w:val="7B5BC41B"/>
    <w:rsid w:val="7B5D7A89"/>
    <w:rsid w:val="7B5E9752"/>
    <w:rsid w:val="7B608A7E"/>
    <w:rsid w:val="7B6129C9"/>
    <w:rsid w:val="7B67106C"/>
    <w:rsid w:val="7B67A23B"/>
    <w:rsid w:val="7B681E05"/>
    <w:rsid w:val="7B69A3FB"/>
    <w:rsid w:val="7B71350D"/>
    <w:rsid w:val="7B777C31"/>
    <w:rsid w:val="7B787044"/>
    <w:rsid w:val="7B7C52A1"/>
    <w:rsid w:val="7B7C7CC4"/>
    <w:rsid w:val="7B7D23E8"/>
    <w:rsid w:val="7B7FF99E"/>
    <w:rsid w:val="7B82CD3F"/>
    <w:rsid w:val="7B82F08F"/>
    <w:rsid w:val="7B83126E"/>
    <w:rsid w:val="7B84DA9F"/>
    <w:rsid w:val="7B8562AB"/>
    <w:rsid w:val="7B89BC8C"/>
    <w:rsid w:val="7B8B7FFD"/>
    <w:rsid w:val="7B9431C2"/>
    <w:rsid w:val="7B9789A7"/>
    <w:rsid w:val="7B97A19C"/>
    <w:rsid w:val="7B98E910"/>
    <w:rsid w:val="7B9C1945"/>
    <w:rsid w:val="7B9CF780"/>
    <w:rsid w:val="7B9DCAB5"/>
    <w:rsid w:val="7B9EA09D"/>
    <w:rsid w:val="7BA08017"/>
    <w:rsid w:val="7BA5B2E3"/>
    <w:rsid w:val="7BA6508F"/>
    <w:rsid w:val="7BA70158"/>
    <w:rsid w:val="7BA7CB1B"/>
    <w:rsid w:val="7BA80653"/>
    <w:rsid w:val="7BAB55F4"/>
    <w:rsid w:val="7BAB568D"/>
    <w:rsid w:val="7BAC71E0"/>
    <w:rsid w:val="7BAC7630"/>
    <w:rsid w:val="7BAD0CC7"/>
    <w:rsid w:val="7BAD20EA"/>
    <w:rsid w:val="7BB29ED0"/>
    <w:rsid w:val="7BB304A2"/>
    <w:rsid w:val="7BB41627"/>
    <w:rsid w:val="7BB829D9"/>
    <w:rsid w:val="7BB95D3C"/>
    <w:rsid w:val="7BBC1D6B"/>
    <w:rsid w:val="7BBD63FF"/>
    <w:rsid w:val="7BBEB35D"/>
    <w:rsid w:val="7BBEE5F9"/>
    <w:rsid w:val="7BBEEEEB"/>
    <w:rsid w:val="7BBF2281"/>
    <w:rsid w:val="7BC620B3"/>
    <w:rsid w:val="7BC703FE"/>
    <w:rsid w:val="7BC73E69"/>
    <w:rsid w:val="7BC776A4"/>
    <w:rsid w:val="7BCB9F8C"/>
    <w:rsid w:val="7BCD01C1"/>
    <w:rsid w:val="7BCD2310"/>
    <w:rsid w:val="7BCD51D4"/>
    <w:rsid w:val="7BD06B7F"/>
    <w:rsid w:val="7BD554E4"/>
    <w:rsid w:val="7BD680FE"/>
    <w:rsid w:val="7BD7BB46"/>
    <w:rsid w:val="7BD7EB9D"/>
    <w:rsid w:val="7BD84AA1"/>
    <w:rsid w:val="7BD9020E"/>
    <w:rsid w:val="7BDB2B42"/>
    <w:rsid w:val="7BDF5B68"/>
    <w:rsid w:val="7BE05C8D"/>
    <w:rsid w:val="7BE28A44"/>
    <w:rsid w:val="7BE53AF8"/>
    <w:rsid w:val="7BE608A9"/>
    <w:rsid w:val="7BE6D5F6"/>
    <w:rsid w:val="7BE7B20C"/>
    <w:rsid w:val="7BE82C3C"/>
    <w:rsid w:val="7BE8CD02"/>
    <w:rsid w:val="7BE911DA"/>
    <w:rsid w:val="7BE94DE3"/>
    <w:rsid w:val="7BEB026B"/>
    <w:rsid w:val="7BEBA019"/>
    <w:rsid w:val="7BEDF6A6"/>
    <w:rsid w:val="7BF08DCA"/>
    <w:rsid w:val="7BF0C441"/>
    <w:rsid w:val="7BF1B6AD"/>
    <w:rsid w:val="7BF4592F"/>
    <w:rsid w:val="7BF4E3B2"/>
    <w:rsid w:val="7BF725C3"/>
    <w:rsid w:val="7BF753F0"/>
    <w:rsid w:val="7BF75C84"/>
    <w:rsid w:val="7BFBA737"/>
    <w:rsid w:val="7BFBB666"/>
    <w:rsid w:val="7BFDFCC9"/>
    <w:rsid w:val="7C078100"/>
    <w:rsid w:val="7C083573"/>
    <w:rsid w:val="7C09A435"/>
    <w:rsid w:val="7C0A0A42"/>
    <w:rsid w:val="7C0A7F51"/>
    <w:rsid w:val="7C0AFDCB"/>
    <w:rsid w:val="7C0D3624"/>
    <w:rsid w:val="7C0DBBB1"/>
    <w:rsid w:val="7C0EA1CD"/>
    <w:rsid w:val="7C0EACD0"/>
    <w:rsid w:val="7C10E90F"/>
    <w:rsid w:val="7C118A7F"/>
    <w:rsid w:val="7C13D2F6"/>
    <w:rsid w:val="7C14F522"/>
    <w:rsid w:val="7C1564D5"/>
    <w:rsid w:val="7C158318"/>
    <w:rsid w:val="7C162506"/>
    <w:rsid w:val="7C1715CC"/>
    <w:rsid w:val="7C1813D7"/>
    <w:rsid w:val="7C1A7F9A"/>
    <w:rsid w:val="7C1BF20B"/>
    <w:rsid w:val="7C1C9A78"/>
    <w:rsid w:val="7C1E3924"/>
    <w:rsid w:val="7C20CE19"/>
    <w:rsid w:val="7C216B55"/>
    <w:rsid w:val="7C21A645"/>
    <w:rsid w:val="7C242561"/>
    <w:rsid w:val="7C2592B3"/>
    <w:rsid w:val="7C261411"/>
    <w:rsid w:val="7C265997"/>
    <w:rsid w:val="7C29A04A"/>
    <w:rsid w:val="7C2F58DE"/>
    <w:rsid w:val="7C3660E3"/>
    <w:rsid w:val="7C388DA0"/>
    <w:rsid w:val="7C3AE9EA"/>
    <w:rsid w:val="7C3B5F45"/>
    <w:rsid w:val="7C3BD7E5"/>
    <w:rsid w:val="7C3C02A6"/>
    <w:rsid w:val="7C424176"/>
    <w:rsid w:val="7C443728"/>
    <w:rsid w:val="7C46A763"/>
    <w:rsid w:val="7C490110"/>
    <w:rsid w:val="7C4995C8"/>
    <w:rsid w:val="7C4A78B4"/>
    <w:rsid w:val="7C4E6E63"/>
    <w:rsid w:val="7C4EA0AD"/>
    <w:rsid w:val="7C507FD5"/>
    <w:rsid w:val="7C53900E"/>
    <w:rsid w:val="7C556A8A"/>
    <w:rsid w:val="7C556DAA"/>
    <w:rsid w:val="7C561611"/>
    <w:rsid w:val="7C58BD4C"/>
    <w:rsid w:val="7C5E6F3C"/>
    <w:rsid w:val="7C5F981D"/>
    <w:rsid w:val="7C61C357"/>
    <w:rsid w:val="7C62DBCF"/>
    <w:rsid w:val="7C683F9B"/>
    <w:rsid w:val="7C6F1D47"/>
    <w:rsid w:val="7C6FD603"/>
    <w:rsid w:val="7C701665"/>
    <w:rsid w:val="7C70DB12"/>
    <w:rsid w:val="7C70E687"/>
    <w:rsid w:val="7C73E7F4"/>
    <w:rsid w:val="7C745154"/>
    <w:rsid w:val="7C784CE0"/>
    <w:rsid w:val="7C788CF2"/>
    <w:rsid w:val="7C78D42F"/>
    <w:rsid w:val="7C7A8980"/>
    <w:rsid w:val="7C7D477F"/>
    <w:rsid w:val="7C7D4F46"/>
    <w:rsid w:val="7C7E2DE3"/>
    <w:rsid w:val="7C7FDDE5"/>
    <w:rsid w:val="7C812DF4"/>
    <w:rsid w:val="7C81BE0A"/>
    <w:rsid w:val="7C822D05"/>
    <w:rsid w:val="7C827249"/>
    <w:rsid w:val="7C82A91A"/>
    <w:rsid w:val="7C8326BE"/>
    <w:rsid w:val="7C846528"/>
    <w:rsid w:val="7C85A27F"/>
    <w:rsid w:val="7C8715AA"/>
    <w:rsid w:val="7C88F828"/>
    <w:rsid w:val="7C8A0811"/>
    <w:rsid w:val="7C8A7C02"/>
    <w:rsid w:val="7C8B03D6"/>
    <w:rsid w:val="7C8B42CC"/>
    <w:rsid w:val="7C8D65C2"/>
    <w:rsid w:val="7C8E68E1"/>
    <w:rsid w:val="7C8F7460"/>
    <w:rsid w:val="7C8FD804"/>
    <w:rsid w:val="7C94764B"/>
    <w:rsid w:val="7C95A2D2"/>
    <w:rsid w:val="7C987A08"/>
    <w:rsid w:val="7C9CCEF7"/>
    <w:rsid w:val="7C9DE1FF"/>
    <w:rsid w:val="7C9F4FA5"/>
    <w:rsid w:val="7CA0A6D4"/>
    <w:rsid w:val="7CA35E6B"/>
    <w:rsid w:val="7CA4C851"/>
    <w:rsid w:val="7CA4E00C"/>
    <w:rsid w:val="7CAA1937"/>
    <w:rsid w:val="7CABCDB4"/>
    <w:rsid w:val="7CACDDB7"/>
    <w:rsid w:val="7CADC580"/>
    <w:rsid w:val="7CAE8B51"/>
    <w:rsid w:val="7CAFFAC1"/>
    <w:rsid w:val="7CB3DDBA"/>
    <w:rsid w:val="7CB6B847"/>
    <w:rsid w:val="7CB83235"/>
    <w:rsid w:val="7CB83C7F"/>
    <w:rsid w:val="7CBA40D8"/>
    <w:rsid w:val="7CBA9EE4"/>
    <w:rsid w:val="7CBC8FC9"/>
    <w:rsid w:val="7CC0FF85"/>
    <w:rsid w:val="7CC11C34"/>
    <w:rsid w:val="7CC47D66"/>
    <w:rsid w:val="7CC4F594"/>
    <w:rsid w:val="7CC5E500"/>
    <w:rsid w:val="7CC7198F"/>
    <w:rsid w:val="7CC85F20"/>
    <w:rsid w:val="7CCABECF"/>
    <w:rsid w:val="7CCCCA6B"/>
    <w:rsid w:val="7CCD11F0"/>
    <w:rsid w:val="7CCD59AF"/>
    <w:rsid w:val="7CCD903E"/>
    <w:rsid w:val="7CD080A3"/>
    <w:rsid w:val="7CD0FF39"/>
    <w:rsid w:val="7CD25A6F"/>
    <w:rsid w:val="7CD3C1E9"/>
    <w:rsid w:val="7CD47149"/>
    <w:rsid w:val="7CD8767A"/>
    <w:rsid w:val="7CD926DB"/>
    <w:rsid w:val="7CDC8632"/>
    <w:rsid w:val="7CDDE678"/>
    <w:rsid w:val="7CDF857B"/>
    <w:rsid w:val="7CDFD37E"/>
    <w:rsid w:val="7CE154F9"/>
    <w:rsid w:val="7CE2449D"/>
    <w:rsid w:val="7CE2F06A"/>
    <w:rsid w:val="7CE2FDBC"/>
    <w:rsid w:val="7CE4EE8C"/>
    <w:rsid w:val="7CE51D34"/>
    <w:rsid w:val="7CE5A2D5"/>
    <w:rsid w:val="7CE5D8A5"/>
    <w:rsid w:val="7CE62AA0"/>
    <w:rsid w:val="7CE71055"/>
    <w:rsid w:val="7CEF58B0"/>
    <w:rsid w:val="7CF0B407"/>
    <w:rsid w:val="7CF0D72A"/>
    <w:rsid w:val="7CF1394E"/>
    <w:rsid w:val="7CF27A7C"/>
    <w:rsid w:val="7CF3207F"/>
    <w:rsid w:val="7CF4A212"/>
    <w:rsid w:val="7CF528DA"/>
    <w:rsid w:val="7CF696F5"/>
    <w:rsid w:val="7CF6A742"/>
    <w:rsid w:val="7CF8C5F0"/>
    <w:rsid w:val="7CFA140A"/>
    <w:rsid w:val="7CFD5A0F"/>
    <w:rsid w:val="7CFDFC31"/>
    <w:rsid w:val="7D000C8C"/>
    <w:rsid w:val="7D004128"/>
    <w:rsid w:val="7D072BA0"/>
    <w:rsid w:val="7D07718B"/>
    <w:rsid w:val="7D077AA9"/>
    <w:rsid w:val="7D081D81"/>
    <w:rsid w:val="7D083E93"/>
    <w:rsid w:val="7D08B013"/>
    <w:rsid w:val="7D0A6867"/>
    <w:rsid w:val="7D0DB61D"/>
    <w:rsid w:val="7D103F05"/>
    <w:rsid w:val="7D122746"/>
    <w:rsid w:val="7D169D31"/>
    <w:rsid w:val="7D174BDC"/>
    <w:rsid w:val="7D1B896A"/>
    <w:rsid w:val="7D1C03F3"/>
    <w:rsid w:val="7D1CC679"/>
    <w:rsid w:val="7D211885"/>
    <w:rsid w:val="7D23F399"/>
    <w:rsid w:val="7D24598F"/>
    <w:rsid w:val="7D27A28C"/>
    <w:rsid w:val="7D29E1B1"/>
    <w:rsid w:val="7D2B9C42"/>
    <w:rsid w:val="7D2C3BE4"/>
    <w:rsid w:val="7D2F5AE8"/>
    <w:rsid w:val="7D3257F4"/>
    <w:rsid w:val="7D337AF0"/>
    <w:rsid w:val="7D34AD40"/>
    <w:rsid w:val="7D361106"/>
    <w:rsid w:val="7D365041"/>
    <w:rsid w:val="7D3652A5"/>
    <w:rsid w:val="7D3A24FD"/>
    <w:rsid w:val="7D3AB41E"/>
    <w:rsid w:val="7D3DF15E"/>
    <w:rsid w:val="7D429695"/>
    <w:rsid w:val="7D457354"/>
    <w:rsid w:val="7D47197D"/>
    <w:rsid w:val="7D47B6ED"/>
    <w:rsid w:val="7D4857D1"/>
    <w:rsid w:val="7D4BBD96"/>
    <w:rsid w:val="7D4E0A57"/>
    <w:rsid w:val="7D4FD93E"/>
    <w:rsid w:val="7D514988"/>
    <w:rsid w:val="7D548FC3"/>
    <w:rsid w:val="7D597606"/>
    <w:rsid w:val="7D5CDCB7"/>
    <w:rsid w:val="7D61EAAF"/>
    <w:rsid w:val="7D65C040"/>
    <w:rsid w:val="7D6847DF"/>
    <w:rsid w:val="7D6869B0"/>
    <w:rsid w:val="7D6989F2"/>
    <w:rsid w:val="7D6A52F3"/>
    <w:rsid w:val="7D6D7797"/>
    <w:rsid w:val="7D6DD7B1"/>
    <w:rsid w:val="7D701209"/>
    <w:rsid w:val="7D787D95"/>
    <w:rsid w:val="7D78FC3B"/>
    <w:rsid w:val="7D7A78F5"/>
    <w:rsid w:val="7D7AC0B6"/>
    <w:rsid w:val="7D7B4D2E"/>
    <w:rsid w:val="7D7B5890"/>
    <w:rsid w:val="7D7C6CF3"/>
    <w:rsid w:val="7D7D3FEE"/>
    <w:rsid w:val="7D7D50F4"/>
    <w:rsid w:val="7D7D570C"/>
    <w:rsid w:val="7D7DE838"/>
    <w:rsid w:val="7D808EB8"/>
    <w:rsid w:val="7D81190C"/>
    <w:rsid w:val="7D822B6B"/>
    <w:rsid w:val="7D852FFD"/>
    <w:rsid w:val="7D8586EE"/>
    <w:rsid w:val="7D869733"/>
    <w:rsid w:val="7D8834E5"/>
    <w:rsid w:val="7D897885"/>
    <w:rsid w:val="7D898010"/>
    <w:rsid w:val="7D8AA406"/>
    <w:rsid w:val="7D94D0B2"/>
    <w:rsid w:val="7D9529C6"/>
    <w:rsid w:val="7D95A2BA"/>
    <w:rsid w:val="7D95CEF6"/>
    <w:rsid w:val="7D965DF9"/>
    <w:rsid w:val="7D9883C0"/>
    <w:rsid w:val="7D9AC9E1"/>
    <w:rsid w:val="7D9B7626"/>
    <w:rsid w:val="7D9CBE82"/>
    <w:rsid w:val="7D9E9322"/>
    <w:rsid w:val="7D9EC24F"/>
    <w:rsid w:val="7DA2DA8F"/>
    <w:rsid w:val="7DA30B70"/>
    <w:rsid w:val="7DA41527"/>
    <w:rsid w:val="7DA80C56"/>
    <w:rsid w:val="7DA97AC2"/>
    <w:rsid w:val="7DA98186"/>
    <w:rsid w:val="7DAC5C76"/>
    <w:rsid w:val="7DAC980A"/>
    <w:rsid w:val="7DB0B0F7"/>
    <w:rsid w:val="7DB30F64"/>
    <w:rsid w:val="7DB34212"/>
    <w:rsid w:val="7DB436D9"/>
    <w:rsid w:val="7DB5464C"/>
    <w:rsid w:val="7DB591EB"/>
    <w:rsid w:val="7DB78183"/>
    <w:rsid w:val="7DBA096A"/>
    <w:rsid w:val="7DBB18E9"/>
    <w:rsid w:val="7DBC63A2"/>
    <w:rsid w:val="7DBF0DE1"/>
    <w:rsid w:val="7DBFFE1C"/>
    <w:rsid w:val="7DC2D897"/>
    <w:rsid w:val="7DC36A7B"/>
    <w:rsid w:val="7DC38081"/>
    <w:rsid w:val="7DC48CD4"/>
    <w:rsid w:val="7DC612F8"/>
    <w:rsid w:val="7DC7E506"/>
    <w:rsid w:val="7DC8EFFD"/>
    <w:rsid w:val="7DCA7543"/>
    <w:rsid w:val="7DCAFC20"/>
    <w:rsid w:val="7DCB95D4"/>
    <w:rsid w:val="7DCBA8B4"/>
    <w:rsid w:val="7DCE92C4"/>
    <w:rsid w:val="7DCFDFFE"/>
    <w:rsid w:val="7DD000ED"/>
    <w:rsid w:val="7DD02A2E"/>
    <w:rsid w:val="7DD05B6F"/>
    <w:rsid w:val="7DD4D3BA"/>
    <w:rsid w:val="7DD51A26"/>
    <w:rsid w:val="7DD5813D"/>
    <w:rsid w:val="7DD710DE"/>
    <w:rsid w:val="7DD77CEC"/>
    <w:rsid w:val="7DDA4811"/>
    <w:rsid w:val="7DE25EC7"/>
    <w:rsid w:val="7DE26CE5"/>
    <w:rsid w:val="7DE5E2C9"/>
    <w:rsid w:val="7DE7AEF3"/>
    <w:rsid w:val="7DE848DA"/>
    <w:rsid w:val="7DE9238F"/>
    <w:rsid w:val="7DEAC687"/>
    <w:rsid w:val="7DEBB51B"/>
    <w:rsid w:val="7DEBEC4B"/>
    <w:rsid w:val="7DECA004"/>
    <w:rsid w:val="7DF20C2A"/>
    <w:rsid w:val="7DF351A9"/>
    <w:rsid w:val="7DF421E6"/>
    <w:rsid w:val="7DF6C54B"/>
    <w:rsid w:val="7DF99A84"/>
    <w:rsid w:val="7DF9FC88"/>
    <w:rsid w:val="7DFA5999"/>
    <w:rsid w:val="7DFA5FDD"/>
    <w:rsid w:val="7DFB8854"/>
    <w:rsid w:val="7DFCC86E"/>
    <w:rsid w:val="7DFF0D5E"/>
    <w:rsid w:val="7DFFD239"/>
    <w:rsid w:val="7E01D6DD"/>
    <w:rsid w:val="7E02E724"/>
    <w:rsid w:val="7E0A01AD"/>
    <w:rsid w:val="7E0AFAA7"/>
    <w:rsid w:val="7E105145"/>
    <w:rsid w:val="7E10ACF0"/>
    <w:rsid w:val="7E11B871"/>
    <w:rsid w:val="7E120CBB"/>
    <w:rsid w:val="7E142875"/>
    <w:rsid w:val="7E167B2C"/>
    <w:rsid w:val="7E16BA80"/>
    <w:rsid w:val="7E16CC9E"/>
    <w:rsid w:val="7E173FAF"/>
    <w:rsid w:val="7E189F57"/>
    <w:rsid w:val="7E18FDFC"/>
    <w:rsid w:val="7E1BB3EC"/>
    <w:rsid w:val="7E1DE04E"/>
    <w:rsid w:val="7E20D884"/>
    <w:rsid w:val="7E239EF4"/>
    <w:rsid w:val="7E247FB5"/>
    <w:rsid w:val="7E26D180"/>
    <w:rsid w:val="7E2806A1"/>
    <w:rsid w:val="7E2ABB25"/>
    <w:rsid w:val="7E2E88B0"/>
    <w:rsid w:val="7E2E9D5D"/>
    <w:rsid w:val="7E2FCB21"/>
    <w:rsid w:val="7E33BD15"/>
    <w:rsid w:val="7E347EBE"/>
    <w:rsid w:val="7E36A0A5"/>
    <w:rsid w:val="7E39504C"/>
    <w:rsid w:val="7E3A86FE"/>
    <w:rsid w:val="7E3AD7BE"/>
    <w:rsid w:val="7E3B34D1"/>
    <w:rsid w:val="7E3BF382"/>
    <w:rsid w:val="7E3C4316"/>
    <w:rsid w:val="7E3C4788"/>
    <w:rsid w:val="7E3D03A5"/>
    <w:rsid w:val="7E3D98D6"/>
    <w:rsid w:val="7E3ED08F"/>
    <w:rsid w:val="7E40D6A6"/>
    <w:rsid w:val="7E435EB5"/>
    <w:rsid w:val="7E441AE0"/>
    <w:rsid w:val="7E4438A3"/>
    <w:rsid w:val="7E4A37C7"/>
    <w:rsid w:val="7E4C47EF"/>
    <w:rsid w:val="7E4D18CC"/>
    <w:rsid w:val="7E4D30D3"/>
    <w:rsid w:val="7E4DFAEC"/>
    <w:rsid w:val="7E5353AF"/>
    <w:rsid w:val="7E539F6D"/>
    <w:rsid w:val="7E5422B7"/>
    <w:rsid w:val="7E564A33"/>
    <w:rsid w:val="7E56FECF"/>
    <w:rsid w:val="7E58BB94"/>
    <w:rsid w:val="7E5A133F"/>
    <w:rsid w:val="7E5A4AC5"/>
    <w:rsid w:val="7E5DAEAB"/>
    <w:rsid w:val="7E5E3217"/>
    <w:rsid w:val="7E5FEF41"/>
    <w:rsid w:val="7E604420"/>
    <w:rsid w:val="7E608A4B"/>
    <w:rsid w:val="7E620155"/>
    <w:rsid w:val="7E6295D3"/>
    <w:rsid w:val="7E62F228"/>
    <w:rsid w:val="7E6A04B5"/>
    <w:rsid w:val="7E6BFA55"/>
    <w:rsid w:val="7E6F7B4F"/>
    <w:rsid w:val="7E7130F2"/>
    <w:rsid w:val="7E71DD28"/>
    <w:rsid w:val="7E71F784"/>
    <w:rsid w:val="7E736C93"/>
    <w:rsid w:val="7E751FA7"/>
    <w:rsid w:val="7E7535E0"/>
    <w:rsid w:val="7E799CA7"/>
    <w:rsid w:val="7E79FC41"/>
    <w:rsid w:val="7E7EC187"/>
    <w:rsid w:val="7E800F87"/>
    <w:rsid w:val="7E80B599"/>
    <w:rsid w:val="7E8171D2"/>
    <w:rsid w:val="7E8186F5"/>
    <w:rsid w:val="7E83E2E3"/>
    <w:rsid w:val="7E84D98A"/>
    <w:rsid w:val="7E8957D7"/>
    <w:rsid w:val="7E8B9188"/>
    <w:rsid w:val="7E92239A"/>
    <w:rsid w:val="7E933901"/>
    <w:rsid w:val="7E948F6C"/>
    <w:rsid w:val="7E94A6F1"/>
    <w:rsid w:val="7E97155D"/>
    <w:rsid w:val="7E983590"/>
    <w:rsid w:val="7E9893EC"/>
    <w:rsid w:val="7E9A0CAE"/>
    <w:rsid w:val="7E9A3CBB"/>
    <w:rsid w:val="7E9FBFF4"/>
    <w:rsid w:val="7EA0B1F4"/>
    <w:rsid w:val="7EA2750A"/>
    <w:rsid w:val="7EA5C81F"/>
    <w:rsid w:val="7EA6F074"/>
    <w:rsid w:val="7EA976EA"/>
    <w:rsid w:val="7EABAFC8"/>
    <w:rsid w:val="7EABD86A"/>
    <w:rsid w:val="7EAC1DBF"/>
    <w:rsid w:val="7EB18EA7"/>
    <w:rsid w:val="7EB1CA5F"/>
    <w:rsid w:val="7EB2ED10"/>
    <w:rsid w:val="7EB31C3D"/>
    <w:rsid w:val="7EB496AE"/>
    <w:rsid w:val="7EB58CF1"/>
    <w:rsid w:val="7EB662C5"/>
    <w:rsid w:val="7EBDE487"/>
    <w:rsid w:val="7EC1092B"/>
    <w:rsid w:val="7EC4245B"/>
    <w:rsid w:val="7EC5A086"/>
    <w:rsid w:val="7EC72262"/>
    <w:rsid w:val="7ECD3109"/>
    <w:rsid w:val="7ECDF3F8"/>
    <w:rsid w:val="7ECFC507"/>
    <w:rsid w:val="7ED1CBA7"/>
    <w:rsid w:val="7ED1DE88"/>
    <w:rsid w:val="7ED5DE75"/>
    <w:rsid w:val="7EDB1877"/>
    <w:rsid w:val="7EDBB414"/>
    <w:rsid w:val="7EDC852C"/>
    <w:rsid w:val="7EDCFE10"/>
    <w:rsid w:val="7EDEA358"/>
    <w:rsid w:val="7EE07DF4"/>
    <w:rsid w:val="7EE2101B"/>
    <w:rsid w:val="7EE3C1E0"/>
    <w:rsid w:val="7EE49C53"/>
    <w:rsid w:val="7EE634FA"/>
    <w:rsid w:val="7EE70D99"/>
    <w:rsid w:val="7EE96068"/>
    <w:rsid w:val="7EE9CD06"/>
    <w:rsid w:val="7EEC74D8"/>
    <w:rsid w:val="7EED10AC"/>
    <w:rsid w:val="7EEDF05A"/>
    <w:rsid w:val="7EF02E3E"/>
    <w:rsid w:val="7EF27B19"/>
    <w:rsid w:val="7EF7D1A8"/>
    <w:rsid w:val="7EF7F34B"/>
    <w:rsid w:val="7EFBE98D"/>
    <w:rsid w:val="7EFC1E5F"/>
    <w:rsid w:val="7EFE6D68"/>
    <w:rsid w:val="7EFF25D1"/>
    <w:rsid w:val="7F052F47"/>
    <w:rsid w:val="7F05AABD"/>
    <w:rsid w:val="7F0760B9"/>
    <w:rsid w:val="7F07F43D"/>
    <w:rsid w:val="7F08F0A6"/>
    <w:rsid w:val="7F0AAD24"/>
    <w:rsid w:val="7F0B0DAF"/>
    <w:rsid w:val="7F0FCA2F"/>
    <w:rsid w:val="7F130566"/>
    <w:rsid w:val="7F13A0D4"/>
    <w:rsid w:val="7F158E6A"/>
    <w:rsid w:val="7F16E465"/>
    <w:rsid w:val="7F191149"/>
    <w:rsid w:val="7F1AA6A2"/>
    <w:rsid w:val="7F1CD280"/>
    <w:rsid w:val="7F1DB871"/>
    <w:rsid w:val="7F1E8DDC"/>
    <w:rsid w:val="7F1FB4D3"/>
    <w:rsid w:val="7F20E49F"/>
    <w:rsid w:val="7F239D8F"/>
    <w:rsid w:val="7F24A8A2"/>
    <w:rsid w:val="7F259469"/>
    <w:rsid w:val="7F26AB0B"/>
    <w:rsid w:val="7F26F0D3"/>
    <w:rsid w:val="7F282013"/>
    <w:rsid w:val="7F28321D"/>
    <w:rsid w:val="7F29673D"/>
    <w:rsid w:val="7F2A1D91"/>
    <w:rsid w:val="7F2AD960"/>
    <w:rsid w:val="7F2B8F24"/>
    <w:rsid w:val="7F341544"/>
    <w:rsid w:val="7F34FED6"/>
    <w:rsid w:val="7F382A5D"/>
    <w:rsid w:val="7F38604F"/>
    <w:rsid w:val="7F389A90"/>
    <w:rsid w:val="7F39BD18"/>
    <w:rsid w:val="7F3BC6AA"/>
    <w:rsid w:val="7F3F1A51"/>
    <w:rsid w:val="7F3FFB6F"/>
    <w:rsid w:val="7F410F77"/>
    <w:rsid w:val="7F41CA91"/>
    <w:rsid w:val="7F43FF94"/>
    <w:rsid w:val="7F47788D"/>
    <w:rsid w:val="7F47A354"/>
    <w:rsid w:val="7F4AD8A1"/>
    <w:rsid w:val="7F4BDF5E"/>
    <w:rsid w:val="7F4F2121"/>
    <w:rsid w:val="7F4F415B"/>
    <w:rsid w:val="7F5113E4"/>
    <w:rsid w:val="7F531926"/>
    <w:rsid w:val="7F5334B4"/>
    <w:rsid w:val="7F54BEA5"/>
    <w:rsid w:val="7F54FFA9"/>
    <w:rsid w:val="7F557031"/>
    <w:rsid w:val="7F5C1471"/>
    <w:rsid w:val="7F5CF31F"/>
    <w:rsid w:val="7F5F40B3"/>
    <w:rsid w:val="7F61AC05"/>
    <w:rsid w:val="7F644667"/>
    <w:rsid w:val="7F667FA9"/>
    <w:rsid w:val="7F6B9321"/>
    <w:rsid w:val="7F6F88A1"/>
    <w:rsid w:val="7F6FB812"/>
    <w:rsid w:val="7F70703E"/>
    <w:rsid w:val="7F7271DE"/>
    <w:rsid w:val="7F744EBE"/>
    <w:rsid w:val="7F75359A"/>
    <w:rsid w:val="7F765D43"/>
    <w:rsid w:val="7F782BF5"/>
    <w:rsid w:val="7F79DB19"/>
    <w:rsid w:val="7F7CDCFA"/>
    <w:rsid w:val="7F7D6D85"/>
    <w:rsid w:val="7F7D6EEA"/>
    <w:rsid w:val="7F7DCD87"/>
    <w:rsid w:val="7F80BD3D"/>
    <w:rsid w:val="7F83C2A6"/>
    <w:rsid w:val="7F85851B"/>
    <w:rsid w:val="7F86393B"/>
    <w:rsid w:val="7F881899"/>
    <w:rsid w:val="7F89A19E"/>
    <w:rsid w:val="7F8BF8D1"/>
    <w:rsid w:val="7F8E39A1"/>
    <w:rsid w:val="7F90CA19"/>
    <w:rsid w:val="7F91063A"/>
    <w:rsid w:val="7F913C14"/>
    <w:rsid w:val="7F938EA0"/>
    <w:rsid w:val="7F93AA73"/>
    <w:rsid w:val="7F943178"/>
    <w:rsid w:val="7F946533"/>
    <w:rsid w:val="7F96303E"/>
    <w:rsid w:val="7F9989E7"/>
    <w:rsid w:val="7F9BFA99"/>
    <w:rsid w:val="7F9C820B"/>
    <w:rsid w:val="7F9D114E"/>
    <w:rsid w:val="7F9FE4E6"/>
    <w:rsid w:val="7FA45930"/>
    <w:rsid w:val="7FAA0BF2"/>
    <w:rsid w:val="7FAA15D8"/>
    <w:rsid w:val="7FAEFB49"/>
    <w:rsid w:val="7FB2C2B0"/>
    <w:rsid w:val="7FB2D9C7"/>
    <w:rsid w:val="7FB50FA6"/>
    <w:rsid w:val="7FB6DAFB"/>
    <w:rsid w:val="7FBAA3CA"/>
    <w:rsid w:val="7FBCDAFF"/>
    <w:rsid w:val="7FBCDBC6"/>
    <w:rsid w:val="7FBF74D5"/>
    <w:rsid w:val="7FC008F6"/>
    <w:rsid w:val="7FC3435F"/>
    <w:rsid w:val="7FC488BC"/>
    <w:rsid w:val="7FC861E8"/>
    <w:rsid w:val="7FC8CFF3"/>
    <w:rsid w:val="7FCC83D2"/>
    <w:rsid w:val="7FCD9F12"/>
    <w:rsid w:val="7FCF4D93"/>
    <w:rsid w:val="7FD0E228"/>
    <w:rsid w:val="7FD1AD30"/>
    <w:rsid w:val="7FD360BC"/>
    <w:rsid w:val="7FD3E518"/>
    <w:rsid w:val="7FD783D7"/>
    <w:rsid w:val="7FD97539"/>
    <w:rsid w:val="7FDA4C27"/>
    <w:rsid w:val="7FDD862A"/>
    <w:rsid w:val="7FDDF6A0"/>
    <w:rsid w:val="7FE2C4C5"/>
    <w:rsid w:val="7FE33101"/>
    <w:rsid w:val="7FE38FB6"/>
    <w:rsid w:val="7FE4339D"/>
    <w:rsid w:val="7FE48AB0"/>
    <w:rsid w:val="7FE4FCD5"/>
    <w:rsid w:val="7FEC212F"/>
    <w:rsid w:val="7FED9755"/>
    <w:rsid w:val="7FEE57BA"/>
    <w:rsid w:val="7FF3645B"/>
    <w:rsid w:val="7FF40BE2"/>
    <w:rsid w:val="7FF416C9"/>
    <w:rsid w:val="7FF689C1"/>
    <w:rsid w:val="7FF717BA"/>
    <w:rsid w:val="7FF8A047"/>
    <w:rsid w:val="7FF99A7A"/>
    <w:rsid w:val="7FF9D5C0"/>
    <w:rsid w:val="7FFCD57B"/>
    <w:rsid w:val="7FFE0B11"/>
    <w:rsid w:val="7FFEAF2F"/>
    <w:rsid w:val="7FFEFE37"/>
    <w:rsid w:val="7FFF5111"/>
    <w:rsid w:val="7FFF790F"/>
    <w:rsid w:val="7FFFBBE4"/>
    <w:rsid w:val="7FFFFD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4044B"/>
  <w15:docId w15:val="{BC72908B-B4D4-4256-A99E-10E08DFD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0D5"/>
    <w:pPr>
      <w:spacing w:before="120" w:after="120"/>
      <w:jc w:val="both"/>
    </w:pPr>
    <w:rPr>
      <w:rFonts w:ascii="Arial" w:eastAsia="Calibri" w:hAnsi="Arial" w:cs="ArialMT"/>
      <w:color w:val="53575A" w:themeColor="accent1"/>
      <w:sz w:val="20"/>
      <w:szCs w:val="20"/>
    </w:rPr>
  </w:style>
  <w:style w:type="paragraph" w:styleId="Heading1">
    <w:name w:val="heading 1"/>
    <w:basedOn w:val="Normal"/>
    <w:next w:val="Normal"/>
    <w:link w:val="Heading1Char"/>
    <w:uiPriority w:val="9"/>
    <w:qFormat/>
    <w:rsid w:val="00776070"/>
    <w:pPr>
      <w:keepNext/>
      <w:numPr>
        <w:numId w:val="15"/>
      </w:numPr>
      <w:pBdr>
        <w:bottom w:val="single" w:sz="8" w:space="1" w:color="348F41" w:themeColor="text1"/>
      </w:pBdr>
      <w:spacing w:before="240" w:after="240"/>
      <w:outlineLvl w:val="0"/>
    </w:pPr>
    <w:rPr>
      <w:rFonts w:cs="Arial"/>
      <w:b/>
      <w:bCs/>
      <w:color w:val="348F41" w:themeColor="text1"/>
      <w:sz w:val="26"/>
    </w:rPr>
  </w:style>
  <w:style w:type="paragraph" w:styleId="Heading2">
    <w:name w:val="heading 2"/>
    <w:basedOn w:val="Normal"/>
    <w:next w:val="Normal"/>
    <w:link w:val="Heading2Char"/>
    <w:uiPriority w:val="9"/>
    <w:unhideWhenUsed/>
    <w:qFormat/>
    <w:rsid w:val="005221BB"/>
    <w:pPr>
      <w:keepNext/>
      <w:keepLines/>
      <w:numPr>
        <w:ilvl w:val="1"/>
        <w:numId w:val="15"/>
      </w:numPr>
      <w:ind w:left="284"/>
      <w:outlineLvl w:val="1"/>
    </w:pPr>
    <w:rPr>
      <w:rFonts w:eastAsia="Yu Gothic Light" w:cstheme="majorBidi"/>
      <w:b/>
      <w:color w:val="9F2241" w:themeColor="background1"/>
      <w:sz w:val="24"/>
      <w:szCs w:val="26"/>
    </w:rPr>
  </w:style>
  <w:style w:type="paragraph" w:styleId="Heading3">
    <w:name w:val="heading 3"/>
    <w:basedOn w:val="Normal"/>
    <w:next w:val="Normal"/>
    <w:link w:val="Heading3Char"/>
    <w:uiPriority w:val="9"/>
    <w:unhideWhenUsed/>
    <w:qFormat/>
    <w:rsid w:val="005221BB"/>
    <w:pPr>
      <w:keepNext/>
      <w:numPr>
        <w:ilvl w:val="2"/>
        <w:numId w:val="15"/>
      </w:numPr>
      <w:outlineLvl w:val="2"/>
    </w:pPr>
    <w:rPr>
      <w:rFonts w:cs="Arial"/>
      <w:b/>
      <w:bCs/>
      <w:color w:val="9F2241" w:themeColor="background1"/>
      <w:sz w:val="22"/>
    </w:rPr>
  </w:style>
  <w:style w:type="paragraph" w:styleId="Heading4">
    <w:name w:val="heading 4"/>
    <w:basedOn w:val="Normal"/>
    <w:next w:val="Normal"/>
    <w:link w:val="Heading4Char"/>
    <w:uiPriority w:val="9"/>
    <w:unhideWhenUsed/>
    <w:qFormat/>
    <w:rsid w:val="00B9094A"/>
    <w:pPr>
      <w:outlineLvl w:val="3"/>
    </w:pPr>
    <w:rPr>
      <w:b/>
      <w:color w:val="9F2241" w:themeColor="background1"/>
    </w:rPr>
  </w:style>
  <w:style w:type="paragraph" w:styleId="Heading5">
    <w:name w:val="heading 5"/>
    <w:basedOn w:val="Heading4"/>
    <w:next w:val="Normal"/>
    <w:link w:val="Heading5Char"/>
    <w:uiPriority w:val="9"/>
    <w:unhideWhenUsed/>
    <w:qFormat/>
    <w:rsid w:val="00B9094A"/>
    <w:pPr>
      <w:outlineLvl w:val="4"/>
    </w:pPr>
  </w:style>
  <w:style w:type="paragraph" w:styleId="Heading6">
    <w:name w:val="heading 6"/>
    <w:basedOn w:val="Normal"/>
    <w:next w:val="Normal"/>
    <w:link w:val="Heading6Char"/>
    <w:uiPriority w:val="9"/>
    <w:unhideWhenUsed/>
    <w:qFormat/>
    <w:rsid w:val="003422B2"/>
    <w:pPr>
      <w:keepNext/>
      <w:keepLines/>
      <w:spacing w:before="40" w:after="0"/>
      <w:outlineLvl w:val="5"/>
    </w:pPr>
    <w:rPr>
      <w:rFonts w:eastAsiaTheme="majorEastAsia" w:cstheme="majorBidi"/>
      <w:color w:val="292B2C" w:themeColor="accent1" w:themeShade="7F"/>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eastAsiaTheme="majorEastAsia" w:hAnsiTheme="majorHAnsi" w:cstheme="majorBidi"/>
      <w:i/>
      <w:iCs/>
      <w:color w:val="292B2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8F050A"/>
    <w:pPr>
      <w:spacing w:after="0"/>
      <w:ind w:left="200"/>
      <w:jc w:val="left"/>
    </w:pPr>
    <w:rPr>
      <w:rFonts w:asciiTheme="minorHAnsi" w:hAnsiTheme="minorHAnsi" w:cstheme="minorHAnsi"/>
      <w:smallCaps/>
    </w:rPr>
  </w:style>
  <w:style w:type="character" w:styleId="Hyperlink">
    <w:name w:val="Hyperlink"/>
    <w:basedOn w:val="DefaultParagraphFont"/>
    <w:uiPriority w:val="99"/>
    <w:unhideWhenUsed/>
    <w:rsid w:val="002C5D00"/>
    <w:rPr>
      <w:color w:val="0563C1" w:themeColor="hyperlink"/>
      <w:u w:val="single"/>
    </w:rPr>
  </w:style>
  <w:style w:type="paragraph" w:styleId="ListParagraph">
    <w:name w:val="List Paragraph"/>
    <w:aliases w:val="Bullet points round,Listes,Yellow Bullet,Normal bullet 2,Paragraph,Liste 1,Paragraphe  revu,Paragraphe de liste1,List Paragraph (numbered (a)),List Paragraph nowy,References,Medium Grid 1 - Accent 21,Numbered List Paragraph,En tête 1"/>
    <w:basedOn w:val="Normal"/>
    <w:link w:val="ListParagraphChar"/>
    <w:uiPriority w:val="34"/>
    <w:qFormat/>
    <w:rsid w:val="00986713"/>
    <w:pPr>
      <w:numPr>
        <w:numId w:val="1"/>
      </w:numPr>
      <w:spacing w:before="80" w:after="80"/>
      <w:contextualSpacing/>
    </w:p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Text,f"/>
    <w:basedOn w:val="Normal"/>
    <w:link w:val="FootnoteTextChar"/>
    <w:uiPriority w:val="99"/>
    <w:unhideWhenUsed/>
    <w:qFormat/>
    <w:rsid w:val="003C404F"/>
    <w:pPr>
      <w:contextualSpacing/>
    </w:pPr>
    <w:rPr>
      <w:color w:val="808080" w:themeColor="background2" w:themeShade="80"/>
      <w:sz w:val="16"/>
      <w:szCs w:val="16"/>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basedOn w:val="DefaultParagraphFont"/>
    <w:link w:val="FootnoteText"/>
    <w:uiPriority w:val="99"/>
    <w:qFormat/>
    <w:rsid w:val="00522C50"/>
    <w:rPr>
      <w:rFonts w:ascii="Arial" w:eastAsia="Calibri" w:hAnsi="Arial" w:cs="ArialMT"/>
      <w:color w:val="808080" w:themeColor="background2" w:themeShade="80"/>
      <w:sz w:val="16"/>
      <w:szCs w:val="16"/>
    </w:rPr>
  </w:style>
  <w:style w:type="character" w:styleId="FootnoteReference">
    <w:name w:val="footnote reference"/>
    <w:aliases w:val="BVI fnr,ftref,BVI fnr Car Car,BVI fnr Car,BVI fnr Car Car Car Car,Footnote Reference ok,16 Point,Superscript 6 Point,Superscript 6 Point + 11 pt,Footnote Reference Char Char Char,o, BVI fnr, BVI fnr Car Car,EN Footnote Reference"/>
    <w:basedOn w:val="DefaultParagraphFont"/>
    <w:link w:val="Char2"/>
    <w:uiPriority w:val="99"/>
    <w:unhideWhenUsed/>
    <w:qFormat/>
    <w:rsid w:val="00120E74"/>
    <w:rPr>
      <w:vertAlign w:val="superscript"/>
    </w:rPr>
  </w:style>
  <w:style w:type="paragraph" w:customStyle="1" w:styleId="yiv1575900531msonormal">
    <w:name w:val="yiv1575900531msonormal"/>
    <w:basedOn w:val="Normal"/>
    <w:rsid w:val="002C1311"/>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yperlink1">
    <w:name w:val="Hyperlink1"/>
    <w:basedOn w:val="DefaultParagraphFont"/>
    <w:uiPriority w:val="99"/>
    <w:unhideWhenUsed/>
    <w:rsid w:val="0097449D"/>
    <w:rPr>
      <w:color w:val="0563C1"/>
      <w:u w:val="single"/>
    </w:rPr>
  </w:style>
  <w:style w:type="table" w:styleId="TableGrid">
    <w:name w:val="Table Grid"/>
    <w:aliases w:val="tabelle2,Banded Rows_HCL"/>
    <w:basedOn w:val="TableNormal"/>
    <w:uiPriority w:val="39"/>
    <w:rsid w:val="00B10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3C3E"/>
    <w:pPr>
      <w:tabs>
        <w:tab w:val="center" w:pos="4513"/>
        <w:tab w:val="right" w:pos="9026"/>
      </w:tabs>
    </w:pPr>
  </w:style>
  <w:style w:type="character" w:customStyle="1" w:styleId="HeaderChar">
    <w:name w:val="Header Char"/>
    <w:basedOn w:val="DefaultParagraphFont"/>
    <w:link w:val="Header"/>
    <w:uiPriority w:val="99"/>
    <w:rsid w:val="00903C3E"/>
  </w:style>
  <w:style w:type="paragraph" w:styleId="Footer">
    <w:name w:val="footer"/>
    <w:basedOn w:val="Normal"/>
    <w:link w:val="FooterChar"/>
    <w:uiPriority w:val="99"/>
    <w:unhideWhenUsed/>
    <w:rsid w:val="00903C3E"/>
    <w:pPr>
      <w:tabs>
        <w:tab w:val="center" w:pos="4513"/>
        <w:tab w:val="right" w:pos="9026"/>
      </w:tabs>
    </w:pPr>
  </w:style>
  <w:style w:type="character" w:customStyle="1" w:styleId="FooterChar">
    <w:name w:val="Footer Char"/>
    <w:basedOn w:val="DefaultParagraphFont"/>
    <w:link w:val="Footer"/>
    <w:uiPriority w:val="99"/>
    <w:rsid w:val="00903C3E"/>
  </w:style>
  <w:style w:type="table" w:customStyle="1" w:styleId="TableGrid1">
    <w:name w:val="Table Grid1"/>
    <w:basedOn w:val="TableNormal"/>
    <w:next w:val="TableGrid"/>
    <w:uiPriority w:val="39"/>
    <w:rsid w:val="001D6F5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221BB"/>
    <w:rPr>
      <w:rFonts w:ascii="Arial" w:eastAsia="Calibri" w:hAnsi="Arial" w:cs="Arial"/>
      <w:b/>
      <w:bCs/>
      <w:color w:val="9F2241" w:themeColor="background1"/>
      <w:szCs w:val="20"/>
    </w:rPr>
  </w:style>
  <w:style w:type="character" w:customStyle="1" w:styleId="Heading2Char">
    <w:name w:val="Heading 2 Char"/>
    <w:basedOn w:val="DefaultParagraphFont"/>
    <w:link w:val="Heading2"/>
    <w:uiPriority w:val="9"/>
    <w:rsid w:val="005221BB"/>
    <w:rPr>
      <w:rFonts w:ascii="Arial" w:eastAsia="Yu Gothic Light" w:hAnsi="Arial" w:cstheme="majorBidi"/>
      <w:b/>
      <w:color w:val="9F2241" w:themeColor="background1"/>
      <w:sz w:val="24"/>
      <w:szCs w:val="26"/>
    </w:rPr>
  </w:style>
  <w:style w:type="character" w:customStyle="1" w:styleId="Heading1Char">
    <w:name w:val="Heading 1 Char"/>
    <w:basedOn w:val="DefaultParagraphFont"/>
    <w:link w:val="Heading1"/>
    <w:uiPriority w:val="9"/>
    <w:rsid w:val="00776070"/>
    <w:rPr>
      <w:rFonts w:ascii="Arial" w:eastAsia="Calibri" w:hAnsi="Arial" w:cs="Arial"/>
      <w:b/>
      <w:bCs/>
      <w:color w:val="348F41" w:themeColor="text1"/>
      <w:sz w:val="26"/>
      <w:szCs w:val="20"/>
    </w:rPr>
  </w:style>
  <w:style w:type="character" w:customStyle="1" w:styleId="Heading4Char">
    <w:name w:val="Heading 4 Char"/>
    <w:basedOn w:val="DefaultParagraphFont"/>
    <w:link w:val="Heading4"/>
    <w:uiPriority w:val="9"/>
    <w:rsid w:val="00B9094A"/>
    <w:rPr>
      <w:rFonts w:ascii="Arial" w:eastAsia="Calibri" w:hAnsi="Arial" w:cs="ArialMT"/>
      <w:b/>
      <w:color w:val="9F2241" w:themeColor="background1"/>
      <w:sz w:val="20"/>
      <w:szCs w:val="20"/>
    </w:rPr>
  </w:style>
  <w:style w:type="table" w:customStyle="1" w:styleId="TableGrid2">
    <w:name w:val="Table Grid2"/>
    <w:basedOn w:val="TableNormal"/>
    <w:next w:val="TableGrid"/>
    <w:uiPriority w:val="39"/>
    <w:rsid w:val="00412D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rsid w:val="00412DB0"/>
    <w:pPr>
      <w:keepNext/>
      <w:spacing w:before="160" w:after="80"/>
      <w:jc w:val="center"/>
    </w:pPr>
    <w:rPr>
      <w:rFonts w:cs="Arial"/>
      <w:b/>
      <w:bCs/>
    </w:rPr>
  </w:style>
  <w:style w:type="character" w:customStyle="1" w:styleId="TableheadingChar">
    <w:name w:val="Table heading Char"/>
    <w:basedOn w:val="DefaultParagraphFont"/>
    <w:link w:val="Tableheading"/>
    <w:rsid w:val="00412DB0"/>
    <w:rPr>
      <w:rFonts w:ascii="Arial" w:hAnsi="Arial" w:cs="Arial"/>
      <w:b/>
      <w:bCs/>
      <w:sz w:val="20"/>
      <w:szCs w:val="20"/>
    </w:rPr>
  </w:style>
  <w:style w:type="paragraph" w:styleId="TOC1">
    <w:name w:val="toc 1"/>
    <w:basedOn w:val="Normal"/>
    <w:next w:val="Normal"/>
    <w:autoRedefine/>
    <w:uiPriority w:val="39"/>
    <w:unhideWhenUsed/>
    <w:rsid w:val="00084D51"/>
    <w:pPr>
      <w:jc w:val="left"/>
    </w:pPr>
    <w:rPr>
      <w:rFonts w:asciiTheme="minorHAnsi" w:hAnsiTheme="minorHAnsi" w:cstheme="minorHAnsi"/>
      <w:b/>
      <w:bCs/>
      <w:caps/>
    </w:rPr>
  </w:style>
  <w:style w:type="paragraph" w:styleId="TOC3">
    <w:name w:val="toc 3"/>
    <w:basedOn w:val="Normal"/>
    <w:next w:val="Normal"/>
    <w:autoRedefine/>
    <w:uiPriority w:val="39"/>
    <w:unhideWhenUsed/>
    <w:rsid w:val="0071663A"/>
    <w:pPr>
      <w:spacing w:after="0"/>
      <w:ind w:left="400"/>
      <w:jc w:val="left"/>
    </w:pPr>
    <w:rPr>
      <w:rFonts w:asciiTheme="minorHAnsi" w:hAnsiTheme="minorHAnsi" w:cstheme="minorHAnsi"/>
      <w:i/>
      <w:iCs/>
    </w:rPr>
  </w:style>
  <w:style w:type="paragraph" w:styleId="TOC4">
    <w:name w:val="toc 4"/>
    <w:basedOn w:val="Normal"/>
    <w:next w:val="Normal"/>
    <w:autoRedefine/>
    <w:uiPriority w:val="39"/>
    <w:unhideWhenUsed/>
    <w:rsid w:val="008F050A"/>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412DB0"/>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412DB0"/>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412DB0"/>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412DB0"/>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412DB0"/>
    <w:pPr>
      <w:spacing w:after="0"/>
      <w:ind w:left="1600"/>
      <w:jc w:val="left"/>
    </w:pPr>
    <w:rPr>
      <w:rFonts w:asciiTheme="minorHAnsi" w:hAnsiTheme="minorHAnsi" w:cstheme="minorHAnsi"/>
      <w:sz w:val="18"/>
      <w:szCs w:val="18"/>
    </w:rPr>
  </w:style>
  <w:style w:type="paragraph" w:customStyle="1" w:styleId="Default">
    <w:name w:val="Default"/>
    <w:rsid w:val="00AE4B5E"/>
    <w:pPr>
      <w:autoSpaceDE w:val="0"/>
      <w:autoSpaceDN w:val="0"/>
      <w:adjustRightInd w:val="0"/>
      <w:spacing w:after="0" w:line="240" w:lineRule="auto"/>
    </w:pPr>
    <w:rPr>
      <w:rFonts w:ascii="Times New Roman" w:hAnsi="Times New Roman" w:cs="Times New Roman"/>
      <w:color w:val="000000"/>
      <w:sz w:val="24"/>
      <w:szCs w:val="24"/>
      <w:lang w:val="fr-FR"/>
    </w:rPr>
  </w:style>
  <w:style w:type="table" w:customStyle="1" w:styleId="BandedRowsHCL1">
    <w:name w:val="Banded Rows_HCL1"/>
    <w:basedOn w:val="TableNormal"/>
    <w:next w:val="TableGrid"/>
    <w:uiPriority w:val="39"/>
    <w:rsid w:val="00394963"/>
    <w:pPr>
      <w:spacing w:after="0" w:line="240" w:lineRule="auto"/>
      <w:jc w:val="both"/>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655365"/>
  </w:style>
  <w:style w:type="paragraph" w:styleId="EndnoteText">
    <w:name w:val="endnote text"/>
    <w:basedOn w:val="Normal"/>
    <w:link w:val="EndnoteTextChar"/>
    <w:uiPriority w:val="99"/>
    <w:semiHidden/>
    <w:unhideWhenUsed/>
    <w:rsid w:val="00CB37C9"/>
  </w:style>
  <w:style w:type="character" w:customStyle="1" w:styleId="EndnoteTextChar">
    <w:name w:val="Endnote Text Char"/>
    <w:basedOn w:val="DefaultParagraphFont"/>
    <w:link w:val="EndnoteText"/>
    <w:uiPriority w:val="99"/>
    <w:semiHidden/>
    <w:rsid w:val="00CB37C9"/>
    <w:rPr>
      <w:sz w:val="20"/>
      <w:szCs w:val="20"/>
    </w:rPr>
  </w:style>
  <w:style w:type="character" w:styleId="EndnoteReference">
    <w:name w:val="endnote reference"/>
    <w:basedOn w:val="DefaultParagraphFont"/>
    <w:uiPriority w:val="99"/>
    <w:semiHidden/>
    <w:unhideWhenUsed/>
    <w:rsid w:val="00CB37C9"/>
    <w:rPr>
      <w:vertAlign w:val="superscript"/>
    </w:rPr>
  </w:style>
  <w:style w:type="paragraph" w:customStyle="1" w:styleId="Bullets">
    <w:name w:val="Bullets"/>
    <w:basedOn w:val="ListParagraph"/>
    <w:link w:val="BulletsChar"/>
    <w:qFormat/>
    <w:rsid w:val="00DA46F8"/>
    <w:pPr>
      <w:numPr>
        <w:numId w:val="48"/>
      </w:numPr>
    </w:pPr>
    <w:rPr>
      <w:lang w:val="en-US" w:eastAsia="fr-FR"/>
    </w:rPr>
  </w:style>
  <w:style w:type="character" w:styleId="CommentReference">
    <w:name w:val="annotation reference"/>
    <w:basedOn w:val="DefaultParagraphFont"/>
    <w:uiPriority w:val="99"/>
    <w:unhideWhenUsed/>
    <w:qFormat/>
    <w:rsid w:val="00391E66"/>
    <w:rPr>
      <w:sz w:val="16"/>
      <w:szCs w:val="16"/>
    </w:rPr>
  </w:style>
  <w:style w:type="character" w:customStyle="1" w:styleId="ListParagraphChar">
    <w:name w:val="List Paragraph Char"/>
    <w:aliases w:val="Bullet points round Char,Listes Char,Yellow Bullet Char,Normal bullet 2 Char,Paragraph Char,Liste 1 Char,Paragraphe  revu Char,Paragraphe de liste1 Char,List Paragraph (numbered (a)) Char,List Paragraph nowy Char,References Char"/>
    <w:basedOn w:val="DefaultParagraphFont"/>
    <w:link w:val="ListParagraph"/>
    <w:uiPriority w:val="34"/>
    <w:qFormat/>
    <w:rsid w:val="00986713"/>
    <w:rPr>
      <w:rFonts w:ascii="Arial" w:eastAsia="Calibri" w:hAnsi="Arial" w:cs="ArialMT"/>
      <w:color w:val="53575A" w:themeColor="accent1"/>
      <w:sz w:val="20"/>
      <w:szCs w:val="20"/>
    </w:rPr>
  </w:style>
  <w:style w:type="character" w:customStyle="1" w:styleId="BulletsChar">
    <w:name w:val="Bullets Char"/>
    <w:basedOn w:val="ListParagraphChar"/>
    <w:link w:val="Bullets"/>
    <w:rsid w:val="00DA46F8"/>
    <w:rPr>
      <w:rFonts w:ascii="Arial" w:eastAsia="Calibri" w:hAnsi="Arial" w:cs="ArialMT"/>
      <w:color w:val="53575A" w:themeColor="accent1"/>
      <w:sz w:val="20"/>
      <w:szCs w:val="20"/>
      <w:lang w:val="en-US" w:eastAsia="fr-FR"/>
    </w:rPr>
  </w:style>
  <w:style w:type="paragraph" w:styleId="CommentText">
    <w:name w:val="annotation text"/>
    <w:basedOn w:val="Normal"/>
    <w:link w:val="CommentTextChar"/>
    <w:uiPriority w:val="99"/>
    <w:unhideWhenUsed/>
    <w:qFormat/>
    <w:rsid w:val="001D77C0"/>
  </w:style>
  <w:style w:type="character" w:customStyle="1" w:styleId="CommentTextChar">
    <w:name w:val="Comment Text Char"/>
    <w:basedOn w:val="DefaultParagraphFont"/>
    <w:link w:val="CommentText"/>
    <w:uiPriority w:val="99"/>
    <w:qFormat/>
    <w:rsid w:val="001D77C0"/>
    <w:rPr>
      <w:sz w:val="20"/>
      <w:szCs w:val="20"/>
    </w:rPr>
  </w:style>
  <w:style w:type="paragraph" w:styleId="CommentSubject">
    <w:name w:val="annotation subject"/>
    <w:basedOn w:val="CommentText"/>
    <w:next w:val="CommentText"/>
    <w:link w:val="CommentSubjectChar"/>
    <w:uiPriority w:val="99"/>
    <w:semiHidden/>
    <w:unhideWhenUsed/>
    <w:rsid w:val="001D77C0"/>
    <w:rPr>
      <w:b/>
      <w:bCs/>
    </w:rPr>
  </w:style>
  <w:style w:type="character" w:customStyle="1" w:styleId="CommentSubjectChar">
    <w:name w:val="Comment Subject Char"/>
    <w:basedOn w:val="CommentTextChar"/>
    <w:link w:val="CommentSubject"/>
    <w:uiPriority w:val="99"/>
    <w:semiHidden/>
    <w:rsid w:val="001D77C0"/>
    <w:rPr>
      <w:b/>
      <w:bCs/>
      <w:sz w:val="20"/>
      <w:szCs w:val="20"/>
    </w:rPr>
  </w:style>
  <w:style w:type="paragraph" w:styleId="BalloonText">
    <w:name w:val="Balloon Text"/>
    <w:basedOn w:val="Normal"/>
    <w:link w:val="BalloonTextChar"/>
    <w:uiPriority w:val="99"/>
    <w:semiHidden/>
    <w:unhideWhenUsed/>
    <w:rsid w:val="008A27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7C0"/>
    <w:rPr>
      <w:rFonts w:ascii="Segoe UI" w:eastAsia="Calibri" w:hAnsi="Segoe UI" w:cs="Segoe UI"/>
      <w:color w:val="53575A" w:themeColor="accent1"/>
      <w:sz w:val="18"/>
      <w:szCs w:val="18"/>
    </w:rPr>
  </w:style>
  <w:style w:type="character" w:customStyle="1" w:styleId="UnresolvedMention1">
    <w:name w:val="Unresolved Mention1"/>
    <w:basedOn w:val="DefaultParagraphFont"/>
    <w:uiPriority w:val="99"/>
    <w:semiHidden/>
    <w:unhideWhenUsed/>
    <w:rsid w:val="00EA40EE"/>
    <w:rPr>
      <w:color w:val="605E5C"/>
      <w:shd w:val="clear" w:color="auto" w:fill="E1DFDD"/>
    </w:rPr>
  </w:style>
  <w:style w:type="character" w:customStyle="1" w:styleId="fontstyle01">
    <w:name w:val="fontstyle01"/>
    <w:basedOn w:val="DefaultParagraphFont"/>
    <w:rsid w:val="00672602"/>
    <w:rPr>
      <w:rFonts w:ascii="Arial" w:hAnsi="Arial" w:cs="Arial" w:hint="default"/>
      <w:b w:val="0"/>
      <w:bCs w:val="0"/>
      <w:i w:val="0"/>
      <w:iCs w:val="0"/>
      <w:color w:val="000000"/>
      <w:sz w:val="22"/>
      <w:szCs w:val="22"/>
    </w:rPr>
  </w:style>
  <w:style w:type="table" w:customStyle="1" w:styleId="TableGrid0">
    <w:name w:val="Table Grid0"/>
    <w:rsid w:val="00114AA2"/>
    <w:pPr>
      <w:spacing w:after="0" w:line="240" w:lineRule="auto"/>
    </w:pPr>
    <w:rPr>
      <w:rFonts w:eastAsiaTheme="minorEastAsia"/>
      <w:lang w:val="fr-FR" w:eastAsia="fr-FR"/>
    </w:rPr>
    <w:tblPr>
      <w:tblCellMar>
        <w:top w:w="0" w:type="dxa"/>
        <w:left w:w="0" w:type="dxa"/>
        <w:bottom w:w="0" w:type="dxa"/>
        <w:right w:w="0" w:type="dxa"/>
      </w:tblCellMar>
    </w:tblPr>
  </w:style>
  <w:style w:type="paragraph" w:styleId="Revision">
    <w:name w:val="Revision"/>
    <w:hidden/>
    <w:uiPriority w:val="99"/>
    <w:semiHidden/>
    <w:rsid w:val="00114AA2"/>
    <w:pPr>
      <w:spacing w:after="0" w:line="240" w:lineRule="auto"/>
    </w:pPr>
    <w:rPr>
      <w:rFonts w:ascii="Arial" w:eastAsia="Calibri" w:hAnsi="Arial" w:cs="ArialMT"/>
      <w:color w:val="000000"/>
      <w:sz w:val="20"/>
      <w:szCs w:val="20"/>
    </w:rPr>
  </w:style>
  <w:style w:type="character" w:customStyle="1" w:styleId="UnresolvedMention10">
    <w:name w:val="Unresolved Mention10"/>
    <w:basedOn w:val="DefaultParagraphFont"/>
    <w:uiPriority w:val="99"/>
    <w:semiHidden/>
    <w:unhideWhenUsed/>
    <w:rsid w:val="00120BF1"/>
    <w:rPr>
      <w:color w:val="605E5C"/>
      <w:shd w:val="clear" w:color="auto" w:fill="E1DFDD"/>
    </w:rPr>
  </w:style>
  <w:style w:type="paragraph" w:styleId="NormalWeb">
    <w:name w:val="Normal (Web)"/>
    <w:basedOn w:val="Normal"/>
    <w:uiPriority w:val="99"/>
    <w:unhideWhenUsed/>
    <w:rsid w:val="00120BF1"/>
    <w:pPr>
      <w:spacing w:before="100" w:beforeAutospacing="1" w:after="100" w:afterAutospacing="1"/>
    </w:pPr>
    <w:rPr>
      <w:rFonts w:ascii="Times New Roman" w:eastAsia="Times New Roman" w:hAnsi="Times New Roman" w:cs="Times New Roman"/>
      <w:color w:val="auto"/>
      <w:sz w:val="24"/>
      <w:szCs w:val="24"/>
      <w:lang w:val="en-US"/>
    </w:rPr>
  </w:style>
  <w:style w:type="paragraph" w:styleId="Title">
    <w:name w:val="Title"/>
    <w:basedOn w:val="Normal"/>
    <w:next w:val="Normal"/>
    <w:link w:val="TitleChar"/>
    <w:uiPriority w:val="10"/>
    <w:qFormat/>
    <w:rsid w:val="00617D39"/>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17D39"/>
    <w:rPr>
      <w:rFonts w:asciiTheme="majorHAnsi" w:eastAsiaTheme="majorEastAsia" w:hAnsiTheme="majorHAnsi" w:cstheme="majorBidi"/>
      <w:spacing w:val="-10"/>
      <w:kern w:val="28"/>
      <w:sz w:val="56"/>
      <w:szCs w:val="56"/>
    </w:rPr>
  </w:style>
  <w:style w:type="character" w:customStyle="1" w:styleId="Mentionnonrsolue1">
    <w:name w:val="Mention non résolue1"/>
    <w:basedOn w:val="DefaultParagraphFont"/>
    <w:uiPriority w:val="99"/>
    <w:semiHidden/>
    <w:unhideWhenUsed/>
    <w:rsid w:val="00672602"/>
    <w:rPr>
      <w:color w:val="605E5C"/>
      <w:shd w:val="clear" w:color="auto" w:fill="E1DFDD"/>
    </w:rPr>
  </w:style>
  <w:style w:type="character" w:customStyle="1" w:styleId="UnresolvedMention2">
    <w:name w:val="Unresolved Mention2"/>
    <w:basedOn w:val="DefaultParagraphFont"/>
    <w:uiPriority w:val="99"/>
    <w:semiHidden/>
    <w:unhideWhenUsed/>
    <w:rsid w:val="00E85F28"/>
    <w:rPr>
      <w:color w:val="605E5C"/>
      <w:shd w:val="clear" w:color="auto" w:fill="E1DFDD"/>
    </w:rPr>
  </w:style>
  <w:style w:type="table" w:customStyle="1" w:styleId="TableGrid3">
    <w:name w:val="Table Grid3"/>
    <w:rsid w:val="005B4259"/>
    <w:pPr>
      <w:spacing w:after="0" w:line="240" w:lineRule="auto"/>
    </w:pPr>
    <w:rPr>
      <w:rFonts w:eastAsiaTheme="minorEastAsia"/>
      <w:lang w:val="fr-FR" w:eastAsia="fr-FR"/>
    </w:rPr>
    <w:tblPr>
      <w:tblCellMar>
        <w:top w:w="0" w:type="dxa"/>
        <w:left w:w="0" w:type="dxa"/>
        <w:bottom w:w="0" w:type="dxa"/>
        <w:right w:w="0" w:type="dxa"/>
      </w:tblCellMar>
    </w:tblPr>
  </w:style>
  <w:style w:type="table" w:customStyle="1" w:styleId="TableGrid30">
    <w:name w:val="Table Grid30"/>
    <w:basedOn w:val="TableNormal"/>
    <w:next w:val="TableGrid"/>
    <w:uiPriority w:val="39"/>
    <w:rsid w:val="00477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4EC9"/>
    <w:rPr>
      <w:color w:val="605E5C"/>
      <w:shd w:val="clear" w:color="auto" w:fill="E1DFDD"/>
    </w:rPr>
  </w:style>
  <w:style w:type="character" w:customStyle="1" w:styleId="Heading5Char">
    <w:name w:val="Heading 5 Char"/>
    <w:basedOn w:val="DefaultParagraphFont"/>
    <w:link w:val="Heading5"/>
    <w:uiPriority w:val="9"/>
    <w:rsid w:val="00B9094A"/>
    <w:rPr>
      <w:rFonts w:ascii="Arial" w:eastAsia="Calibri" w:hAnsi="Arial" w:cs="ArialMT"/>
      <w:b/>
      <w:color w:val="9F2241" w:themeColor="background1"/>
      <w:sz w:val="20"/>
      <w:szCs w:val="20"/>
    </w:rPr>
  </w:style>
  <w:style w:type="paragraph" w:styleId="Caption">
    <w:name w:val="caption"/>
    <w:aliases w:val="EX Caption,Exr,Figure Caption,~Caption,MWH Caption,Caption Char1 Char1 Char Char,Caption Char Char2 Char1 Char Char,Caption Char Char Char Char Char1 Char1 Char Char1 Char,Caption Char Char Char Char Char Char Char Char Char Char,Char1,Normal te"/>
    <w:basedOn w:val="Normal"/>
    <w:next w:val="Normal"/>
    <w:link w:val="CaptionChar"/>
    <w:uiPriority w:val="35"/>
    <w:unhideWhenUsed/>
    <w:qFormat/>
    <w:rsid w:val="00546793"/>
    <w:pPr>
      <w:spacing w:after="200"/>
    </w:pPr>
    <w:rPr>
      <w:i/>
      <w:iCs/>
      <w:color w:val="B4A269" w:themeColor="text2"/>
      <w:sz w:val="18"/>
      <w:szCs w:val="18"/>
    </w:rPr>
  </w:style>
  <w:style w:type="table" w:customStyle="1" w:styleId="ListTable3-Accent21">
    <w:name w:val="List Table 3 - Accent 21"/>
    <w:basedOn w:val="TableNormal"/>
    <w:next w:val="ListTable3-Accent2"/>
    <w:uiPriority w:val="48"/>
    <w:rsid w:val="0001160B"/>
    <w:pPr>
      <w:spacing w:after="0" w:line="240" w:lineRule="auto"/>
    </w:pPr>
    <w:rPr>
      <w:rFonts w:eastAsia="SimSun"/>
      <w:sz w:val="21"/>
      <w:szCs w:val="21"/>
      <w:lang w:val="en-US"/>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2">
    <w:name w:val="List Table 3 Accent 2"/>
    <w:basedOn w:val="TableNormal"/>
    <w:uiPriority w:val="48"/>
    <w:rsid w:val="0001160B"/>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9F2241"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9F2241" w:themeFill="background1"/>
      </w:tcPr>
    </w:tblStylePr>
    <w:tblStylePr w:type="firstCol">
      <w:rPr>
        <w:b/>
        <w:bCs/>
      </w:rPr>
      <w:tblPr/>
      <w:tcPr>
        <w:tcBorders>
          <w:right w:val="nil"/>
        </w:tcBorders>
        <w:shd w:val="clear" w:color="auto" w:fill="9F2241" w:themeFill="background1"/>
      </w:tcPr>
    </w:tblStylePr>
    <w:tblStylePr w:type="lastCol">
      <w:rPr>
        <w:b/>
        <w:bCs/>
      </w:rPr>
      <w:tblPr/>
      <w:tcPr>
        <w:tcBorders>
          <w:left w:val="nil"/>
        </w:tcBorders>
        <w:shd w:val="clear" w:color="auto" w:fill="9F2241"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TableText">
    <w:name w:val="TableText"/>
    <w:basedOn w:val="BodyText"/>
    <w:uiPriority w:val="16"/>
    <w:qFormat/>
    <w:rsid w:val="005D46A3"/>
    <w:pPr>
      <w:spacing w:before="40" w:after="40"/>
    </w:pPr>
    <w:rPr>
      <w:rFonts w:eastAsia="Batang" w:cs="Arial"/>
      <w:color w:val="B4A269" w:themeColor="text2"/>
      <w:lang w:eastAsia="ko-KR"/>
    </w:rPr>
  </w:style>
  <w:style w:type="paragraph" w:customStyle="1" w:styleId="TableHeading0">
    <w:name w:val="TableHeading"/>
    <w:basedOn w:val="TableText"/>
    <w:uiPriority w:val="16"/>
    <w:qFormat/>
    <w:rsid w:val="005D46A3"/>
    <w:pPr>
      <w:spacing w:before="60" w:after="60"/>
    </w:pPr>
    <w:rPr>
      <w:b/>
    </w:rPr>
  </w:style>
  <w:style w:type="paragraph" w:styleId="BodyText">
    <w:name w:val="Body Text"/>
    <w:basedOn w:val="Normal"/>
    <w:link w:val="BodyTextChar"/>
    <w:uiPriority w:val="99"/>
    <w:semiHidden/>
    <w:unhideWhenUsed/>
    <w:rsid w:val="005D46A3"/>
  </w:style>
  <w:style w:type="character" w:customStyle="1" w:styleId="BodyTextChar">
    <w:name w:val="Body Text Char"/>
    <w:basedOn w:val="DefaultParagraphFont"/>
    <w:link w:val="BodyText"/>
    <w:uiPriority w:val="99"/>
    <w:semiHidden/>
    <w:rsid w:val="005D46A3"/>
    <w:rPr>
      <w:rFonts w:ascii="Arial" w:eastAsia="Calibri" w:hAnsi="Arial" w:cs="ArialMT"/>
      <w:color w:val="000000"/>
      <w:sz w:val="20"/>
      <w:szCs w:val="20"/>
    </w:rPr>
  </w:style>
  <w:style w:type="character" w:customStyle="1" w:styleId="apple-converted-space">
    <w:name w:val="apple-converted-space"/>
    <w:basedOn w:val="DefaultParagraphFont"/>
    <w:rsid w:val="009A34A8"/>
  </w:style>
  <w:style w:type="character" w:styleId="Strong">
    <w:name w:val="Strong"/>
    <w:basedOn w:val="DefaultParagraphFont"/>
    <w:uiPriority w:val="22"/>
    <w:qFormat/>
    <w:rsid w:val="00A4382F"/>
    <w:rPr>
      <w:b/>
      <w:bCs/>
    </w:rPr>
  </w:style>
  <w:style w:type="paragraph" w:customStyle="1" w:styleId="HeadingSubtitles">
    <w:name w:val="Heading Subtitles"/>
    <w:next w:val="Normal"/>
    <w:qFormat/>
    <w:rsid w:val="007D4763"/>
    <w:pPr>
      <w:spacing w:before="200" w:after="200" w:line="288" w:lineRule="auto"/>
    </w:pPr>
    <w:rPr>
      <w:rFonts w:ascii="Microsoft YaHei" w:eastAsia="Microsoft YaHei" w:hAnsi="Microsoft YaHei" w:cs="Times New Roman"/>
      <w:color w:val="1F49B2"/>
      <w:sz w:val="24"/>
      <w:lang w:eastAsia="fr-FR"/>
    </w:rPr>
  </w:style>
  <w:style w:type="character" w:styleId="Emphasis">
    <w:name w:val="Emphasis"/>
    <w:basedOn w:val="DefaultParagraphFont"/>
    <w:uiPriority w:val="20"/>
    <w:qFormat/>
    <w:rsid w:val="009E255E"/>
    <w:rPr>
      <w:i/>
      <w:iCs/>
    </w:rPr>
  </w:style>
  <w:style w:type="character" w:customStyle="1" w:styleId="Heading6Char">
    <w:name w:val="Heading 6 Char"/>
    <w:basedOn w:val="DefaultParagraphFont"/>
    <w:link w:val="Heading6"/>
    <w:uiPriority w:val="9"/>
    <w:rsid w:val="003422B2"/>
    <w:rPr>
      <w:rFonts w:ascii="Arial" w:eastAsiaTheme="majorEastAsia" w:hAnsi="Arial" w:cstheme="majorBidi"/>
      <w:color w:val="292B2C" w:themeColor="accent1" w:themeShade="7F"/>
      <w:sz w:val="20"/>
      <w:szCs w:val="2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292B2C" w:themeColor="accent1" w:themeShade="7F"/>
    </w:rPr>
  </w:style>
  <w:style w:type="paragraph" w:styleId="TOCHeading">
    <w:name w:val="TOC Heading"/>
    <w:basedOn w:val="Heading1"/>
    <w:next w:val="Normal"/>
    <w:uiPriority w:val="39"/>
    <w:unhideWhenUsed/>
    <w:qFormat/>
    <w:rsid w:val="00304398"/>
    <w:pPr>
      <w:keepLines/>
      <w:pBdr>
        <w:bottom w:val="none" w:sz="0" w:space="0" w:color="auto"/>
      </w:pBdr>
      <w:spacing w:before="480" w:after="0" w:line="276" w:lineRule="auto"/>
      <w:outlineLvl w:val="9"/>
    </w:pPr>
    <w:rPr>
      <w:rFonts w:asciiTheme="majorHAnsi" w:eastAsiaTheme="majorEastAsia" w:hAnsiTheme="majorHAnsi" w:cstheme="majorBidi"/>
      <w:color w:val="3E4143" w:themeColor="accent1" w:themeShade="BF"/>
      <w:sz w:val="28"/>
      <w:szCs w:val="28"/>
      <w:lang w:val="en-US"/>
    </w:rPr>
  </w:style>
  <w:style w:type="character" w:styleId="FollowedHyperlink">
    <w:name w:val="FollowedHyperlink"/>
    <w:basedOn w:val="DefaultParagraphFont"/>
    <w:uiPriority w:val="99"/>
    <w:semiHidden/>
    <w:unhideWhenUsed/>
    <w:rsid w:val="004139EB"/>
    <w:rPr>
      <w:color w:val="954F72" w:themeColor="followedHyperlink"/>
      <w:u w:val="single"/>
    </w:rPr>
  </w:style>
  <w:style w:type="character" w:customStyle="1" w:styleId="d9fyld">
    <w:name w:val="d9fyld"/>
    <w:basedOn w:val="DefaultParagraphFont"/>
    <w:rsid w:val="00103B92"/>
  </w:style>
  <w:style w:type="character" w:customStyle="1" w:styleId="hgkelc">
    <w:name w:val="hgkelc"/>
    <w:basedOn w:val="DefaultParagraphFont"/>
    <w:rsid w:val="00103B92"/>
  </w:style>
  <w:style w:type="character" w:customStyle="1" w:styleId="kx21rb">
    <w:name w:val="kx21rb"/>
    <w:basedOn w:val="DefaultParagraphFont"/>
    <w:rsid w:val="00103B92"/>
  </w:style>
  <w:style w:type="paragraph" w:customStyle="1" w:styleId="paragraph">
    <w:name w:val="paragraph"/>
    <w:basedOn w:val="Normal"/>
    <w:rsid w:val="00742FB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742FB4"/>
  </w:style>
  <w:style w:type="character" w:customStyle="1" w:styleId="eop">
    <w:name w:val="eop"/>
    <w:basedOn w:val="DefaultParagraphFont"/>
    <w:rsid w:val="00742FB4"/>
  </w:style>
  <w:style w:type="paragraph" w:customStyle="1" w:styleId="Char2">
    <w:name w:val="Char2"/>
    <w:basedOn w:val="Normal"/>
    <w:link w:val="FootnoteReference"/>
    <w:uiPriority w:val="99"/>
    <w:rsid w:val="00461F67"/>
    <w:pPr>
      <w:spacing w:line="240" w:lineRule="exact"/>
    </w:pPr>
    <w:rPr>
      <w:rFonts w:asciiTheme="minorHAnsi" w:eastAsiaTheme="minorHAnsi" w:hAnsiTheme="minorHAnsi" w:cstheme="minorBidi"/>
      <w:color w:val="auto"/>
      <w:sz w:val="22"/>
      <w:szCs w:val="22"/>
      <w:vertAlign w:val="superscript"/>
    </w:rPr>
  </w:style>
  <w:style w:type="character" w:customStyle="1" w:styleId="A13">
    <w:name w:val="A13"/>
    <w:uiPriority w:val="99"/>
    <w:rsid w:val="00461F67"/>
    <w:rPr>
      <w:rFonts w:cs="HK Grotesk SemiBold"/>
      <w:color w:val="000000"/>
      <w:sz w:val="16"/>
      <w:szCs w:val="16"/>
    </w:rPr>
  </w:style>
  <w:style w:type="table" w:styleId="ListTable2-Accent3">
    <w:name w:val="List Table 2 Accent 3"/>
    <w:basedOn w:val="TableNormal"/>
    <w:uiPriority w:val="47"/>
    <w:rsid w:val="00C8673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ageNumber">
    <w:name w:val="page number"/>
    <w:basedOn w:val="DefaultParagraphFont"/>
    <w:uiPriority w:val="99"/>
    <w:semiHidden/>
    <w:unhideWhenUsed/>
    <w:rsid w:val="000B7B14"/>
  </w:style>
  <w:style w:type="paragraph" w:customStyle="1" w:styleId="EXTableBullet">
    <w:name w:val="EX Table Bullet"/>
    <w:link w:val="EXTableBulletChar"/>
    <w:qFormat/>
    <w:rsid w:val="005C3E6A"/>
    <w:pPr>
      <w:numPr>
        <w:numId w:val="2"/>
      </w:numPr>
      <w:spacing w:after="0" w:line="240" w:lineRule="auto"/>
      <w:jc w:val="both"/>
    </w:pPr>
    <w:rPr>
      <w:rFonts w:ascii="Candara" w:eastAsia="Times New Roman" w:hAnsi="Candara" w:cs="Times New Roman"/>
      <w:sz w:val="20"/>
      <w:szCs w:val="20"/>
    </w:rPr>
  </w:style>
  <w:style w:type="character" w:customStyle="1" w:styleId="EXTableBulletChar">
    <w:name w:val="EX Table Bullet Char"/>
    <w:link w:val="EXTableBullet"/>
    <w:qFormat/>
    <w:rsid w:val="005C3E6A"/>
    <w:rPr>
      <w:rFonts w:ascii="Candara" w:eastAsia="Times New Roman" w:hAnsi="Candara" w:cs="Times New Roman"/>
      <w:sz w:val="20"/>
      <w:szCs w:val="20"/>
    </w:rPr>
  </w:style>
  <w:style w:type="paragraph" w:customStyle="1" w:styleId="EXNumberedlist">
    <w:name w:val="EX Numbered list"/>
    <w:basedOn w:val="Normal"/>
    <w:qFormat/>
    <w:rsid w:val="00B33A71"/>
    <w:pPr>
      <w:spacing w:after="220" w:line="276" w:lineRule="auto"/>
      <w:ind w:left="648" w:hanging="288"/>
      <w:contextualSpacing/>
    </w:pPr>
    <w:rPr>
      <w:rFonts w:ascii="Candara" w:eastAsia="Arial" w:hAnsi="Candara" w:cs="Times New Roman"/>
      <w:color w:val="auto"/>
      <w:sz w:val="22"/>
    </w:rPr>
  </w:style>
  <w:style w:type="character" w:customStyle="1" w:styleId="CaptionChar">
    <w:name w:val="Caption Char"/>
    <w:aliases w:val="EX Caption Char,Exr Char,Figure Caption Char,~Caption Char,MWH Caption Char,Caption Char1 Char1 Char Char Char,Caption Char Char2 Char1 Char Char Char,Caption Char Char Char Char Char1 Char1 Char Char1 Char Char,Char1 Char,Normal te Char"/>
    <w:link w:val="Caption"/>
    <w:uiPriority w:val="35"/>
    <w:qFormat/>
    <w:locked/>
    <w:rsid w:val="00B33A71"/>
    <w:rPr>
      <w:rFonts w:ascii="Arial" w:eastAsia="Calibri" w:hAnsi="Arial" w:cs="ArialMT"/>
      <w:i/>
      <w:iCs/>
      <w:color w:val="B4A269" w:themeColor="text2"/>
      <w:sz w:val="18"/>
      <w:szCs w:val="18"/>
    </w:rPr>
  </w:style>
  <w:style w:type="paragraph" w:styleId="ListBullet">
    <w:name w:val="List Bullet"/>
    <w:aliases w:val="Exergia List Bullet"/>
    <w:basedOn w:val="Normal"/>
    <w:link w:val="ListBulletChar"/>
    <w:uiPriority w:val="99"/>
    <w:rsid w:val="00BE238E"/>
    <w:pPr>
      <w:numPr>
        <w:numId w:val="3"/>
      </w:numPr>
      <w:spacing w:after="240" w:line="276" w:lineRule="auto"/>
    </w:pPr>
    <w:rPr>
      <w:rFonts w:ascii="Candara" w:eastAsia="Arial" w:hAnsi="Candara" w:cs="Times New Roman"/>
      <w:color w:val="auto"/>
      <w:sz w:val="22"/>
    </w:rPr>
  </w:style>
  <w:style w:type="character" w:customStyle="1" w:styleId="ListBulletChar">
    <w:name w:val="List Bullet Char"/>
    <w:aliases w:val="Exergia List Bullet Char"/>
    <w:link w:val="ListBullet"/>
    <w:uiPriority w:val="99"/>
    <w:rsid w:val="00BE238E"/>
    <w:rPr>
      <w:rFonts w:ascii="Candara" w:eastAsia="Arial" w:hAnsi="Candara" w:cs="Times New Roman"/>
      <w:szCs w:val="20"/>
    </w:rPr>
  </w:style>
  <w:style w:type="character" w:customStyle="1" w:styleId="text-token-text-secondary">
    <w:name w:val="text-token-text-secondary"/>
    <w:basedOn w:val="DefaultParagraphFont"/>
    <w:rsid w:val="00D20A34"/>
  </w:style>
  <w:style w:type="table" w:styleId="GridTable4-Accent1">
    <w:name w:val="Grid Table 4 Accent 1"/>
    <w:basedOn w:val="TableNormal"/>
    <w:uiPriority w:val="49"/>
    <w:rsid w:val="00ED3FB7"/>
    <w:pPr>
      <w:spacing w:before="120" w:after="0" w:line="240" w:lineRule="auto"/>
      <w:jc w:val="both"/>
    </w:pPr>
    <w:rPr>
      <w:rFonts w:ascii="Times New Roman" w:eastAsia="MS Mincho" w:hAnsi="Times New Roman" w:cs="Times New Roman"/>
      <w:sz w:val="24"/>
      <w:szCs w:val="24"/>
      <w:lang w:val="fr-BE" w:eastAsia="fr-BE"/>
    </w:rPr>
    <w:tblPr>
      <w:tblStyleRowBandSize w:val="1"/>
      <w:tblStyleColBandSize w:val="1"/>
      <w:tblBorders>
        <w:top w:val="single" w:sz="4" w:space="0" w:color="959A9E" w:themeColor="accent1" w:themeTint="99"/>
        <w:left w:val="single" w:sz="4" w:space="0" w:color="959A9E" w:themeColor="accent1" w:themeTint="99"/>
        <w:bottom w:val="single" w:sz="4" w:space="0" w:color="959A9E" w:themeColor="accent1" w:themeTint="99"/>
        <w:right w:val="single" w:sz="4" w:space="0" w:color="959A9E" w:themeColor="accent1" w:themeTint="99"/>
        <w:insideH w:val="single" w:sz="4" w:space="0" w:color="959A9E" w:themeColor="accent1" w:themeTint="99"/>
        <w:insideV w:val="single" w:sz="4" w:space="0" w:color="959A9E" w:themeColor="accent1" w:themeTint="99"/>
      </w:tblBorders>
    </w:tblPr>
    <w:tblStylePr w:type="firstRow">
      <w:rPr>
        <w:b/>
        <w:bCs/>
        <w:color w:val="9F2241" w:themeColor="background1"/>
      </w:rPr>
      <w:tblPr/>
      <w:tcPr>
        <w:tcBorders>
          <w:top w:val="single" w:sz="4" w:space="0" w:color="53575A" w:themeColor="accent1"/>
          <w:left w:val="single" w:sz="4" w:space="0" w:color="53575A" w:themeColor="accent1"/>
          <w:bottom w:val="single" w:sz="4" w:space="0" w:color="53575A" w:themeColor="accent1"/>
          <w:right w:val="single" w:sz="4" w:space="0" w:color="53575A" w:themeColor="accent1"/>
          <w:insideH w:val="nil"/>
          <w:insideV w:val="nil"/>
        </w:tcBorders>
        <w:shd w:val="clear" w:color="auto" w:fill="53575A" w:themeFill="accent1"/>
      </w:tcPr>
    </w:tblStylePr>
    <w:tblStylePr w:type="lastRow">
      <w:rPr>
        <w:b/>
        <w:bCs/>
      </w:rPr>
      <w:tblPr/>
      <w:tcPr>
        <w:tcBorders>
          <w:top w:val="double" w:sz="4" w:space="0" w:color="53575A" w:themeColor="accent1"/>
        </w:tcBorders>
      </w:tcPr>
    </w:tblStylePr>
    <w:tblStylePr w:type="firstCol">
      <w:rPr>
        <w:b/>
        <w:bCs/>
      </w:rPr>
    </w:tblStylePr>
    <w:tblStylePr w:type="lastCol">
      <w:rPr>
        <w:b/>
        <w:bCs/>
      </w:rPr>
    </w:tblStylePr>
    <w:tblStylePr w:type="band1Vert">
      <w:tblPr/>
      <w:tcPr>
        <w:shd w:val="clear" w:color="auto" w:fill="DBDDDE" w:themeFill="accent1" w:themeFillTint="33"/>
      </w:tcPr>
    </w:tblStylePr>
    <w:tblStylePr w:type="band1Horz">
      <w:tblPr/>
      <w:tcPr>
        <w:shd w:val="clear" w:color="auto" w:fill="DBDDDE" w:themeFill="accent1" w:themeFillTint="33"/>
      </w:tcPr>
    </w:tblStylePr>
  </w:style>
  <w:style w:type="paragraph" w:customStyle="1" w:styleId="BVIfnrChar1">
    <w:name w:val="BVI fnr Char1"/>
    <w:aliases w:val="Appel note de bas de p..BVI fnr Car Car Car Car, BVI fnr Car Car Car Car, BVI fnr Car Car Car Car Char,Appel note de bas de p..BVI fnr Car Car Car Car1, BVI fnr Char,Appel note de bas de p.;BVI fnr Car Car Car Car"/>
    <w:basedOn w:val="Normal"/>
    <w:uiPriority w:val="99"/>
    <w:rsid w:val="00CD3568"/>
    <w:pPr>
      <w:spacing w:after="0" w:line="240" w:lineRule="exact"/>
    </w:pPr>
    <w:rPr>
      <w:rFonts w:ascii="Times New Roman" w:eastAsia="MS Mincho" w:hAnsi="Times New Roman" w:cs="Times New Roman"/>
      <w:color w:val="auto"/>
      <w:sz w:val="24"/>
      <w:szCs w:val="24"/>
      <w:vertAlign w:val="superscript"/>
      <w:lang w:val="fr-BE" w:eastAsia="fr-BE"/>
    </w:rPr>
  </w:style>
  <w:style w:type="paragraph" w:customStyle="1" w:styleId="Bullet1">
    <w:name w:val="Bullet1"/>
    <w:basedOn w:val="Normal"/>
    <w:autoRedefine/>
    <w:qFormat/>
    <w:rsid w:val="006478A0"/>
    <w:pPr>
      <w:widowControl w:val="0"/>
      <w:numPr>
        <w:numId w:val="14"/>
      </w:numPr>
      <w:spacing w:before="40" w:after="40" w:line="264" w:lineRule="auto"/>
    </w:pPr>
    <w:rPr>
      <w:rFonts w:eastAsia="MS Mincho" w:cs="Times New Roman"/>
      <w:szCs w:val="24"/>
      <w:shd w:val="clear" w:color="auto" w:fill="FFFFFF"/>
      <w:lang w:val="en-US" w:eastAsia="de-DE"/>
    </w:rPr>
  </w:style>
  <w:style w:type="paragraph" w:customStyle="1" w:styleId="msonormal0">
    <w:name w:val="msonormal"/>
    <w:basedOn w:val="Normal"/>
    <w:rsid w:val="00867ED1"/>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font5">
    <w:name w:val="font5"/>
    <w:basedOn w:val="Normal"/>
    <w:rsid w:val="00867ED1"/>
    <w:pPr>
      <w:spacing w:before="100" w:beforeAutospacing="1" w:after="100" w:afterAutospacing="1" w:line="240" w:lineRule="auto"/>
      <w:jc w:val="left"/>
    </w:pPr>
    <w:rPr>
      <w:rFonts w:eastAsia="Times New Roman" w:cs="Arial"/>
      <w:color w:val="53575A"/>
      <w:lang w:val="en-US"/>
    </w:rPr>
  </w:style>
  <w:style w:type="paragraph" w:customStyle="1" w:styleId="xl65">
    <w:name w:val="xl65"/>
    <w:basedOn w:val="Normal"/>
    <w:rsid w:val="00867ED1"/>
    <w:pPr>
      <w:spacing w:before="100" w:beforeAutospacing="1" w:after="100" w:afterAutospacing="1" w:line="240" w:lineRule="auto"/>
      <w:jc w:val="left"/>
    </w:pPr>
    <w:rPr>
      <w:rFonts w:eastAsia="Times New Roman" w:cs="Arial"/>
      <w:color w:val="auto"/>
      <w:lang w:val="en-US"/>
    </w:rPr>
  </w:style>
  <w:style w:type="paragraph" w:customStyle="1" w:styleId="xl66">
    <w:name w:val="xl66"/>
    <w:basedOn w:val="Normal"/>
    <w:rsid w:val="00867ED1"/>
    <w:pPr>
      <w:spacing w:before="100" w:beforeAutospacing="1" w:after="100" w:afterAutospacing="1" w:line="240" w:lineRule="auto"/>
      <w:jc w:val="left"/>
      <w:textAlignment w:val="center"/>
    </w:pPr>
    <w:rPr>
      <w:rFonts w:eastAsia="Times New Roman" w:cs="Arial"/>
      <w:color w:val="auto"/>
      <w:lang w:val="en-US"/>
    </w:rPr>
  </w:style>
  <w:style w:type="paragraph" w:customStyle="1" w:styleId="xl67">
    <w:name w:val="xl67"/>
    <w:basedOn w:val="Normal"/>
    <w:rsid w:val="00867ED1"/>
    <w:pPr>
      <w:pBdr>
        <w:top w:val="double" w:sz="6" w:space="0" w:color="auto"/>
        <w:left w:val="single" w:sz="8" w:space="0" w:color="auto"/>
        <w:bottom w:val="single" w:sz="8" w:space="0" w:color="auto"/>
        <w:right w:val="single" w:sz="8" w:space="0" w:color="auto"/>
      </w:pBdr>
      <w:spacing w:before="100" w:beforeAutospacing="1" w:after="100" w:afterAutospacing="1" w:line="240" w:lineRule="auto"/>
      <w:jc w:val="left"/>
    </w:pPr>
    <w:rPr>
      <w:rFonts w:eastAsia="Times New Roman" w:cs="Arial"/>
      <w:b/>
      <w:bCs/>
      <w:color w:val="auto"/>
      <w:lang w:val="en-US"/>
    </w:rPr>
  </w:style>
  <w:style w:type="paragraph" w:customStyle="1" w:styleId="xl68">
    <w:name w:val="xl68"/>
    <w:basedOn w:val="Normal"/>
    <w:rsid w:val="00867ED1"/>
    <w:pPr>
      <w:pBdr>
        <w:top w:val="double" w:sz="6"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69">
    <w:name w:val="xl69"/>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70">
    <w:name w:val="xl70"/>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71">
    <w:name w:val="xl71"/>
    <w:basedOn w:val="Normal"/>
    <w:rsid w:val="00867ED1"/>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jc w:val="left"/>
      <w:textAlignment w:val="center"/>
    </w:pPr>
    <w:rPr>
      <w:rFonts w:eastAsia="Times New Roman" w:cs="Arial"/>
      <w:color w:val="auto"/>
      <w:lang w:val="en-US"/>
    </w:rPr>
  </w:style>
  <w:style w:type="paragraph" w:customStyle="1" w:styleId="xl72">
    <w:name w:val="xl72"/>
    <w:basedOn w:val="Normal"/>
    <w:rsid w:val="00867ED1"/>
    <w:pPr>
      <w:pBdr>
        <w:top w:val="single" w:sz="8" w:space="0" w:color="auto"/>
        <w:left w:val="single" w:sz="8" w:space="0" w:color="auto"/>
        <w:bottom w:val="single" w:sz="8" w:space="0" w:color="auto"/>
        <w:right w:val="single" w:sz="8" w:space="0" w:color="auto"/>
      </w:pBdr>
      <w:shd w:val="clear" w:color="000000" w:fill="D8E4BC"/>
      <w:spacing w:before="100" w:beforeAutospacing="1" w:after="100" w:afterAutospacing="1" w:line="240" w:lineRule="auto"/>
      <w:jc w:val="left"/>
      <w:textAlignment w:val="center"/>
    </w:pPr>
    <w:rPr>
      <w:rFonts w:eastAsia="Times New Roman" w:cs="Arial"/>
      <w:color w:val="auto"/>
      <w:lang w:val="en-US"/>
    </w:rPr>
  </w:style>
  <w:style w:type="paragraph" w:customStyle="1" w:styleId="xl73">
    <w:name w:val="xl73"/>
    <w:basedOn w:val="Normal"/>
    <w:rsid w:val="00867ED1"/>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jc w:val="left"/>
      <w:textAlignment w:val="center"/>
    </w:pPr>
    <w:rPr>
      <w:rFonts w:eastAsia="Times New Roman" w:cs="Arial"/>
      <w:color w:val="auto"/>
      <w:lang w:val="en-US"/>
    </w:rPr>
  </w:style>
  <w:style w:type="paragraph" w:customStyle="1" w:styleId="xl74">
    <w:name w:val="xl74"/>
    <w:basedOn w:val="Normal"/>
    <w:rsid w:val="00867ED1"/>
    <w:pPr>
      <w:pBdr>
        <w:top w:val="single" w:sz="8" w:space="0" w:color="auto"/>
        <w:left w:val="single" w:sz="8" w:space="0" w:color="auto"/>
        <w:bottom w:val="single" w:sz="8" w:space="0" w:color="auto"/>
        <w:right w:val="single" w:sz="8" w:space="0" w:color="auto"/>
      </w:pBdr>
      <w:shd w:val="clear" w:color="000000" w:fill="E26B0A"/>
      <w:spacing w:before="100" w:beforeAutospacing="1" w:after="100" w:afterAutospacing="1" w:line="240" w:lineRule="auto"/>
      <w:jc w:val="left"/>
      <w:textAlignment w:val="center"/>
    </w:pPr>
    <w:rPr>
      <w:rFonts w:eastAsia="Times New Roman" w:cs="Arial"/>
      <w:color w:val="auto"/>
      <w:lang w:val="en-US"/>
    </w:rPr>
  </w:style>
  <w:style w:type="paragraph" w:customStyle="1" w:styleId="xl75">
    <w:name w:val="xl75"/>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76">
    <w:name w:val="xl76"/>
    <w:basedOn w:val="Normal"/>
    <w:rsid w:val="00867ED1"/>
    <w:pPr>
      <w:pBdr>
        <w:top w:val="single" w:sz="8" w:space="0" w:color="auto"/>
        <w:left w:val="single" w:sz="8" w:space="0" w:color="auto"/>
        <w:bottom w:val="single" w:sz="8" w:space="0" w:color="auto"/>
        <w:right w:val="single" w:sz="8" w:space="0" w:color="auto"/>
      </w:pBdr>
      <w:shd w:val="clear" w:color="000000" w:fill="F0EEEB"/>
      <w:spacing w:before="100" w:beforeAutospacing="1" w:after="100" w:afterAutospacing="1" w:line="240" w:lineRule="auto"/>
      <w:textAlignment w:val="center"/>
    </w:pPr>
    <w:rPr>
      <w:rFonts w:ascii="Times New Roman" w:eastAsia="Times New Roman" w:hAnsi="Times New Roman" w:cs="Times New Roman"/>
      <w:color w:val="394A58"/>
      <w:lang w:val="en-US"/>
    </w:rPr>
  </w:style>
  <w:style w:type="paragraph" w:customStyle="1" w:styleId="xl77">
    <w:name w:val="xl77"/>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394A58"/>
      <w:lang w:val="en-US"/>
    </w:rPr>
  </w:style>
  <w:style w:type="paragraph" w:customStyle="1" w:styleId="xl78">
    <w:name w:val="xl78"/>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394A58"/>
      <w:lang w:val="en-US"/>
    </w:rPr>
  </w:style>
  <w:style w:type="paragraph" w:customStyle="1" w:styleId="xl79">
    <w:name w:val="xl79"/>
    <w:basedOn w:val="Normal"/>
    <w:rsid w:val="00867ED1"/>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jc w:val="left"/>
    </w:pPr>
    <w:rPr>
      <w:rFonts w:eastAsia="Times New Roman" w:cs="Arial"/>
      <w:color w:val="auto"/>
      <w:lang w:val="en-US"/>
    </w:rPr>
  </w:style>
  <w:style w:type="paragraph" w:customStyle="1" w:styleId="xl80">
    <w:name w:val="xl80"/>
    <w:basedOn w:val="Normal"/>
    <w:rsid w:val="00867ED1"/>
    <w:pPr>
      <w:spacing w:before="100" w:beforeAutospacing="1" w:after="100" w:afterAutospacing="1" w:line="240" w:lineRule="auto"/>
      <w:jc w:val="left"/>
    </w:pPr>
    <w:rPr>
      <w:rFonts w:eastAsia="Times New Roman" w:cs="Arial"/>
      <w:color w:val="394A58"/>
      <w:lang w:val="en-US"/>
    </w:rPr>
  </w:style>
  <w:style w:type="paragraph" w:customStyle="1" w:styleId="xl81">
    <w:name w:val="xl81"/>
    <w:basedOn w:val="Normal"/>
    <w:rsid w:val="00867E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82">
    <w:name w:val="xl82"/>
    <w:basedOn w:val="Normal"/>
    <w:rsid w:val="00867ED1"/>
    <w:pPr>
      <w:pBdr>
        <w:top w:val="double" w:sz="6"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83">
    <w:name w:val="xl83"/>
    <w:basedOn w:val="Normal"/>
    <w:rsid w:val="00867ED1"/>
    <w:pPr>
      <w:spacing w:before="100" w:beforeAutospacing="1" w:after="100" w:afterAutospacing="1" w:line="240" w:lineRule="auto"/>
      <w:jc w:val="left"/>
    </w:pPr>
    <w:rPr>
      <w:rFonts w:eastAsia="Times New Roman" w:cs="Arial"/>
      <w:color w:val="53575A"/>
      <w:lang w:val="en-US"/>
    </w:rPr>
  </w:style>
  <w:style w:type="paragraph" w:customStyle="1" w:styleId="xl84">
    <w:name w:val="xl84"/>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85">
    <w:name w:val="xl85"/>
    <w:basedOn w:val="Normal"/>
    <w:rsid w:val="00867ED1"/>
    <w:pPr>
      <w:spacing w:before="100" w:beforeAutospacing="1" w:after="100" w:afterAutospacing="1" w:line="240" w:lineRule="auto"/>
      <w:jc w:val="left"/>
    </w:pPr>
    <w:rPr>
      <w:rFonts w:eastAsia="Times New Roman" w:cs="Arial"/>
      <w:color w:val="auto"/>
      <w:sz w:val="32"/>
      <w:szCs w:val="32"/>
      <w:lang w:val="en-US"/>
    </w:rPr>
  </w:style>
  <w:style w:type="paragraph" w:customStyle="1" w:styleId="xl86">
    <w:name w:val="xl86"/>
    <w:basedOn w:val="Normal"/>
    <w:rsid w:val="00867ED1"/>
    <w:pPr>
      <w:pBdr>
        <w:top w:val="single" w:sz="8" w:space="0" w:color="auto"/>
        <w:left w:val="single" w:sz="8" w:space="0" w:color="auto"/>
        <w:bottom w:val="single" w:sz="8" w:space="0" w:color="auto"/>
        <w:right w:val="single" w:sz="8" w:space="0" w:color="auto"/>
      </w:pBdr>
      <w:shd w:val="clear" w:color="000000" w:fill="E26B0A"/>
      <w:spacing w:before="100" w:beforeAutospacing="1" w:after="100" w:afterAutospacing="1" w:line="240" w:lineRule="auto"/>
      <w:jc w:val="left"/>
    </w:pPr>
    <w:rPr>
      <w:rFonts w:eastAsia="Times New Roman" w:cs="Arial"/>
      <w:color w:val="auto"/>
      <w:lang w:val="en-US"/>
    </w:rPr>
  </w:style>
  <w:style w:type="paragraph" w:customStyle="1" w:styleId="xl87">
    <w:name w:val="xl87"/>
    <w:basedOn w:val="Normal"/>
    <w:rsid w:val="00867ED1"/>
    <w:pPr>
      <w:pBdr>
        <w:top w:val="single" w:sz="8" w:space="0" w:color="auto"/>
        <w:left w:val="single" w:sz="8" w:space="0" w:color="auto"/>
        <w:bottom w:val="single" w:sz="8" w:space="0" w:color="auto"/>
        <w:right w:val="single" w:sz="8" w:space="0" w:color="auto"/>
      </w:pBdr>
      <w:shd w:val="clear" w:color="000000" w:fill="E26B0A"/>
      <w:spacing w:before="100" w:beforeAutospacing="1" w:after="100" w:afterAutospacing="1" w:line="240" w:lineRule="auto"/>
      <w:jc w:val="left"/>
      <w:textAlignment w:val="center"/>
    </w:pPr>
    <w:rPr>
      <w:rFonts w:eastAsia="Times New Roman" w:cs="Arial"/>
      <w:color w:val="394A58"/>
      <w:lang w:val="en-US"/>
    </w:rPr>
  </w:style>
  <w:style w:type="paragraph" w:customStyle="1" w:styleId="xl88">
    <w:name w:val="xl88"/>
    <w:basedOn w:val="Normal"/>
    <w:rsid w:val="00867ED1"/>
    <w:pPr>
      <w:pBdr>
        <w:top w:val="single" w:sz="8" w:space="0" w:color="auto"/>
        <w:left w:val="single" w:sz="8" w:space="0" w:color="auto"/>
        <w:bottom w:val="single" w:sz="8" w:space="0" w:color="auto"/>
        <w:right w:val="single" w:sz="8" w:space="0" w:color="auto"/>
      </w:pBdr>
      <w:shd w:val="clear" w:color="000000" w:fill="7030A0"/>
      <w:spacing w:before="100" w:beforeAutospacing="1" w:after="100" w:afterAutospacing="1" w:line="240" w:lineRule="auto"/>
      <w:jc w:val="left"/>
    </w:pPr>
    <w:rPr>
      <w:rFonts w:eastAsia="Times New Roman" w:cs="Arial"/>
      <w:color w:val="auto"/>
      <w:lang w:val="en-US"/>
    </w:rPr>
  </w:style>
  <w:style w:type="paragraph" w:customStyle="1" w:styleId="xl89">
    <w:name w:val="xl89"/>
    <w:basedOn w:val="Normal"/>
    <w:rsid w:val="00867E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jc w:val="left"/>
    </w:pPr>
    <w:rPr>
      <w:rFonts w:eastAsia="Times New Roman" w:cs="Arial"/>
      <w:color w:val="auto"/>
      <w:lang w:val="en-US"/>
    </w:rPr>
  </w:style>
  <w:style w:type="paragraph" w:customStyle="1" w:styleId="xl90">
    <w:name w:val="xl90"/>
    <w:basedOn w:val="Normal"/>
    <w:rsid w:val="00867ED1"/>
    <w:pPr>
      <w:pBdr>
        <w:top w:val="single" w:sz="8" w:space="0" w:color="auto"/>
        <w:right w:val="single" w:sz="8" w:space="0" w:color="auto"/>
      </w:pBdr>
      <w:shd w:val="clear" w:color="000000" w:fill="92D050"/>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91">
    <w:name w:val="xl91"/>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394A58"/>
      <w:lang w:val="en-US"/>
    </w:rPr>
  </w:style>
  <w:style w:type="paragraph" w:customStyle="1" w:styleId="xl92">
    <w:name w:val="xl92"/>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color w:val="394A58"/>
      <w:lang w:val="en-US"/>
    </w:rPr>
  </w:style>
  <w:style w:type="paragraph" w:customStyle="1" w:styleId="xl93">
    <w:name w:val="xl93"/>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94">
    <w:name w:val="xl94"/>
    <w:basedOn w:val="Normal"/>
    <w:rsid w:val="00867ED1"/>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left"/>
      <w:textAlignment w:val="center"/>
    </w:pPr>
    <w:rPr>
      <w:rFonts w:ascii="Times New Roman" w:eastAsia="Times New Roman" w:hAnsi="Times New Roman" w:cs="Times New Roman"/>
      <w:color w:val="394A58"/>
      <w:lang w:val="en-US"/>
    </w:rPr>
  </w:style>
  <w:style w:type="paragraph" w:customStyle="1" w:styleId="xl95">
    <w:name w:val="xl95"/>
    <w:basedOn w:val="Normal"/>
    <w:rsid w:val="00867ED1"/>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left"/>
      <w:textAlignment w:val="center"/>
    </w:pPr>
    <w:rPr>
      <w:rFonts w:eastAsia="Times New Roman" w:cs="Arial"/>
      <w:color w:val="auto"/>
      <w:lang w:val="en-US"/>
    </w:rPr>
  </w:style>
  <w:style w:type="paragraph" w:customStyle="1" w:styleId="xl96">
    <w:name w:val="xl96"/>
    <w:basedOn w:val="Normal"/>
    <w:rsid w:val="00867E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97">
    <w:name w:val="xl97"/>
    <w:basedOn w:val="Normal"/>
    <w:rsid w:val="00867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394A58"/>
      <w:lang w:val="en-US"/>
    </w:rPr>
  </w:style>
  <w:style w:type="paragraph" w:customStyle="1" w:styleId="xl98">
    <w:name w:val="xl98"/>
    <w:basedOn w:val="Normal"/>
    <w:rsid w:val="00867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color w:val="auto"/>
      <w:lang w:val="en-US"/>
    </w:rPr>
  </w:style>
  <w:style w:type="paragraph" w:customStyle="1" w:styleId="xl99">
    <w:name w:val="xl99"/>
    <w:basedOn w:val="Normal"/>
    <w:rsid w:val="00867ED1"/>
    <w:pPr>
      <w:spacing w:before="100" w:beforeAutospacing="1" w:after="100" w:afterAutospacing="1" w:line="240" w:lineRule="auto"/>
      <w:jc w:val="left"/>
    </w:pPr>
    <w:rPr>
      <w:rFonts w:eastAsia="Times New Roman" w:cs="Arial"/>
      <w:color w:val="auto"/>
      <w:lang w:val="en-US"/>
    </w:rPr>
  </w:style>
  <w:style w:type="paragraph" w:customStyle="1" w:styleId="xl100">
    <w:name w:val="xl100"/>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cs="Arial"/>
      <w:color w:val="394A58"/>
      <w:lang w:val="en-US"/>
    </w:rPr>
  </w:style>
  <w:style w:type="paragraph" w:customStyle="1" w:styleId="xl101">
    <w:name w:val="xl101"/>
    <w:basedOn w:val="Normal"/>
    <w:rsid w:val="00867ED1"/>
    <w:pPr>
      <w:pBdr>
        <w:left w:val="single" w:sz="8" w:space="0" w:color="auto"/>
        <w:bottom w:val="single" w:sz="8" w:space="0" w:color="auto"/>
      </w:pBdr>
      <w:shd w:val="clear" w:color="000000" w:fill="00B0F0"/>
      <w:spacing w:before="100" w:beforeAutospacing="1" w:after="100" w:afterAutospacing="1" w:line="240" w:lineRule="auto"/>
      <w:jc w:val="left"/>
    </w:pPr>
    <w:rPr>
      <w:rFonts w:eastAsia="Times New Roman" w:cs="Arial"/>
      <w:color w:val="auto"/>
      <w:lang w:val="en-US"/>
    </w:rPr>
  </w:style>
  <w:style w:type="paragraph" w:customStyle="1" w:styleId="xl102">
    <w:name w:val="xl102"/>
    <w:basedOn w:val="Normal"/>
    <w:rsid w:val="00867ED1"/>
    <w:pPr>
      <w:pBdr>
        <w:top w:val="single" w:sz="8" w:space="0" w:color="auto"/>
        <w:bottom w:val="single" w:sz="8" w:space="0" w:color="auto"/>
        <w:right w:val="single" w:sz="8" w:space="0" w:color="auto"/>
      </w:pBdr>
      <w:shd w:val="clear" w:color="000000" w:fill="00B0F0"/>
      <w:spacing w:before="100" w:beforeAutospacing="1" w:after="100" w:afterAutospacing="1" w:line="240" w:lineRule="auto"/>
      <w:jc w:val="left"/>
      <w:textAlignment w:val="center"/>
    </w:pPr>
    <w:rPr>
      <w:rFonts w:eastAsia="Times New Roman" w:cs="Arial"/>
      <w:color w:val="auto"/>
      <w:lang w:val="en-US"/>
    </w:rPr>
  </w:style>
  <w:style w:type="paragraph" w:customStyle="1" w:styleId="xl103">
    <w:name w:val="xl103"/>
    <w:basedOn w:val="Normal"/>
    <w:rsid w:val="00867ED1"/>
    <w:pPr>
      <w:pBdr>
        <w:top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104">
    <w:name w:val="xl104"/>
    <w:basedOn w:val="Normal"/>
    <w:rsid w:val="00867ED1"/>
    <w:pPr>
      <w:pBdr>
        <w:top w:val="double" w:sz="6" w:space="0" w:color="auto"/>
        <w:left w:val="single" w:sz="8" w:space="0" w:color="auto"/>
        <w:right w:val="single" w:sz="8" w:space="0" w:color="auto"/>
      </w:pBdr>
      <w:spacing w:before="100" w:beforeAutospacing="1" w:after="100" w:afterAutospacing="1" w:line="240" w:lineRule="auto"/>
      <w:jc w:val="left"/>
    </w:pPr>
    <w:rPr>
      <w:rFonts w:eastAsia="Times New Roman" w:cs="Arial"/>
      <w:b/>
      <w:bCs/>
      <w:color w:val="auto"/>
      <w:lang w:val="en-US"/>
    </w:rPr>
  </w:style>
  <w:style w:type="paragraph" w:customStyle="1" w:styleId="xl105">
    <w:name w:val="xl105"/>
    <w:basedOn w:val="Normal"/>
    <w:rsid w:val="00867E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Arial"/>
      <w:color w:val="394A58"/>
      <w:lang w:val="en-US"/>
    </w:rPr>
  </w:style>
  <w:style w:type="paragraph" w:customStyle="1" w:styleId="xl106">
    <w:name w:val="xl106"/>
    <w:basedOn w:val="Normal"/>
    <w:rsid w:val="00867ED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left"/>
      <w:textAlignment w:val="top"/>
    </w:pPr>
    <w:rPr>
      <w:rFonts w:eastAsia="Times New Roman" w:cs="Arial"/>
      <w:color w:val="394A58"/>
      <w:lang w:val="en-US"/>
    </w:rPr>
  </w:style>
  <w:style w:type="paragraph" w:customStyle="1" w:styleId="xl107">
    <w:name w:val="xl107"/>
    <w:basedOn w:val="Normal"/>
    <w:rsid w:val="00867ED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left"/>
    </w:pPr>
    <w:rPr>
      <w:rFonts w:eastAsia="Times New Roman" w:cs="Arial"/>
      <w:color w:val="auto"/>
      <w:lang w:val="en-US"/>
    </w:rPr>
  </w:style>
  <w:style w:type="paragraph" w:customStyle="1" w:styleId="xl108">
    <w:name w:val="xl108"/>
    <w:basedOn w:val="Normal"/>
    <w:rsid w:val="00867ED1"/>
    <w:pPr>
      <w:pBdr>
        <w:top w:val="single" w:sz="4" w:space="0" w:color="auto"/>
        <w:left w:val="single" w:sz="4" w:space="0" w:color="auto"/>
        <w:bottom w:val="single" w:sz="4" w:space="0" w:color="auto"/>
        <w:right w:val="single" w:sz="4" w:space="0" w:color="auto"/>
      </w:pBdr>
      <w:shd w:val="clear" w:color="000000" w:fill="F0EEEB"/>
      <w:spacing w:before="100" w:beforeAutospacing="1" w:after="100" w:afterAutospacing="1" w:line="240" w:lineRule="auto"/>
      <w:textAlignment w:val="center"/>
    </w:pPr>
    <w:rPr>
      <w:rFonts w:ascii="Times New Roman" w:eastAsia="Times New Roman" w:hAnsi="Times New Roman" w:cs="Times New Roman"/>
      <w:color w:val="394A58"/>
      <w:lang w:val="en-US"/>
    </w:rPr>
  </w:style>
  <w:style w:type="paragraph" w:customStyle="1" w:styleId="xl109">
    <w:name w:val="xl109"/>
    <w:basedOn w:val="Normal"/>
    <w:rsid w:val="00867ED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color w:val="394A58"/>
      <w:lang w:val="en-US"/>
    </w:rPr>
  </w:style>
  <w:style w:type="paragraph" w:customStyle="1" w:styleId="xl110">
    <w:name w:val="xl110"/>
    <w:basedOn w:val="Normal"/>
    <w:rsid w:val="00867ED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pPr>
    <w:rPr>
      <w:rFonts w:eastAsia="Times New Roman" w:cs="Arial"/>
      <w:color w:val="auto"/>
      <w:lang w:val="en-US"/>
    </w:rPr>
  </w:style>
  <w:style w:type="paragraph" w:customStyle="1" w:styleId="xl111">
    <w:name w:val="xl111"/>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4F81BD"/>
      <w:lang w:val="en-US"/>
    </w:rPr>
  </w:style>
  <w:style w:type="paragraph" w:customStyle="1" w:styleId="xl112">
    <w:name w:val="xl112"/>
    <w:basedOn w:val="Normal"/>
    <w:rsid w:val="00867E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113">
    <w:name w:val="xl113"/>
    <w:basedOn w:val="Normal"/>
    <w:rsid w:val="00867ED1"/>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left"/>
      <w:textAlignment w:val="center"/>
    </w:pPr>
    <w:rPr>
      <w:rFonts w:eastAsia="Times New Roman" w:cs="Arial"/>
      <w:color w:val="auto"/>
      <w:lang w:val="en-US"/>
    </w:rPr>
  </w:style>
  <w:style w:type="paragraph" w:customStyle="1" w:styleId="xl114">
    <w:name w:val="xl114"/>
    <w:basedOn w:val="Normal"/>
    <w:rsid w:val="00867E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left"/>
      <w:textAlignment w:val="center"/>
    </w:pPr>
    <w:rPr>
      <w:rFonts w:eastAsia="Times New Roman" w:cs="Arial"/>
      <w:color w:val="auto"/>
      <w:lang w:val="en-US"/>
    </w:rPr>
  </w:style>
  <w:style w:type="paragraph" w:customStyle="1" w:styleId="xl115">
    <w:name w:val="xl115"/>
    <w:basedOn w:val="Normal"/>
    <w:rsid w:val="00867ED1"/>
    <w:pPr>
      <w:pBdr>
        <w:top w:val="single" w:sz="8" w:space="0" w:color="auto"/>
        <w:bottom w:val="single" w:sz="8" w:space="0" w:color="auto"/>
        <w:right w:val="single" w:sz="8" w:space="0" w:color="auto"/>
      </w:pBdr>
      <w:shd w:val="clear" w:color="000000" w:fill="FDE9D9"/>
      <w:spacing w:before="100" w:beforeAutospacing="1" w:after="100" w:afterAutospacing="1" w:line="240" w:lineRule="auto"/>
      <w:jc w:val="left"/>
      <w:textAlignment w:val="center"/>
    </w:pPr>
    <w:rPr>
      <w:rFonts w:eastAsia="Times New Roman" w:cs="Arial"/>
      <w:color w:val="auto"/>
      <w:lang w:val="en-US"/>
    </w:rPr>
  </w:style>
  <w:style w:type="paragraph" w:customStyle="1" w:styleId="xl116">
    <w:name w:val="xl116"/>
    <w:basedOn w:val="Normal"/>
    <w:rsid w:val="00867ED1"/>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left"/>
      <w:textAlignment w:val="center"/>
    </w:pPr>
    <w:rPr>
      <w:rFonts w:eastAsia="Times New Roman" w:cs="Arial"/>
      <w:color w:val="auto"/>
      <w:lang w:val="en-US"/>
    </w:rPr>
  </w:style>
  <w:style w:type="paragraph" w:customStyle="1" w:styleId="xl117">
    <w:name w:val="xl117"/>
    <w:basedOn w:val="Normal"/>
    <w:rsid w:val="00867ED1"/>
    <w:pPr>
      <w:pBdr>
        <w:top w:val="single" w:sz="8" w:space="0" w:color="auto"/>
        <w:left w:val="single" w:sz="8" w:space="0" w:color="auto"/>
        <w:bottom w:val="single" w:sz="8" w:space="0" w:color="auto"/>
        <w:right w:val="single" w:sz="8" w:space="0" w:color="auto"/>
      </w:pBdr>
      <w:shd w:val="clear" w:color="000000" w:fill="7030A0"/>
      <w:spacing w:before="100" w:beforeAutospacing="1" w:after="100" w:afterAutospacing="1" w:line="240" w:lineRule="auto"/>
      <w:jc w:val="left"/>
      <w:textAlignment w:val="center"/>
    </w:pPr>
    <w:rPr>
      <w:rFonts w:eastAsia="Times New Roman" w:cs="Arial"/>
      <w:color w:val="auto"/>
      <w:lang w:val="en-US"/>
    </w:rPr>
  </w:style>
  <w:style w:type="paragraph" w:customStyle="1" w:styleId="xl118">
    <w:name w:val="xl118"/>
    <w:basedOn w:val="Normal"/>
    <w:rsid w:val="00867E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jc w:val="left"/>
      <w:textAlignment w:val="center"/>
    </w:pPr>
    <w:rPr>
      <w:rFonts w:eastAsia="Times New Roman" w:cs="Arial"/>
      <w:color w:val="auto"/>
      <w:lang w:val="en-US"/>
    </w:rPr>
  </w:style>
  <w:style w:type="paragraph" w:customStyle="1" w:styleId="xl119">
    <w:name w:val="xl119"/>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eastAsia="Times New Roman" w:cs="Arial"/>
      <w:b/>
      <w:bCs/>
      <w:color w:val="auto"/>
      <w:sz w:val="32"/>
      <w:szCs w:val="32"/>
      <w:lang w:val="en-US"/>
    </w:rPr>
  </w:style>
  <w:style w:type="paragraph" w:customStyle="1" w:styleId="xl120">
    <w:name w:val="xl120"/>
    <w:basedOn w:val="Normal"/>
    <w:rsid w:val="00867ED1"/>
    <w:pPr>
      <w:shd w:val="clear" w:color="000000" w:fill="FFFF00"/>
      <w:spacing w:before="100" w:beforeAutospacing="1" w:after="100" w:afterAutospacing="1" w:line="240" w:lineRule="auto"/>
      <w:jc w:val="left"/>
    </w:pPr>
    <w:rPr>
      <w:rFonts w:eastAsia="Times New Roman" w:cs="Arial"/>
      <w:color w:val="auto"/>
      <w:sz w:val="32"/>
      <w:szCs w:val="32"/>
      <w:lang w:val="en-US"/>
    </w:rPr>
  </w:style>
  <w:style w:type="paragraph" w:customStyle="1" w:styleId="xl121">
    <w:name w:val="xl121"/>
    <w:basedOn w:val="Normal"/>
    <w:rsid w:val="00867ED1"/>
    <w:pPr>
      <w:shd w:val="clear" w:color="000000" w:fill="00B0F0"/>
      <w:spacing w:before="100" w:beforeAutospacing="1" w:after="100" w:afterAutospacing="1" w:line="240" w:lineRule="auto"/>
      <w:jc w:val="left"/>
    </w:pPr>
    <w:rPr>
      <w:rFonts w:eastAsia="Times New Roman" w:cs="Arial"/>
      <w:color w:val="auto"/>
      <w:sz w:val="32"/>
      <w:szCs w:val="32"/>
      <w:lang w:val="en-US"/>
    </w:rPr>
  </w:style>
  <w:style w:type="paragraph" w:customStyle="1" w:styleId="xl122">
    <w:name w:val="xl122"/>
    <w:basedOn w:val="Normal"/>
    <w:rsid w:val="00867ED1"/>
    <w:pPr>
      <w:shd w:val="clear" w:color="000000" w:fill="92D050"/>
      <w:spacing w:before="100" w:beforeAutospacing="1" w:after="100" w:afterAutospacing="1" w:line="240" w:lineRule="auto"/>
      <w:jc w:val="left"/>
    </w:pPr>
    <w:rPr>
      <w:rFonts w:eastAsia="Times New Roman" w:cs="Arial"/>
      <w:color w:val="auto"/>
      <w:sz w:val="32"/>
      <w:szCs w:val="32"/>
      <w:lang w:val="en-US"/>
    </w:rPr>
  </w:style>
  <w:style w:type="paragraph" w:customStyle="1" w:styleId="xl123">
    <w:name w:val="xl123"/>
    <w:basedOn w:val="Normal"/>
    <w:rsid w:val="00867ED1"/>
    <w:pPr>
      <w:shd w:val="clear" w:color="000000" w:fill="FDE9D9"/>
      <w:spacing w:before="100" w:beforeAutospacing="1" w:after="100" w:afterAutospacing="1" w:line="240" w:lineRule="auto"/>
      <w:jc w:val="left"/>
    </w:pPr>
    <w:rPr>
      <w:rFonts w:eastAsia="Times New Roman" w:cs="Arial"/>
      <w:color w:val="auto"/>
      <w:sz w:val="32"/>
      <w:szCs w:val="32"/>
      <w:lang w:val="en-US"/>
    </w:rPr>
  </w:style>
  <w:style w:type="paragraph" w:customStyle="1" w:styleId="xl124">
    <w:name w:val="xl124"/>
    <w:basedOn w:val="Normal"/>
    <w:rsid w:val="00867ED1"/>
    <w:pPr>
      <w:shd w:val="clear" w:color="000000" w:fill="E26B0A"/>
      <w:spacing w:before="100" w:beforeAutospacing="1" w:after="100" w:afterAutospacing="1" w:line="240" w:lineRule="auto"/>
      <w:jc w:val="left"/>
    </w:pPr>
    <w:rPr>
      <w:rFonts w:eastAsia="Times New Roman" w:cs="Arial"/>
      <w:color w:val="auto"/>
      <w:sz w:val="32"/>
      <w:szCs w:val="32"/>
      <w:lang w:val="en-US"/>
    </w:rPr>
  </w:style>
  <w:style w:type="paragraph" w:customStyle="1" w:styleId="xl125">
    <w:name w:val="xl125"/>
    <w:basedOn w:val="Normal"/>
    <w:rsid w:val="00867ED1"/>
    <w:pPr>
      <w:shd w:val="clear" w:color="000000" w:fill="7030A0"/>
      <w:spacing w:before="100" w:beforeAutospacing="1" w:after="100" w:afterAutospacing="1" w:line="240" w:lineRule="auto"/>
      <w:jc w:val="left"/>
    </w:pPr>
    <w:rPr>
      <w:rFonts w:eastAsia="Times New Roman" w:cs="Arial"/>
      <w:color w:val="auto"/>
      <w:sz w:val="32"/>
      <w:szCs w:val="32"/>
      <w:lang w:val="en-US"/>
    </w:rPr>
  </w:style>
  <w:style w:type="paragraph" w:customStyle="1" w:styleId="xl126">
    <w:name w:val="xl126"/>
    <w:basedOn w:val="Normal"/>
    <w:rsid w:val="00867ED1"/>
    <w:pPr>
      <w:shd w:val="clear" w:color="000000" w:fill="4BACC6"/>
      <w:spacing w:before="100" w:beforeAutospacing="1" w:after="100" w:afterAutospacing="1" w:line="240" w:lineRule="auto"/>
      <w:jc w:val="left"/>
    </w:pPr>
    <w:rPr>
      <w:rFonts w:eastAsia="Times New Roman" w:cs="Arial"/>
      <w:color w:val="auto"/>
      <w:sz w:val="32"/>
      <w:szCs w:val="32"/>
      <w:lang w:val="en-US"/>
    </w:rPr>
  </w:style>
  <w:style w:type="paragraph" w:customStyle="1" w:styleId="xl127">
    <w:name w:val="xl127"/>
    <w:basedOn w:val="Normal"/>
    <w:rsid w:val="00867E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b/>
      <w:bCs/>
      <w:color w:val="auto"/>
      <w:lang w:val="en-US"/>
    </w:rPr>
  </w:style>
  <w:style w:type="paragraph" w:customStyle="1" w:styleId="xl128">
    <w:name w:val="xl128"/>
    <w:basedOn w:val="Normal"/>
    <w:rsid w:val="00867E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129">
    <w:name w:val="xl129"/>
    <w:basedOn w:val="Normal"/>
    <w:rsid w:val="00867ED1"/>
    <w:pPr>
      <w:pBdr>
        <w:top w:val="single" w:sz="8" w:space="0" w:color="auto"/>
        <w:left w:val="single" w:sz="8" w:space="0" w:color="auto"/>
        <w:bottom w:val="single" w:sz="8" w:space="0" w:color="auto"/>
        <w:right w:val="single" w:sz="8" w:space="0" w:color="auto"/>
      </w:pBdr>
      <w:shd w:val="clear" w:color="000000" w:fill="F0EEEB"/>
      <w:spacing w:before="100" w:beforeAutospacing="1" w:after="100" w:afterAutospacing="1" w:line="240" w:lineRule="auto"/>
      <w:textAlignment w:val="center"/>
    </w:pPr>
    <w:rPr>
      <w:rFonts w:eastAsia="Times New Roman" w:cs="Arial"/>
      <w:color w:val="394A58"/>
      <w:lang w:val="en-US"/>
    </w:rPr>
  </w:style>
  <w:style w:type="paragraph" w:customStyle="1" w:styleId="xl130">
    <w:name w:val="xl130"/>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131">
    <w:name w:val="xl131"/>
    <w:basedOn w:val="Normal"/>
    <w:rsid w:val="00867ED1"/>
    <w:pPr>
      <w:pBdr>
        <w:left w:val="single" w:sz="8" w:space="0" w:color="auto"/>
        <w:bottom w:val="single" w:sz="8" w:space="0" w:color="auto"/>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132">
    <w:name w:val="xl132"/>
    <w:basedOn w:val="Normal"/>
    <w:rsid w:val="00867ED1"/>
    <w:pPr>
      <w:pBdr>
        <w:top w:val="single" w:sz="8" w:space="0" w:color="auto"/>
        <w:left w:val="single" w:sz="8" w:space="0" w:color="auto"/>
        <w:bottom w:val="single" w:sz="8" w:space="0" w:color="auto"/>
      </w:pBdr>
      <w:shd w:val="clear" w:color="000000" w:fill="F0EEEB"/>
      <w:spacing w:before="100" w:beforeAutospacing="1" w:after="100" w:afterAutospacing="1" w:line="240" w:lineRule="auto"/>
      <w:textAlignment w:val="center"/>
    </w:pPr>
    <w:rPr>
      <w:rFonts w:eastAsia="Times New Roman" w:cs="Arial"/>
      <w:color w:val="394A58"/>
      <w:lang w:val="en-US"/>
    </w:rPr>
  </w:style>
  <w:style w:type="paragraph" w:customStyle="1" w:styleId="xl133">
    <w:name w:val="xl133"/>
    <w:basedOn w:val="Normal"/>
    <w:rsid w:val="00867ED1"/>
    <w:pPr>
      <w:pBdr>
        <w:top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134">
    <w:name w:val="xl134"/>
    <w:basedOn w:val="Normal"/>
    <w:rsid w:val="00867E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cs="Arial"/>
      <w:color w:val="394A58"/>
      <w:lang w:val="en-US"/>
    </w:rPr>
  </w:style>
  <w:style w:type="paragraph" w:customStyle="1" w:styleId="xl135">
    <w:name w:val="xl135"/>
    <w:basedOn w:val="Normal"/>
    <w:rsid w:val="00867ED1"/>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line="240" w:lineRule="auto"/>
      <w:jc w:val="left"/>
      <w:textAlignment w:val="center"/>
    </w:pPr>
    <w:rPr>
      <w:rFonts w:eastAsia="Times New Roman" w:cs="Arial"/>
      <w:color w:val="auto"/>
      <w:lang w:val="en-US"/>
    </w:rPr>
  </w:style>
  <w:style w:type="paragraph" w:customStyle="1" w:styleId="xl136">
    <w:name w:val="xl136"/>
    <w:basedOn w:val="Normal"/>
    <w:rsid w:val="00867ED1"/>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line="240" w:lineRule="auto"/>
      <w:jc w:val="left"/>
      <w:textAlignment w:val="center"/>
    </w:pPr>
    <w:rPr>
      <w:rFonts w:eastAsia="Times New Roman" w:cs="Arial"/>
      <w:color w:val="auto"/>
      <w:lang w:val="en-US"/>
    </w:rPr>
  </w:style>
  <w:style w:type="paragraph" w:customStyle="1" w:styleId="xl137">
    <w:name w:val="xl137"/>
    <w:basedOn w:val="Normal"/>
    <w:rsid w:val="00867ED1"/>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color w:val="auto"/>
      <w:lang w:val="en-US"/>
    </w:rPr>
  </w:style>
  <w:style w:type="paragraph" w:customStyle="1" w:styleId="xl138">
    <w:name w:val="xl138"/>
    <w:basedOn w:val="Normal"/>
    <w:rsid w:val="00867ED1"/>
    <w:pPr>
      <w:pBdr>
        <w:right w:val="single" w:sz="8" w:space="0" w:color="auto"/>
      </w:pBdr>
      <w:spacing w:before="100" w:beforeAutospacing="1" w:after="100" w:afterAutospacing="1" w:line="240" w:lineRule="auto"/>
      <w:jc w:val="left"/>
    </w:pPr>
    <w:rPr>
      <w:rFonts w:eastAsia="Times New Roman" w:cs="Arial"/>
      <w:color w:val="auto"/>
      <w:lang w:val="en-US"/>
    </w:rPr>
  </w:style>
  <w:style w:type="paragraph" w:customStyle="1" w:styleId="xl139">
    <w:name w:val="xl139"/>
    <w:basedOn w:val="Normal"/>
    <w:rsid w:val="00867ED1"/>
    <w:pPr>
      <w:pBdr>
        <w:top w:val="single" w:sz="8" w:space="0" w:color="auto"/>
        <w:bottom w:val="single" w:sz="8" w:space="0" w:color="auto"/>
        <w:right w:val="single" w:sz="8" w:space="0" w:color="auto"/>
      </w:pBdr>
      <w:shd w:val="clear" w:color="000000" w:fill="E4DFEC"/>
      <w:spacing w:before="100" w:beforeAutospacing="1" w:after="100" w:afterAutospacing="1" w:line="240" w:lineRule="auto"/>
      <w:textAlignment w:val="center"/>
    </w:pPr>
    <w:rPr>
      <w:rFonts w:eastAsia="Times New Roman" w:cs="Arial"/>
      <w:color w:val="394A58"/>
      <w:lang w:val="en-US"/>
    </w:rPr>
  </w:style>
  <w:style w:type="paragraph" w:customStyle="1" w:styleId="xl140">
    <w:name w:val="xl140"/>
    <w:basedOn w:val="Normal"/>
    <w:rsid w:val="00867ED1"/>
    <w:pPr>
      <w:pBdr>
        <w:top w:val="single" w:sz="8" w:space="0" w:color="auto"/>
        <w:left w:val="single" w:sz="8" w:space="0" w:color="auto"/>
        <w:bottom w:val="single" w:sz="8" w:space="0" w:color="auto"/>
        <w:right w:val="single" w:sz="8" w:space="0" w:color="auto"/>
      </w:pBdr>
      <w:shd w:val="clear" w:color="000000" w:fill="E4DFEC"/>
      <w:spacing w:before="100" w:beforeAutospacing="1" w:after="100" w:afterAutospacing="1" w:line="240" w:lineRule="auto"/>
      <w:textAlignment w:val="center"/>
    </w:pPr>
    <w:rPr>
      <w:rFonts w:eastAsia="Times New Roman" w:cs="Arial"/>
      <w:color w:val="394A58"/>
      <w:lang w:val="en-US"/>
    </w:rPr>
  </w:style>
  <w:style w:type="paragraph" w:customStyle="1" w:styleId="xl141">
    <w:name w:val="xl141"/>
    <w:basedOn w:val="Normal"/>
    <w:rsid w:val="00867ED1"/>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eastAsia="Times New Roman" w:cs="Arial"/>
      <w:color w:val="394A58"/>
      <w:lang w:val="en-US"/>
    </w:rPr>
  </w:style>
  <w:style w:type="paragraph" w:customStyle="1" w:styleId="xl142">
    <w:name w:val="xl142"/>
    <w:basedOn w:val="Normal"/>
    <w:rsid w:val="00867ED1"/>
    <w:pPr>
      <w:pBdr>
        <w:top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eastAsia="Times New Roman" w:cs="Arial"/>
      <w:color w:val="394A58"/>
      <w:lang w:val="en-US"/>
    </w:rPr>
  </w:style>
  <w:style w:type="paragraph" w:customStyle="1" w:styleId="xl143">
    <w:name w:val="xl143"/>
    <w:basedOn w:val="Normal"/>
    <w:rsid w:val="00867ED1"/>
    <w:pPr>
      <w:pBdr>
        <w:top w:val="single" w:sz="8" w:space="0" w:color="auto"/>
        <w:left w:val="single" w:sz="8" w:space="0" w:color="auto"/>
        <w:bottom w:val="single" w:sz="8" w:space="0" w:color="auto"/>
        <w:right w:val="single" w:sz="8" w:space="0" w:color="auto"/>
      </w:pBdr>
      <w:shd w:val="clear" w:color="000000" w:fill="DDD9C4"/>
      <w:spacing w:before="100" w:beforeAutospacing="1" w:after="100" w:afterAutospacing="1" w:line="240" w:lineRule="auto"/>
      <w:jc w:val="left"/>
      <w:textAlignment w:val="center"/>
    </w:pPr>
    <w:rPr>
      <w:rFonts w:ascii="Times New Roman" w:eastAsia="Times New Roman" w:hAnsi="Times New Roman" w:cs="Times New Roman"/>
      <w:color w:val="394A58"/>
      <w:lang w:val="en-US"/>
    </w:rPr>
  </w:style>
  <w:style w:type="paragraph" w:customStyle="1" w:styleId="xl144">
    <w:name w:val="xl144"/>
    <w:basedOn w:val="Normal"/>
    <w:rsid w:val="00867ED1"/>
    <w:pPr>
      <w:pBdr>
        <w:top w:val="single" w:sz="8" w:space="0" w:color="auto"/>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eastAsia="Times New Roman" w:cs="Arial"/>
      <w:color w:val="394A58"/>
      <w:lang w:val="en-US"/>
    </w:rPr>
  </w:style>
  <w:style w:type="paragraph" w:customStyle="1" w:styleId="xl145">
    <w:name w:val="xl145"/>
    <w:basedOn w:val="Normal"/>
    <w:rsid w:val="00867ED1"/>
    <w:pPr>
      <w:pBdr>
        <w:top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eastAsia="Times New Roman" w:cs="Arial"/>
      <w:color w:val="394A58"/>
      <w:lang w:val="en-US"/>
    </w:rPr>
  </w:style>
  <w:style w:type="paragraph" w:customStyle="1" w:styleId="xl146">
    <w:name w:val="xl146"/>
    <w:basedOn w:val="Normal"/>
    <w:rsid w:val="00867ED1"/>
    <w:pPr>
      <w:shd w:val="clear" w:color="000000" w:fill="DDD9C4"/>
      <w:spacing w:before="100" w:beforeAutospacing="1" w:after="100" w:afterAutospacing="1" w:line="240" w:lineRule="auto"/>
      <w:jc w:val="left"/>
    </w:pPr>
    <w:rPr>
      <w:rFonts w:eastAsia="Times New Roman" w:cs="Arial"/>
      <w:color w:val="auto"/>
      <w:lang w:val="en-US"/>
    </w:rPr>
  </w:style>
  <w:style w:type="paragraph" w:customStyle="1" w:styleId="xl147">
    <w:name w:val="xl147"/>
    <w:basedOn w:val="Normal"/>
    <w:rsid w:val="00867ED1"/>
    <w:pPr>
      <w:pBdr>
        <w:left w:val="single" w:sz="8" w:space="0" w:color="auto"/>
        <w:right w:val="single" w:sz="8" w:space="0" w:color="auto"/>
      </w:pBdr>
      <w:shd w:val="clear" w:color="000000" w:fill="92D050"/>
      <w:spacing w:before="100" w:beforeAutospacing="1" w:after="100" w:afterAutospacing="1" w:line="240" w:lineRule="auto"/>
      <w:jc w:val="center"/>
    </w:pPr>
    <w:rPr>
      <w:rFonts w:eastAsia="Times New Roman" w:cs="Arial"/>
      <w:b/>
      <w:bCs/>
      <w:color w:val="53575A"/>
      <w:sz w:val="28"/>
      <w:szCs w:val="28"/>
      <w:lang w:val="en-US"/>
    </w:rPr>
  </w:style>
  <w:style w:type="paragraph" w:customStyle="1" w:styleId="xl148">
    <w:name w:val="xl148"/>
    <w:basedOn w:val="Normal"/>
    <w:rsid w:val="00867ED1"/>
    <w:pPr>
      <w:shd w:val="clear" w:color="000000" w:fill="92D050"/>
      <w:spacing w:before="100" w:beforeAutospacing="1" w:after="100" w:afterAutospacing="1" w:line="240" w:lineRule="auto"/>
      <w:jc w:val="left"/>
    </w:pPr>
    <w:rPr>
      <w:rFonts w:eastAsia="Times New Roman" w:cs="Arial"/>
      <w:b/>
      <w:bCs/>
      <w:color w:val="auto"/>
      <w:sz w:val="28"/>
      <w:szCs w:val="28"/>
      <w:lang w:val="en-US"/>
    </w:rPr>
  </w:style>
  <w:style w:type="paragraph" w:customStyle="1" w:styleId="xl149">
    <w:name w:val="xl149"/>
    <w:basedOn w:val="Normal"/>
    <w:rsid w:val="00867ED1"/>
    <w:pPr>
      <w:pBdr>
        <w:left w:val="single" w:sz="8" w:space="0" w:color="auto"/>
        <w:right w:val="single" w:sz="8" w:space="0" w:color="auto"/>
      </w:pBdr>
      <w:shd w:val="clear" w:color="000000" w:fill="00B0F0"/>
      <w:spacing w:before="100" w:beforeAutospacing="1" w:after="100" w:afterAutospacing="1" w:line="240" w:lineRule="auto"/>
      <w:jc w:val="center"/>
    </w:pPr>
    <w:rPr>
      <w:rFonts w:eastAsia="Times New Roman" w:cs="Arial"/>
      <w:b/>
      <w:bCs/>
      <w:color w:val="53575A"/>
      <w:sz w:val="28"/>
      <w:szCs w:val="28"/>
      <w:lang w:val="en-US"/>
    </w:rPr>
  </w:style>
  <w:style w:type="paragraph" w:customStyle="1" w:styleId="xl150">
    <w:name w:val="xl150"/>
    <w:basedOn w:val="Normal"/>
    <w:rsid w:val="00867ED1"/>
    <w:pPr>
      <w:shd w:val="clear" w:color="000000" w:fill="00B0F0"/>
      <w:spacing w:before="100" w:beforeAutospacing="1" w:after="100" w:afterAutospacing="1" w:line="240" w:lineRule="auto"/>
      <w:jc w:val="left"/>
    </w:pPr>
    <w:rPr>
      <w:rFonts w:eastAsia="Times New Roman" w:cs="Arial"/>
      <w:b/>
      <w:bCs/>
      <w:color w:val="auto"/>
      <w:sz w:val="28"/>
      <w:szCs w:val="28"/>
      <w:lang w:val="en-US"/>
    </w:rPr>
  </w:style>
  <w:style w:type="paragraph" w:customStyle="1" w:styleId="xl151">
    <w:name w:val="xl151"/>
    <w:basedOn w:val="Normal"/>
    <w:rsid w:val="00867ED1"/>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center"/>
    </w:pPr>
    <w:rPr>
      <w:rFonts w:eastAsia="Times New Roman" w:cs="Arial"/>
      <w:b/>
      <w:bCs/>
      <w:color w:val="394A58"/>
      <w:sz w:val="28"/>
      <w:szCs w:val="28"/>
      <w:lang w:val="en-US"/>
    </w:rPr>
  </w:style>
  <w:style w:type="paragraph" w:customStyle="1" w:styleId="xl152">
    <w:name w:val="xl152"/>
    <w:basedOn w:val="Normal"/>
    <w:rsid w:val="00867E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53">
    <w:name w:val="xl153"/>
    <w:basedOn w:val="Normal"/>
    <w:rsid w:val="00867ED1"/>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left"/>
      <w:textAlignment w:val="top"/>
    </w:pPr>
    <w:rPr>
      <w:rFonts w:eastAsia="Times New Roman" w:cs="Arial"/>
      <w:b/>
      <w:bCs/>
      <w:color w:val="394A58"/>
      <w:sz w:val="28"/>
      <w:szCs w:val="28"/>
      <w:lang w:val="en-US"/>
    </w:rPr>
  </w:style>
  <w:style w:type="paragraph" w:customStyle="1" w:styleId="xl154">
    <w:name w:val="xl154"/>
    <w:basedOn w:val="Normal"/>
    <w:rsid w:val="00867ED1"/>
    <w:pPr>
      <w:pBdr>
        <w:top w:val="single" w:sz="8" w:space="0" w:color="auto"/>
        <w:left w:val="single" w:sz="8" w:space="0" w:color="auto"/>
        <w:right w:val="single" w:sz="8" w:space="0" w:color="auto"/>
      </w:pBdr>
      <w:shd w:val="clear" w:color="000000" w:fill="00B0F0"/>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55">
    <w:name w:val="xl155"/>
    <w:basedOn w:val="Normal"/>
    <w:rsid w:val="00867ED1"/>
    <w:pPr>
      <w:pBdr>
        <w:top w:val="single" w:sz="8" w:space="0" w:color="auto"/>
        <w:left w:val="single" w:sz="8" w:space="0" w:color="auto"/>
        <w:bottom w:val="single" w:sz="8" w:space="0" w:color="auto"/>
      </w:pBdr>
      <w:shd w:val="clear" w:color="000000" w:fill="00B0F0"/>
      <w:spacing w:before="100" w:beforeAutospacing="1" w:after="100" w:afterAutospacing="1" w:line="240" w:lineRule="auto"/>
      <w:jc w:val="left"/>
      <w:textAlignment w:val="top"/>
    </w:pPr>
    <w:rPr>
      <w:rFonts w:eastAsia="Times New Roman" w:cs="Arial"/>
      <w:color w:val="394A58"/>
      <w:sz w:val="28"/>
      <w:szCs w:val="28"/>
      <w:lang w:val="en-US"/>
    </w:rPr>
  </w:style>
  <w:style w:type="paragraph" w:customStyle="1" w:styleId="xl156">
    <w:name w:val="xl156"/>
    <w:basedOn w:val="Normal"/>
    <w:rsid w:val="00867ED1"/>
    <w:pPr>
      <w:pBdr>
        <w:top w:val="single" w:sz="8" w:space="0" w:color="auto"/>
        <w:left w:val="single" w:sz="8" w:space="0" w:color="auto"/>
      </w:pBdr>
      <w:shd w:val="clear" w:color="000000" w:fill="FFFF00"/>
      <w:spacing w:before="100" w:beforeAutospacing="1" w:after="100" w:afterAutospacing="1" w:line="240" w:lineRule="auto"/>
      <w:jc w:val="left"/>
      <w:textAlignment w:val="top"/>
    </w:pPr>
    <w:rPr>
      <w:rFonts w:eastAsia="Times New Roman" w:cs="Arial"/>
      <w:b/>
      <w:bCs/>
      <w:color w:val="394A58"/>
      <w:sz w:val="28"/>
      <w:szCs w:val="28"/>
      <w:lang w:val="en-US"/>
    </w:rPr>
  </w:style>
  <w:style w:type="paragraph" w:customStyle="1" w:styleId="xl157">
    <w:name w:val="xl157"/>
    <w:basedOn w:val="Normal"/>
    <w:rsid w:val="00867ED1"/>
    <w:pPr>
      <w:pBdr>
        <w:top w:val="single" w:sz="8" w:space="0" w:color="auto"/>
        <w:right w:val="single" w:sz="8" w:space="0" w:color="auto"/>
      </w:pBdr>
      <w:shd w:val="clear" w:color="000000" w:fill="92D050"/>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58">
    <w:name w:val="xl158"/>
    <w:basedOn w:val="Normal"/>
    <w:rsid w:val="00867ED1"/>
    <w:pPr>
      <w:pBdr>
        <w:top w:val="single" w:sz="8" w:space="0" w:color="auto"/>
        <w:right w:val="single" w:sz="8" w:space="0" w:color="auto"/>
      </w:pBdr>
      <w:shd w:val="clear" w:color="000000" w:fill="FDE9D9"/>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59">
    <w:name w:val="xl159"/>
    <w:basedOn w:val="Normal"/>
    <w:rsid w:val="00867ED1"/>
    <w:pPr>
      <w:pBdr>
        <w:top w:val="single" w:sz="8" w:space="0" w:color="auto"/>
        <w:left w:val="single" w:sz="8" w:space="0" w:color="auto"/>
        <w:bottom w:val="single" w:sz="8" w:space="0" w:color="auto"/>
      </w:pBdr>
      <w:shd w:val="clear" w:color="000000" w:fill="FDE9D9"/>
      <w:spacing w:before="100" w:beforeAutospacing="1" w:after="100" w:afterAutospacing="1" w:line="240" w:lineRule="auto"/>
      <w:jc w:val="left"/>
    </w:pPr>
    <w:rPr>
      <w:rFonts w:eastAsia="Times New Roman" w:cs="Arial"/>
      <w:b/>
      <w:bCs/>
      <w:color w:val="auto"/>
      <w:sz w:val="28"/>
      <w:szCs w:val="28"/>
      <w:lang w:val="en-US"/>
    </w:rPr>
  </w:style>
  <w:style w:type="paragraph" w:customStyle="1" w:styleId="xl160">
    <w:name w:val="xl160"/>
    <w:basedOn w:val="Normal"/>
    <w:rsid w:val="00867ED1"/>
    <w:pPr>
      <w:pBdr>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61">
    <w:name w:val="xl161"/>
    <w:basedOn w:val="Normal"/>
    <w:rsid w:val="00867ED1"/>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left"/>
      <w:textAlignment w:val="center"/>
    </w:pPr>
    <w:rPr>
      <w:rFonts w:eastAsia="Times New Roman" w:cs="Arial"/>
      <w:b/>
      <w:bCs/>
      <w:color w:val="394A58"/>
      <w:sz w:val="28"/>
      <w:szCs w:val="28"/>
      <w:lang w:val="en-US"/>
    </w:rPr>
  </w:style>
  <w:style w:type="paragraph" w:customStyle="1" w:styleId="xl162">
    <w:name w:val="xl162"/>
    <w:basedOn w:val="Normal"/>
    <w:rsid w:val="00867ED1"/>
    <w:pPr>
      <w:pBdr>
        <w:top w:val="single" w:sz="8" w:space="0" w:color="auto"/>
        <w:bottom w:val="single" w:sz="8" w:space="0" w:color="auto"/>
        <w:right w:val="single" w:sz="8" w:space="0" w:color="auto"/>
      </w:pBdr>
      <w:shd w:val="clear" w:color="000000" w:fill="E26B0A"/>
      <w:spacing w:before="100" w:beforeAutospacing="1" w:after="100" w:afterAutospacing="1" w:line="240" w:lineRule="auto"/>
      <w:jc w:val="center"/>
    </w:pPr>
    <w:rPr>
      <w:rFonts w:eastAsia="Times New Roman" w:cs="Arial"/>
      <w:b/>
      <w:bCs/>
      <w:color w:val="auto"/>
      <w:sz w:val="28"/>
      <w:szCs w:val="28"/>
      <w:lang w:val="en-US"/>
    </w:rPr>
  </w:style>
  <w:style w:type="paragraph" w:customStyle="1" w:styleId="xl163">
    <w:name w:val="xl163"/>
    <w:basedOn w:val="Normal"/>
    <w:rsid w:val="00867ED1"/>
    <w:pPr>
      <w:pBdr>
        <w:top w:val="single" w:sz="8" w:space="0" w:color="auto"/>
        <w:left w:val="single" w:sz="8" w:space="0" w:color="auto"/>
        <w:bottom w:val="single" w:sz="8" w:space="0" w:color="auto"/>
        <w:right w:val="single" w:sz="8" w:space="0" w:color="auto"/>
      </w:pBdr>
      <w:shd w:val="clear" w:color="000000" w:fill="E26B0A"/>
      <w:spacing w:before="100" w:beforeAutospacing="1" w:after="100" w:afterAutospacing="1" w:line="240" w:lineRule="auto"/>
      <w:jc w:val="left"/>
    </w:pPr>
    <w:rPr>
      <w:rFonts w:eastAsia="Times New Roman" w:cs="Arial"/>
      <w:b/>
      <w:bCs/>
      <w:color w:val="auto"/>
      <w:sz w:val="28"/>
      <w:szCs w:val="28"/>
      <w:lang w:val="en-US"/>
    </w:rPr>
  </w:style>
  <w:style w:type="paragraph" w:customStyle="1" w:styleId="xl164">
    <w:name w:val="xl164"/>
    <w:basedOn w:val="Normal"/>
    <w:rsid w:val="00867ED1"/>
    <w:pPr>
      <w:pBdr>
        <w:top w:val="single" w:sz="8" w:space="0" w:color="auto"/>
        <w:bottom w:val="single" w:sz="8" w:space="0" w:color="auto"/>
        <w:right w:val="single" w:sz="8" w:space="0" w:color="auto"/>
      </w:pBdr>
      <w:shd w:val="clear" w:color="000000" w:fill="E26B0A"/>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65">
    <w:name w:val="xl165"/>
    <w:basedOn w:val="Normal"/>
    <w:rsid w:val="00867ED1"/>
    <w:pPr>
      <w:pBdr>
        <w:top w:val="single" w:sz="8" w:space="0" w:color="auto"/>
        <w:left w:val="single" w:sz="8" w:space="0" w:color="auto"/>
        <w:bottom w:val="single" w:sz="8" w:space="0" w:color="auto"/>
        <w:right w:val="single" w:sz="8" w:space="0" w:color="auto"/>
      </w:pBdr>
      <w:shd w:val="clear" w:color="000000" w:fill="E26B0A"/>
      <w:spacing w:before="100" w:beforeAutospacing="1" w:after="100" w:afterAutospacing="1" w:line="240" w:lineRule="auto"/>
      <w:jc w:val="left"/>
      <w:textAlignment w:val="center"/>
    </w:pPr>
    <w:rPr>
      <w:rFonts w:eastAsia="Times New Roman" w:cs="Arial"/>
      <w:color w:val="394A58"/>
      <w:sz w:val="28"/>
      <w:szCs w:val="28"/>
      <w:lang w:val="en-US"/>
    </w:rPr>
  </w:style>
  <w:style w:type="paragraph" w:customStyle="1" w:styleId="xl166">
    <w:name w:val="xl166"/>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b/>
      <w:bCs/>
      <w:color w:val="394A58"/>
      <w:sz w:val="28"/>
      <w:szCs w:val="28"/>
      <w:lang w:val="en-US"/>
    </w:rPr>
  </w:style>
  <w:style w:type="paragraph" w:customStyle="1" w:styleId="xl167">
    <w:name w:val="xl167"/>
    <w:basedOn w:val="Normal"/>
    <w:rsid w:val="00867ED1"/>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eastAsia="Times New Roman" w:cs="Arial"/>
      <w:b/>
      <w:bCs/>
      <w:color w:val="auto"/>
      <w:sz w:val="28"/>
      <w:szCs w:val="28"/>
      <w:lang w:val="en-US"/>
    </w:rPr>
  </w:style>
  <w:style w:type="paragraph" w:customStyle="1" w:styleId="xl168">
    <w:name w:val="xl168"/>
    <w:basedOn w:val="Normal"/>
    <w:rsid w:val="00867ED1"/>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b/>
      <w:bCs/>
      <w:color w:val="394A58"/>
      <w:sz w:val="28"/>
      <w:szCs w:val="28"/>
      <w:lang w:val="en-US"/>
    </w:rPr>
  </w:style>
  <w:style w:type="paragraph" w:customStyle="1" w:styleId="xl169">
    <w:name w:val="xl169"/>
    <w:basedOn w:val="Normal"/>
    <w:rsid w:val="00867ED1"/>
    <w:pPr>
      <w:pBdr>
        <w:top w:val="single" w:sz="8" w:space="0" w:color="auto"/>
        <w:bottom w:val="single" w:sz="8" w:space="0" w:color="auto"/>
        <w:right w:val="single" w:sz="8" w:space="0" w:color="auto"/>
      </w:pBdr>
      <w:shd w:val="clear" w:color="000000" w:fill="7030A0"/>
      <w:spacing w:before="100" w:beforeAutospacing="1" w:after="100" w:afterAutospacing="1" w:line="240" w:lineRule="auto"/>
      <w:jc w:val="center"/>
    </w:pPr>
    <w:rPr>
      <w:rFonts w:eastAsia="Times New Roman" w:cs="Arial"/>
      <w:color w:val="FFFFFF"/>
      <w:sz w:val="28"/>
      <w:szCs w:val="28"/>
      <w:lang w:val="en-US"/>
    </w:rPr>
  </w:style>
  <w:style w:type="paragraph" w:customStyle="1" w:styleId="xl170">
    <w:name w:val="xl170"/>
    <w:basedOn w:val="Normal"/>
    <w:rsid w:val="00867ED1"/>
    <w:pPr>
      <w:pBdr>
        <w:top w:val="single" w:sz="8" w:space="0" w:color="auto"/>
        <w:left w:val="single" w:sz="8" w:space="0" w:color="auto"/>
        <w:bottom w:val="single" w:sz="8" w:space="0" w:color="auto"/>
        <w:right w:val="single" w:sz="8" w:space="0" w:color="auto"/>
      </w:pBdr>
      <w:shd w:val="clear" w:color="000000" w:fill="7030A0"/>
      <w:spacing w:before="100" w:beforeAutospacing="1" w:after="100" w:afterAutospacing="1" w:line="240" w:lineRule="auto"/>
      <w:jc w:val="left"/>
    </w:pPr>
    <w:rPr>
      <w:rFonts w:eastAsia="Times New Roman" w:cs="Arial"/>
      <w:color w:val="FFFFFF"/>
      <w:sz w:val="28"/>
      <w:szCs w:val="28"/>
      <w:lang w:val="en-US"/>
    </w:rPr>
  </w:style>
  <w:style w:type="paragraph" w:customStyle="1" w:styleId="xl171">
    <w:name w:val="xl171"/>
    <w:basedOn w:val="Normal"/>
    <w:rsid w:val="00867ED1"/>
    <w:pPr>
      <w:pBdr>
        <w:top w:val="single" w:sz="8" w:space="0" w:color="auto"/>
        <w:bottom w:val="single" w:sz="8" w:space="0" w:color="auto"/>
        <w:right w:val="single" w:sz="8" w:space="0" w:color="auto"/>
      </w:pBdr>
      <w:shd w:val="clear" w:color="000000" w:fill="7030A0"/>
      <w:spacing w:before="100" w:beforeAutospacing="1" w:after="100" w:afterAutospacing="1" w:line="240" w:lineRule="auto"/>
      <w:jc w:val="center"/>
    </w:pPr>
    <w:rPr>
      <w:rFonts w:eastAsia="Times New Roman" w:cs="Arial"/>
      <w:b/>
      <w:bCs/>
      <w:color w:val="FFFFFF"/>
      <w:sz w:val="28"/>
      <w:szCs w:val="28"/>
      <w:lang w:val="en-US"/>
    </w:rPr>
  </w:style>
  <w:style w:type="paragraph" w:customStyle="1" w:styleId="xl172">
    <w:name w:val="xl172"/>
    <w:basedOn w:val="Normal"/>
    <w:rsid w:val="00867ED1"/>
    <w:pPr>
      <w:pBdr>
        <w:top w:val="single" w:sz="8" w:space="0" w:color="auto"/>
        <w:bottom w:val="single" w:sz="8" w:space="0" w:color="auto"/>
        <w:right w:val="single" w:sz="8" w:space="0" w:color="auto"/>
      </w:pBdr>
      <w:shd w:val="clear" w:color="000000" w:fill="7030A0"/>
      <w:spacing w:before="100" w:beforeAutospacing="1" w:after="100" w:afterAutospacing="1" w:line="240" w:lineRule="auto"/>
      <w:jc w:val="center"/>
    </w:pPr>
    <w:rPr>
      <w:rFonts w:eastAsia="Times New Roman" w:cs="Arial"/>
      <w:b/>
      <w:bCs/>
      <w:color w:val="auto"/>
      <w:sz w:val="28"/>
      <w:szCs w:val="28"/>
      <w:lang w:val="en-US"/>
    </w:rPr>
  </w:style>
  <w:style w:type="paragraph" w:customStyle="1" w:styleId="xl173">
    <w:name w:val="xl173"/>
    <w:basedOn w:val="Normal"/>
    <w:rsid w:val="00867ED1"/>
    <w:pPr>
      <w:pBdr>
        <w:top w:val="single" w:sz="8" w:space="0" w:color="auto"/>
        <w:left w:val="single" w:sz="8" w:space="0" w:color="auto"/>
        <w:bottom w:val="single" w:sz="8" w:space="0" w:color="auto"/>
        <w:right w:val="single" w:sz="8" w:space="0" w:color="auto"/>
      </w:pBdr>
      <w:shd w:val="clear" w:color="000000" w:fill="7030A0"/>
      <w:spacing w:before="100" w:beforeAutospacing="1" w:after="100" w:afterAutospacing="1" w:line="240" w:lineRule="auto"/>
      <w:jc w:val="left"/>
    </w:pPr>
    <w:rPr>
      <w:rFonts w:eastAsia="Times New Roman" w:cs="Arial"/>
      <w:b/>
      <w:bCs/>
      <w:color w:val="FFFFFF"/>
      <w:sz w:val="28"/>
      <w:szCs w:val="28"/>
      <w:lang w:val="en-US"/>
    </w:rPr>
  </w:style>
  <w:style w:type="paragraph" w:customStyle="1" w:styleId="xl174">
    <w:name w:val="xl174"/>
    <w:basedOn w:val="Normal"/>
    <w:rsid w:val="00867ED1"/>
    <w:pPr>
      <w:pBdr>
        <w:top w:val="single" w:sz="8" w:space="0" w:color="auto"/>
        <w:right w:val="single" w:sz="8" w:space="0" w:color="auto"/>
      </w:pBdr>
      <w:shd w:val="clear" w:color="000000" w:fill="4BACC6"/>
      <w:spacing w:before="100" w:beforeAutospacing="1" w:after="100" w:afterAutospacing="1" w:line="240" w:lineRule="auto"/>
      <w:jc w:val="center"/>
    </w:pPr>
    <w:rPr>
      <w:rFonts w:eastAsia="Times New Roman" w:cs="Arial"/>
      <w:color w:val="auto"/>
      <w:sz w:val="28"/>
      <w:szCs w:val="28"/>
      <w:lang w:val="en-US"/>
    </w:rPr>
  </w:style>
  <w:style w:type="paragraph" w:customStyle="1" w:styleId="xl175">
    <w:name w:val="xl175"/>
    <w:basedOn w:val="Normal"/>
    <w:rsid w:val="00867E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jc w:val="left"/>
    </w:pPr>
    <w:rPr>
      <w:rFonts w:eastAsia="Times New Roman" w:cs="Arial"/>
      <w:color w:val="auto"/>
      <w:sz w:val="28"/>
      <w:szCs w:val="28"/>
      <w:lang w:val="en-US"/>
    </w:rPr>
  </w:style>
  <w:style w:type="paragraph" w:customStyle="1" w:styleId="xl176">
    <w:name w:val="xl176"/>
    <w:basedOn w:val="Normal"/>
    <w:rsid w:val="00867ED1"/>
    <w:pPr>
      <w:pBdr>
        <w:lef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77">
    <w:name w:val="xl177"/>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78">
    <w:name w:val="xl178"/>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179">
    <w:name w:val="xl179"/>
    <w:basedOn w:val="Normal"/>
    <w:rsid w:val="00867ED1"/>
    <w:pPr>
      <w:pBdr>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180">
    <w:name w:val="xl180"/>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181">
    <w:name w:val="xl181"/>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82">
    <w:name w:val="xl182"/>
    <w:basedOn w:val="Normal"/>
    <w:rsid w:val="00867ED1"/>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83">
    <w:name w:val="xl183"/>
    <w:basedOn w:val="Normal"/>
    <w:rsid w:val="00867ED1"/>
    <w:pPr>
      <w:pBdr>
        <w:top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84">
    <w:name w:val="xl184"/>
    <w:basedOn w:val="Normal"/>
    <w:rsid w:val="00867ED1"/>
    <w:pPr>
      <w:pBdr>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85">
    <w:name w:val="xl185"/>
    <w:basedOn w:val="Normal"/>
    <w:rsid w:val="00867ED1"/>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186">
    <w:name w:val="xl186"/>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val="en-US"/>
    </w:rPr>
  </w:style>
  <w:style w:type="paragraph" w:customStyle="1" w:styleId="xl187">
    <w:name w:val="xl187"/>
    <w:basedOn w:val="Normal"/>
    <w:rsid w:val="00867ED1"/>
    <w:pPr>
      <w:pBdr>
        <w:left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val="en-US"/>
    </w:rPr>
  </w:style>
  <w:style w:type="paragraph" w:customStyle="1" w:styleId="xl188">
    <w:name w:val="xl188"/>
    <w:basedOn w:val="Normal"/>
    <w:rsid w:val="00867ED1"/>
    <w:pPr>
      <w:pBdr>
        <w:left w:val="single" w:sz="8" w:space="0" w:color="auto"/>
        <w:right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189">
    <w:name w:val="xl189"/>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190">
    <w:name w:val="xl190"/>
    <w:basedOn w:val="Normal"/>
    <w:rsid w:val="00867ED1"/>
    <w:pPr>
      <w:pBdr>
        <w:top w:val="single" w:sz="8" w:space="0" w:color="auto"/>
        <w:left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191">
    <w:name w:val="xl191"/>
    <w:basedOn w:val="Normal"/>
    <w:rsid w:val="00867ED1"/>
    <w:pPr>
      <w:pBdr>
        <w:left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192">
    <w:name w:val="xl192"/>
    <w:basedOn w:val="Normal"/>
    <w:rsid w:val="00867ED1"/>
    <w:pPr>
      <w:pBdr>
        <w:left w:val="single" w:sz="8" w:space="0" w:color="auto"/>
        <w:bottom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193">
    <w:name w:val="xl193"/>
    <w:basedOn w:val="Normal"/>
    <w:rsid w:val="00867ED1"/>
    <w:pPr>
      <w:pBdr>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194">
    <w:name w:val="xl194"/>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left"/>
    </w:pPr>
    <w:rPr>
      <w:rFonts w:eastAsia="Times New Roman" w:cs="Arial"/>
      <w:b/>
      <w:bCs/>
      <w:color w:val="53575A"/>
      <w:lang w:val="en-US"/>
    </w:rPr>
  </w:style>
  <w:style w:type="paragraph" w:customStyle="1" w:styleId="xl195">
    <w:name w:val="xl195"/>
    <w:basedOn w:val="Normal"/>
    <w:rsid w:val="00867ED1"/>
    <w:pPr>
      <w:pBdr>
        <w:left w:val="single" w:sz="8" w:space="0" w:color="auto"/>
        <w:right w:val="single" w:sz="8" w:space="0" w:color="auto"/>
      </w:pBdr>
      <w:spacing w:before="100" w:beforeAutospacing="1" w:after="100" w:afterAutospacing="1" w:line="240" w:lineRule="auto"/>
      <w:jc w:val="left"/>
    </w:pPr>
    <w:rPr>
      <w:rFonts w:eastAsia="Times New Roman" w:cs="Arial"/>
      <w:b/>
      <w:bCs/>
      <w:color w:val="53575A"/>
      <w:lang w:val="en-US"/>
    </w:rPr>
  </w:style>
  <w:style w:type="paragraph" w:customStyle="1" w:styleId="xl196">
    <w:name w:val="xl196"/>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left"/>
    </w:pPr>
    <w:rPr>
      <w:rFonts w:eastAsia="Times New Roman" w:cs="Arial"/>
      <w:b/>
      <w:bCs/>
      <w:color w:val="53575A"/>
      <w:lang w:val="en-US"/>
    </w:rPr>
  </w:style>
  <w:style w:type="paragraph" w:customStyle="1" w:styleId="xl197">
    <w:name w:val="xl197"/>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val="en-US"/>
    </w:rPr>
  </w:style>
  <w:style w:type="paragraph" w:customStyle="1" w:styleId="xl198">
    <w:name w:val="xl198"/>
    <w:basedOn w:val="Normal"/>
    <w:rsid w:val="00867ED1"/>
    <w:pPr>
      <w:spacing w:before="100" w:beforeAutospacing="1" w:after="100" w:afterAutospacing="1" w:line="240" w:lineRule="auto"/>
      <w:jc w:val="center"/>
    </w:pPr>
    <w:rPr>
      <w:rFonts w:eastAsia="Times New Roman" w:cs="Arial"/>
      <w:color w:val="auto"/>
      <w:sz w:val="32"/>
      <w:szCs w:val="32"/>
      <w:lang w:val="en-US"/>
    </w:rPr>
  </w:style>
  <w:style w:type="paragraph" w:customStyle="1" w:styleId="xl199">
    <w:name w:val="xl199"/>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200">
    <w:name w:val="xl200"/>
    <w:basedOn w:val="Normal"/>
    <w:rsid w:val="00867ED1"/>
    <w:pPr>
      <w:pBdr>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val="en-US"/>
    </w:rPr>
  </w:style>
  <w:style w:type="paragraph" w:customStyle="1" w:styleId="xl201">
    <w:name w:val="xl201"/>
    <w:basedOn w:val="Normal"/>
    <w:rsid w:val="00867ED1"/>
    <w:pPr>
      <w:pBdr>
        <w:top w:val="single" w:sz="8" w:space="0" w:color="9F2241"/>
        <w:left w:val="single" w:sz="8" w:space="0" w:color="9F2241"/>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2">
    <w:name w:val="xl202"/>
    <w:basedOn w:val="Normal"/>
    <w:rsid w:val="00867ED1"/>
    <w:pPr>
      <w:pBdr>
        <w:top w:val="single" w:sz="8" w:space="0" w:color="9F2241"/>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3">
    <w:name w:val="xl203"/>
    <w:basedOn w:val="Normal"/>
    <w:rsid w:val="00867ED1"/>
    <w:pPr>
      <w:pBdr>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4">
    <w:name w:val="xl204"/>
    <w:basedOn w:val="Normal"/>
    <w:rsid w:val="00867ED1"/>
    <w:pPr>
      <w:pBdr>
        <w:left w:val="single" w:sz="8" w:space="0" w:color="9F2241"/>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5">
    <w:name w:val="xl205"/>
    <w:basedOn w:val="Normal"/>
    <w:rsid w:val="00867ED1"/>
    <w:pPr>
      <w:pBdr>
        <w:top w:val="single" w:sz="8" w:space="0" w:color="9F2241"/>
        <w:left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6">
    <w:name w:val="xl206"/>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b/>
      <w:bCs/>
      <w:color w:val="53575A"/>
      <w:lang w:val="en-US"/>
    </w:rPr>
  </w:style>
  <w:style w:type="paragraph" w:customStyle="1" w:styleId="xl207">
    <w:name w:val="xl207"/>
    <w:basedOn w:val="Normal"/>
    <w:rsid w:val="00867ED1"/>
    <w:pPr>
      <w:pBdr>
        <w:top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8">
    <w:name w:val="xl208"/>
    <w:basedOn w:val="Normal"/>
    <w:rsid w:val="00867ED1"/>
    <w:pPr>
      <w:pBdr>
        <w:top w:val="single" w:sz="8" w:space="0" w:color="9F2241"/>
        <w:left w:val="single" w:sz="8" w:space="0" w:color="auto"/>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09">
    <w:name w:val="xl209"/>
    <w:basedOn w:val="Normal"/>
    <w:rsid w:val="00867E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10">
    <w:name w:val="xl210"/>
    <w:basedOn w:val="Normal"/>
    <w:rsid w:val="00867E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11">
    <w:name w:val="xl211"/>
    <w:basedOn w:val="Normal"/>
    <w:rsid w:val="00867ED1"/>
    <w:pPr>
      <w:pBdr>
        <w:top w:val="single" w:sz="8" w:space="0" w:color="auto"/>
        <w:left w:val="single" w:sz="8" w:space="0" w:color="auto"/>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12">
    <w:name w:val="xl212"/>
    <w:basedOn w:val="Normal"/>
    <w:rsid w:val="00867ED1"/>
    <w:pPr>
      <w:pBdr>
        <w:top w:val="single" w:sz="8" w:space="0" w:color="auto"/>
        <w:bottom w:val="single" w:sz="8" w:space="0" w:color="9F2241"/>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13">
    <w:name w:val="xl213"/>
    <w:basedOn w:val="Normal"/>
    <w:rsid w:val="00867ED1"/>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color w:val="394A58"/>
      <w:lang w:val="en-US"/>
    </w:rPr>
  </w:style>
  <w:style w:type="paragraph" w:customStyle="1" w:styleId="xl214">
    <w:name w:val="xl214"/>
    <w:basedOn w:val="Normal"/>
    <w:rsid w:val="00867ED1"/>
    <w:pPr>
      <w:spacing w:before="100" w:beforeAutospacing="1" w:after="100" w:afterAutospacing="1" w:line="240" w:lineRule="auto"/>
      <w:jc w:val="left"/>
      <w:textAlignment w:val="center"/>
    </w:pPr>
    <w:rPr>
      <w:rFonts w:eastAsia="Times New Roman" w:cs="Arial"/>
      <w:color w:val="394A58"/>
      <w:lang w:val="en-US"/>
    </w:rPr>
  </w:style>
  <w:style w:type="paragraph" w:customStyle="1" w:styleId="xl215">
    <w:name w:val="xl215"/>
    <w:basedOn w:val="Normal"/>
    <w:rsid w:val="00867ED1"/>
    <w:pPr>
      <w:pBdr>
        <w:top w:val="single" w:sz="8" w:space="0" w:color="9F2241"/>
        <w:left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16">
    <w:name w:val="xl216"/>
    <w:basedOn w:val="Normal"/>
    <w:rsid w:val="00867ED1"/>
    <w:pPr>
      <w:pBdr>
        <w:left w:val="single" w:sz="8" w:space="0" w:color="9F2241"/>
        <w:bottom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17">
    <w:name w:val="xl217"/>
    <w:basedOn w:val="Normal"/>
    <w:rsid w:val="00867ED1"/>
    <w:pPr>
      <w:pBdr>
        <w:top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18">
    <w:name w:val="xl218"/>
    <w:basedOn w:val="Normal"/>
    <w:rsid w:val="00867ED1"/>
    <w:pPr>
      <w:pBdr>
        <w:top w:val="single" w:sz="8" w:space="0" w:color="auto"/>
        <w:left w:val="single" w:sz="8" w:space="0" w:color="auto"/>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19">
    <w:name w:val="xl219"/>
    <w:basedOn w:val="Normal"/>
    <w:rsid w:val="00867ED1"/>
    <w:pPr>
      <w:pBdr>
        <w:left w:val="single" w:sz="8" w:space="0" w:color="auto"/>
        <w:bottom w:val="single" w:sz="8" w:space="0" w:color="auto"/>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0">
    <w:name w:val="xl220"/>
    <w:basedOn w:val="Normal"/>
    <w:rsid w:val="00867ED1"/>
    <w:pPr>
      <w:pBdr>
        <w:top w:val="single" w:sz="8" w:space="0" w:color="9F2241"/>
        <w:left w:val="single" w:sz="8" w:space="0" w:color="9F2241"/>
        <w:bottom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1">
    <w:name w:val="xl221"/>
    <w:basedOn w:val="Normal"/>
    <w:rsid w:val="00867ED1"/>
    <w:pPr>
      <w:pBdr>
        <w:top w:val="single" w:sz="8" w:space="0" w:color="9F2241"/>
        <w:bottom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2">
    <w:name w:val="xl222"/>
    <w:basedOn w:val="Normal"/>
    <w:rsid w:val="00867ED1"/>
    <w:pPr>
      <w:pBdr>
        <w:top w:val="single" w:sz="8" w:space="0" w:color="auto"/>
        <w:left w:val="single" w:sz="8" w:space="0" w:color="auto"/>
      </w:pBdr>
      <w:shd w:val="clear" w:color="000000" w:fill="92D050"/>
      <w:spacing w:before="100" w:beforeAutospacing="1" w:after="100" w:afterAutospacing="1" w:line="240" w:lineRule="auto"/>
      <w:textAlignment w:val="center"/>
    </w:pPr>
    <w:rPr>
      <w:rFonts w:eastAsia="Times New Roman" w:cs="Arial"/>
      <w:b/>
      <w:bCs/>
      <w:color w:val="394A58"/>
      <w:sz w:val="28"/>
      <w:szCs w:val="28"/>
      <w:lang w:val="en-US"/>
    </w:rPr>
  </w:style>
  <w:style w:type="paragraph" w:customStyle="1" w:styleId="xl223">
    <w:name w:val="xl223"/>
    <w:basedOn w:val="Normal"/>
    <w:rsid w:val="00867ED1"/>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color w:val="394A58"/>
      <w:lang w:val="en-US"/>
    </w:rPr>
  </w:style>
  <w:style w:type="paragraph" w:customStyle="1" w:styleId="xl224">
    <w:name w:val="xl224"/>
    <w:basedOn w:val="Normal"/>
    <w:rsid w:val="00867ED1"/>
    <w:pPr>
      <w:pBdr>
        <w:bottom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5">
    <w:name w:val="xl225"/>
    <w:basedOn w:val="Normal"/>
    <w:rsid w:val="00867ED1"/>
    <w:pPr>
      <w:pBdr>
        <w:top w:val="single" w:sz="8" w:space="0" w:color="9F2241"/>
        <w:left w:val="single" w:sz="8" w:space="0" w:color="auto"/>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6">
    <w:name w:val="xl226"/>
    <w:basedOn w:val="Normal"/>
    <w:rsid w:val="00867ED1"/>
    <w:pPr>
      <w:pBdr>
        <w:left w:val="single" w:sz="8" w:space="0" w:color="auto"/>
        <w:bottom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27">
    <w:name w:val="xl227"/>
    <w:basedOn w:val="Normal"/>
    <w:rsid w:val="00867ED1"/>
    <w:pPr>
      <w:pBdr>
        <w:left w:val="single" w:sz="8" w:space="0" w:color="auto"/>
        <w:bottom w:val="single" w:sz="8" w:space="0" w:color="auto"/>
        <w:right w:val="single" w:sz="8" w:space="0" w:color="9F2241"/>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28">
    <w:name w:val="xl228"/>
    <w:basedOn w:val="Normal"/>
    <w:rsid w:val="00867ED1"/>
    <w:pPr>
      <w:pBdr>
        <w:top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29">
    <w:name w:val="xl229"/>
    <w:basedOn w:val="Normal"/>
    <w:rsid w:val="00867ED1"/>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230">
    <w:name w:val="xl230"/>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31">
    <w:name w:val="xl231"/>
    <w:basedOn w:val="Normal"/>
    <w:rsid w:val="00867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32">
    <w:name w:val="xl232"/>
    <w:basedOn w:val="Normal"/>
    <w:rsid w:val="00867ED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233">
    <w:name w:val="xl233"/>
    <w:basedOn w:val="Normal"/>
    <w:rsid w:val="00867ED1"/>
    <w:pPr>
      <w:pBdr>
        <w:top w:val="single" w:sz="8" w:space="0" w:color="auto"/>
        <w:left w:val="single" w:sz="8" w:space="0" w:color="auto"/>
      </w:pBdr>
      <w:spacing w:before="100" w:beforeAutospacing="1" w:after="100" w:afterAutospacing="1" w:line="240" w:lineRule="auto"/>
      <w:jc w:val="center"/>
      <w:textAlignment w:val="center"/>
    </w:pPr>
    <w:rPr>
      <w:rFonts w:eastAsia="Times New Roman" w:cs="Arial"/>
      <w:b/>
      <w:bCs/>
      <w:color w:val="auto"/>
      <w:lang w:val="en-US"/>
    </w:rPr>
  </w:style>
  <w:style w:type="paragraph" w:customStyle="1" w:styleId="xl234">
    <w:name w:val="xl234"/>
    <w:basedOn w:val="Normal"/>
    <w:rsid w:val="00867ED1"/>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35">
    <w:name w:val="xl235"/>
    <w:basedOn w:val="Normal"/>
    <w:rsid w:val="00867ED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Arial"/>
      <w:color w:val="394A58"/>
      <w:lang w:val="en-US"/>
    </w:rPr>
  </w:style>
  <w:style w:type="paragraph" w:customStyle="1" w:styleId="xl236">
    <w:name w:val="xl236"/>
    <w:basedOn w:val="Normal"/>
    <w:rsid w:val="00867ED1"/>
    <w:pPr>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237">
    <w:name w:val="xl237"/>
    <w:basedOn w:val="Normal"/>
    <w:rsid w:val="00867E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pPr>
    <w:rPr>
      <w:rFonts w:eastAsia="Times New Roman" w:cs="Arial"/>
      <w:color w:val="394A58"/>
      <w:lang w:val="en-US"/>
    </w:rPr>
  </w:style>
  <w:style w:type="paragraph" w:customStyle="1" w:styleId="xl238">
    <w:name w:val="xl238"/>
    <w:basedOn w:val="Normal"/>
    <w:rsid w:val="00867ED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eastAsia="Times New Roman" w:cs="Arial"/>
      <w:color w:val="auto"/>
      <w:lang w:val="en-US"/>
    </w:rPr>
  </w:style>
  <w:style w:type="paragraph" w:customStyle="1" w:styleId="xl239">
    <w:name w:val="xl239"/>
    <w:basedOn w:val="Normal"/>
    <w:rsid w:val="00867ED1"/>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left"/>
      <w:textAlignment w:val="center"/>
    </w:pPr>
    <w:rPr>
      <w:rFonts w:eastAsia="Times New Roman" w:cs="Arial"/>
      <w:color w:val="auto"/>
      <w:lang w:val="en-US"/>
    </w:rPr>
  </w:style>
  <w:style w:type="paragraph" w:customStyle="1" w:styleId="xl240">
    <w:name w:val="xl240"/>
    <w:basedOn w:val="Normal"/>
    <w:rsid w:val="00867ED1"/>
    <w:pPr>
      <w:pBdr>
        <w:top w:val="single" w:sz="8" w:space="0" w:color="auto"/>
        <w:left w:val="single" w:sz="8" w:space="0" w:color="auto"/>
        <w:right w:val="single" w:sz="8" w:space="0" w:color="auto"/>
      </w:pBdr>
      <w:shd w:val="clear" w:color="000000" w:fill="92D050"/>
      <w:spacing w:before="100" w:beforeAutospacing="1" w:after="100" w:afterAutospacing="1" w:line="240" w:lineRule="auto"/>
      <w:jc w:val="center"/>
      <w:textAlignment w:val="center"/>
    </w:pPr>
    <w:rPr>
      <w:rFonts w:eastAsia="Times New Roman" w:cs="Arial"/>
      <w:color w:val="auto"/>
      <w:lang w:val="en-US"/>
    </w:rPr>
  </w:style>
  <w:style w:type="paragraph" w:customStyle="1" w:styleId="xl241">
    <w:name w:val="xl241"/>
    <w:basedOn w:val="Normal"/>
    <w:rsid w:val="00867ED1"/>
    <w:pPr>
      <w:pBdr>
        <w:left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eastAsia="Times New Roman" w:cs="Arial"/>
      <w:color w:val="auto"/>
      <w:lang w:val="en-US"/>
    </w:rPr>
  </w:style>
  <w:style w:type="paragraph" w:customStyle="1" w:styleId="xl242">
    <w:name w:val="xl242"/>
    <w:basedOn w:val="Normal"/>
    <w:rsid w:val="00867ED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auto"/>
      <w:lang w:val="en-US"/>
    </w:rPr>
  </w:style>
  <w:style w:type="paragraph" w:customStyle="1" w:styleId="xl243">
    <w:name w:val="xl243"/>
    <w:basedOn w:val="Normal"/>
    <w:rsid w:val="00867E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auto"/>
      <w:lang w:val="en-US"/>
    </w:rPr>
  </w:style>
  <w:style w:type="paragraph" w:customStyle="1" w:styleId="xl244">
    <w:name w:val="xl244"/>
    <w:basedOn w:val="Normal"/>
    <w:rsid w:val="00867ED1"/>
    <w:pPr>
      <w:pBdr>
        <w:top w:val="single" w:sz="8" w:space="0" w:color="auto"/>
        <w:left w:val="single" w:sz="8" w:space="0" w:color="9F2241"/>
        <w:right w:val="single" w:sz="8" w:space="0" w:color="auto"/>
      </w:pBdr>
      <w:spacing w:before="100" w:beforeAutospacing="1" w:after="100" w:afterAutospacing="1" w:line="240" w:lineRule="auto"/>
      <w:jc w:val="center"/>
      <w:textAlignment w:val="center"/>
    </w:pPr>
    <w:rPr>
      <w:rFonts w:eastAsia="Times New Roman" w:cs="Arial"/>
      <w:color w:val="auto"/>
      <w:lang w:val="en-US"/>
    </w:rPr>
  </w:style>
  <w:style w:type="paragraph" w:customStyle="1" w:styleId="xl245">
    <w:name w:val="xl245"/>
    <w:basedOn w:val="Normal"/>
    <w:rsid w:val="00867ED1"/>
    <w:pPr>
      <w:pBdr>
        <w:left w:val="single" w:sz="8" w:space="0" w:color="9F2241"/>
        <w:bottom w:val="single" w:sz="8" w:space="0" w:color="auto"/>
        <w:right w:val="single" w:sz="8" w:space="0" w:color="auto"/>
      </w:pBdr>
      <w:spacing w:before="100" w:beforeAutospacing="1" w:after="100" w:afterAutospacing="1" w:line="240" w:lineRule="auto"/>
      <w:jc w:val="center"/>
      <w:textAlignment w:val="center"/>
    </w:pPr>
    <w:rPr>
      <w:rFonts w:eastAsia="Times New Roman" w:cs="Arial"/>
      <w:color w:val="auto"/>
      <w:lang w:val="en-US"/>
    </w:rPr>
  </w:style>
  <w:style w:type="paragraph" w:customStyle="1" w:styleId="xl246">
    <w:name w:val="xl246"/>
    <w:basedOn w:val="Normal"/>
    <w:rsid w:val="00867ED1"/>
    <w:pPr>
      <w:pBdr>
        <w:top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47">
    <w:name w:val="xl247"/>
    <w:basedOn w:val="Normal"/>
    <w:rsid w:val="00867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48">
    <w:name w:val="xl248"/>
    <w:basedOn w:val="Normal"/>
    <w:rsid w:val="00867ED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49">
    <w:name w:val="xl249"/>
    <w:basedOn w:val="Normal"/>
    <w:rsid w:val="00867ED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left"/>
      <w:textAlignment w:val="center"/>
    </w:pPr>
    <w:rPr>
      <w:rFonts w:eastAsia="Times New Roman" w:cs="Arial"/>
      <w:color w:val="394A58"/>
      <w:lang w:val="en-US"/>
    </w:rPr>
  </w:style>
  <w:style w:type="paragraph" w:customStyle="1" w:styleId="xl250">
    <w:name w:val="xl250"/>
    <w:basedOn w:val="Normal"/>
    <w:rsid w:val="00867ED1"/>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left"/>
      <w:textAlignment w:val="center"/>
    </w:pPr>
    <w:rPr>
      <w:rFonts w:eastAsia="Times New Roman" w:cs="Arial"/>
      <w:color w:val="394A58"/>
      <w:lang w:val="en-US"/>
    </w:rPr>
  </w:style>
  <w:style w:type="paragraph" w:customStyle="1" w:styleId="xl251">
    <w:name w:val="xl251"/>
    <w:basedOn w:val="Normal"/>
    <w:rsid w:val="00867ED1"/>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left"/>
      <w:textAlignment w:val="center"/>
    </w:pPr>
    <w:rPr>
      <w:rFonts w:eastAsia="Times New Roman" w:cs="Arial"/>
      <w:color w:val="394A58"/>
      <w:lang w:val="en-US"/>
    </w:rPr>
  </w:style>
  <w:style w:type="paragraph" w:customStyle="1" w:styleId="xl252">
    <w:name w:val="xl252"/>
    <w:basedOn w:val="Normal"/>
    <w:rsid w:val="00867ED1"/>
    <w:pPr>
      <w:pBdr>
        <w:left w:val="single" w:sz="8" w:space="0" w:color="9F2241"/>
        <w:right w:val="single" w:sz="8" w:space="0" w:color="9F2241"/>
      </w:pBdr>
      <w:spacing w:before="100" w:beforeAutospacing="1" w:after="100" w:afterAutospacing="1" w:line="240" w:lineRule="auto"/>
      <w:jc w:val="left"/>
      <w:textAlignment w:val="center"/>
    </w:pPr>
    <w:rPr>
      <w:rFonts w:eastAsia="Times New Roman" w:cs="Arial"/>
      <w:color w:val="394A58"/>
      <w:lang w:val="en-US"/>
    </w:rPr>
  </w:style>
  <w:style w:type="paragraph" w:customStyle="1" w:styleId="xl253">
    <w:name w:val="xl253"/>
    <w:basedOn w:val="Normal"/>
    <w:rsid w:val="00867ED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54">
    <w:name w:val="xl254"/>
    <w:basedOn w:val="Normal"/>
    <w:rsid w:val="00867ED1"/>
    <w:pPr>
      <w:pBdr>
        <w:top w:val="single" w:sz="8" w:space="0" w:color="auto"/>
        <w:left w:val="single" w:sz="8" w:space="0" w:color="auto"/>
        <w:bottom w:val="single" w:sz="8" w:space="0" w:color="auto"/>
        <w:right w:val="single" w:sz="8" w:space="0" w:color="auto"/>
      </w:pBdr>
      <w:shd w:val="clear" w:color="000000" w:fill="E4DFEC"/>
      <w:spacing w:before="100" w:beforeAutospacing="1" w:after="100" w:afterAutospacing="1" w:line="240" w:lineRule="auto"/>
      <w:jc w:val="left"/>
      <w:textAlignment w:val="center"/>
    </w:pPr>
    <w:rPr>
      <w:rFonts w:eastAsia="Times New Roman" w:cs="Arial"/>
      <w:color w:val="394A58"/>
      <w:lang w:val="en-US"/>
    </w:rPr>
  </w:style>
  <w:style w:type="paragraph" w:customStyle="1" w:styleId="xl255">
    <w:name w:val="xl255"/>
    <w:basedOn w:val="Normal"/>
    <w:rsid w:val="00867ED1"/>
    <w:pPr>
      <w:pBdr>
        <w:top w:val="single" w:sz="8" w:space="0" w:color="auto"/>
        <w:left w:val="single" w:sz="8" w:space="0" w:color="auto"/>
        <w:bottom w:val="single" w:sz="8" w:space="0" w:color="auto"/>
        <w:right w:val="single" w:sz="8" w:space="0" w:color="auto"/>
      </w:pBdr>
      <w:shd w:val="clear" w:color="000000" w:fill="DDD9C4"/>
      <w:spacing w:before="100" w:beforeAutospacing="1" w:after="100" w:afterAutospacing="1" w:line="240" w:lineRule="auto"/>
      <w:jc w:val="left"/>
      <w:textAlignment w:val="center"/>
    </w:pPr>
    <w:rPr>
      <w:rFonts w:eastAsia="Times New Roman" w:cs="Arial"/>
      <w:color w:val="394A58"/>
      <w:lang w:val="en-US"/>
    </w:rPr>
  </w:style>
  <w:style w:type="paragraph" w:customStyle="1" w:styleId="xl256">
    <w:name w:val="xl256"/>
    <w:basedOn w:val="Normal"/>
    <w:rsid w:val="00867ED1"/>
    <w:pPr>
      <w:pBdr>
        <w:left w:val="single" w:sz="8" w:space="0" w:color="9F2241"/>
        <w:bottom w:val="single" w:sz="8" w:space="0" w:color="9F2241"/>
        <w:right w:val="single" w:sz="8" w:space="0" w:color="9F2241"/>
      </w:pBdr>
      <w:shd w:val="clear" w:color="000000" w:fill="F0EEEB"/>
      <w:spacing w:before="100" w:beforeAutospacing="1" w:after="100" w:afterAutospacing="1" w:line="240" w:lineRule="auto"/>
      <w:jc w:val="left"/>
      <w:textAlignment w:val="center"/>
    </w:pPr>
    <w:rPr>
      <w:rFonts w:eastAsia="Times New Roman" w:cs="Arial"/>
      <w:color w:val="394A58"/>
      <w:lang w:val="en-US"/>
    </w:rPr>
  </w:style>
  <w:style w:type="paragraph" w:customStyle="1" w:styleId="xl257">
    <w:name w:val="xl257"/>
    <w:basedOn w:val="Normal"/>
    <w:rsid w:val="00867ED1"/>
    <w:pPr>
      <w:pBdr>
        <w:left w:val="single" w:sz="8" w:space="0" w:color="9F2241"/>
        <w:bottom w:val="single" w:sz="8" w:space="0" w:color="9F2241"/>
        <w:right w:val="single" w:sz="8" w:space="0" w:color="9F2241"/>
      </w:pBdr>
      <w:shd w:val="clear" w:color="000000" w:fill="F0EEEB"/>
      <w:spacing w:before="100" w:beforeAutospacing="1" w:after="100" w:afterAutospacing="1" w:line="240" w:lineRule="auto"/>
      <w:textAlignment w:val="center"/>
    </w:pPr>
    <w:rPr>
      <w:rFonts w:eastAsia="Times New Roman" w:cs="Arial"/>
      <w:color w:val="394A58"/>
      <w:lang w:val="en-US"/>
    </w:rPr>
  </w:style>
  <w:style w:type="paragraph" w:customStyle="1" w:styleId="xl258">
    <w:name w:val="xl258"/>
    <w:basedOn w:val="Normal"/>
    <w:rsid w:val="00867ED1"/>
    <w:pPr>
      <w:spacing w:before="100" w:beforeAutospacing="1" w:after="100" w:afterAutospacing="1" w:line="240" w:lineRule="auto"/>
      <w:jc w:val="left"/>
      <w:textAlignment w:val="center"/>
    </w:pPr>
    <w:rPr>
      <w:rFonts w:eastAsia="Times New Roman" w:cs="Arial"/>
      <w:color w:val="auto"/>
      <w:lang w:val="en-US"/>
    </w:rPr>
  </w:style>
  <w:style w:type="paragraph" w:customStyle="1" w:styleId="xl259">
    <w:name w:val="xl259"/>
    <w:basedOn w:val="Normal"/>
    <w:rsid w:val="00867ED1"/>
    <w:pPr>
      <w:pBdr>
        <w:top w:val="single" w:sz="8" w:space="0" w:color="auto"/>
        <w:left w:val="single" w:sz="8" w:space="0" w:color="9F2241"/>
        <w:bottom w:val="single" w:sz="8" w:space="0" w:color="9F2241"/>
        <w:right w:val="single" w:sz="8" w:space="0" w:color="9F2241"/>
      </w:pBdr>
      <w:shd w:val="clear" w:color="000000" w:fill="F0EEEB"/>
      <w:spacing w:before="100" w:beforeAutospacing="1" w:after="100" w:afterAutospacing="1" w:line="240" w:lineRule="auto"/>
      <w:jc w:val="left"/>
      <w:textAlignment w:val="center"/>
    </w:pPr>
    <w:rPr>
      <w:rFonts w:eastAsia="Times New Roman" w:cs="Arial"/>
      <w:color w:val="394A58"/>
      <w:lang w:val="en-US"/>
    </w:rPr>
  </w:style>
  <w:style w:type="paragraph" w:customStyle="1" w:styleId="xl260">
    <w:name w:val="xl260"/>
    <w:basedOn w:val="Normal"/>
    <w:rsid w:val="00867ED1"/>
    <w:pPr>
      <w:pBdr>
        <w:left w:val="single" w:sz="8" w:space="0" w:color="9F2241"/>
        <w:bottom w:val="single" w:sz="8" w:space="0" w:color="auto"/>
        <w:right w:val="single" w:sz="8" w:space="0" w:color="9F2241"/>
      </w:pBdr>
      <w:shd w:val="clear" w:color="000000" w:fill="F0EEEB"/>
      <w:spacing w:before="100" w:beforeAutospacing="1" w:after="100" w:afterAutospacing="1" w:line="240" w:lineRule="auto"/>
      <w:jc w:val="left"/>
      <w:textAlignment w:val="center"/>
    </w:pPr>
    <w:rPr>
      <w:rFonts w:eastAsia="Times New Roman" w:cs="Arial"/>
      <w:color w:val="394A58"/>
      <w:lang w:val="en-US"/>
    </w:rPr>
  </w:style>
  <w:style w:type="paragraph" w:customStyle="1" w:styleId="xl261">
    <w:name w:val="xl261"/>
    <w:basedOn w:val="Normal"/>
    <w:rsid w:val="00867ED1"/>
    <w:pPr>
      <w:pBdr>
        <w:left w:val="single" w:sz="8" w:space="0" w:color="9F2241"/>
        <w:bottom w:val="single" w:sz="8" w:space="0" w:color="auto"/>
        <w:right w:val="single" w:sz="8" w:space="0" w:color="9F2241"/>
      </w:pBdr>
      <w:shd w:val="clear" w:color="000000" w:fill="F0EEEB"/>
      <w:spacing w:before="100" w:beforeAutospacing="1" w:after="100" w:afterAutospacing="1" w:line="240" w:lineRule="auto"/>
      <w:textAlignment w:val="center"/>
    </w:pPr>
    <w:rPr>
      <w:rFonts w:eastAsia="Times New Roman" w:cs="Arial"/>
      <w:color w:val="394A58"/>
      <w:lang w:val="en-US"/>
    </w:rPr>
  </w:style>
  <w:style w:type="paragraph" w:customStyle="1" w:styleId="xl262">
    <w:name w:val="xl262"/>
    <w:basedOn w:val="Normal"/>
    <w:rsid w:val="00867ED1"/>
    <w:pPr>
      <w:pBdr>
        <w:bottom w:val="single" w:sz="8" w:space="0" w:color="auto"/>
      </w:pBdr>
      <w:spacing w:before="100" w:beforeAutospacing="1" w:after="100" w:afterAutospacing="1" w:line="240" w:lineRule="auto"/>
      <w:jc w:val="left"/>
      <w:textAlignment w:val="center"/>
    </w:pPr>
    <w:rPr>
      <w:rFonts w:eastAsia="Times New Roman" w:cs="Arial"/>
      <w:color w:val="auto"/>
      <w:lang w:val="en-US"/>
    </w:rPr>
  </w:style>
  <w:style w:type="paragraph" w:customStyle="1" w:styleId="xl263">
    <w:name w:val="xl263"/>
    <w:basedOn w:val="Normal"/>
    <w:rsid w:val="00867ED1"/>
    <w:pPr>
      <w:pBdr>
        <w:top w:val="single" w:sz="8" w:space="0" w:color="auto"/>
        <w:bottom w:val="single" w:sz="8" w:space="0" w:color="auto"/>
        <w:right w:val="single" w:sz="8" w:space="0" w:color="auto"/>
      </w:pBdr>
      <w:shd w:val="clear" w:color="000000" w:fill="E4DFEC"/>
      <w:spacing w:before="100" w:beforeAutospacing="1" w:after="100" w:afterAutospacing="1" w:line="240" w:lineRule="auto"/>
      <w:jc w:val="left"/>
      <w:textAlignment w:val="center"/>
    </w:pPr>
    <w:rPr>
      <w:rFonts w:eastAsia="Times New Roman" w:cs="Arial"/>
      <w:color w:val="394A58"/>
      <w:lang w:val="en-US"/>
    </w:rPr>
  </w:style>
  <w:style w:type="paragraph" w:customStyle="1" w:styleId="xl264">
    <w:name w:val="xl264"/>
    <w:basedOn w:val="Normal"/>
    <w:rsid w:val="00867ED1"/>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left"/>
      <w:textAlignment w:val="center"/>
    </w:pPr>
    <w:rPr>
      <w:rFonts w:eastAsia="Times New Roman" w:cs="Arial"/>
      <w:color w:val="394A58"/>
      <w:lang w:val="en-US"/>
    </w:rPr>
  </w:style>
  <w:style w:type="paragraph" w:customStyle="1" w:styleId="font6">
    <w:name w:val="font6"/>
    <w:basedOn w:val="Normal"/>
    <w:rsid w:val="00004167"/>
    <w:pPr>
      <w:spacing w:before="100" w:beforeAutospacing="1" w:after="100" w:afterAutospacing="1" w:line="240" w:lineRule="auto"/>
      <w:jc w:val="left"/>
    </w:pPr>
    <w:rPr>
      <w:rFonts w:eastAsia="Times New Roman" w:cs="Arial"/>
      <w:b/>
      <w:bCs/>
      <w:color w:val="53575A"/>
      <w:lang w:eastAsia="en-GB"/>
    </w:rPr>
  </w:style>
  <w:style w:type="paragraph" w:customStyle="1" w:styleId="font7">
    <w:name w:val="font7"/>
    <w:basedOn w:val="Normal"/>
    <w:rsid w:val="00004167"/>
    <w:pPr>
      <w:spacing w:before="100" w:beforeAutospacing="1" w:after="100" w:afterAutospacing="1" w:line="240" w:lineRule="auto"/>
      <w:jc w:val="left"/>
    </w:pPr>
    <w:rPr>
      <w:rFonts w:eastAsia="Times New Roman" w:cs="Arial"/>
      <w:color w:val="53575A"/>
      <w:lang w:eastAsia="en-GB"/>
    </w:rPr>
  </w:style>
  <w:style w:type="paragraph" w:customStyle="1" w:styleId="font8">
    <w:name w:val="font8"/>
    <w:basedOn w:val="Normal"/>
    <w:rsid w:val="00004167"/>
    <w:pPr>
      <w:spacing w:before="100" w:beforeAutospacing="1" w:after="100" w:afterAutospacing="1" w:line="240" w:lineRule="auto"/>
      <w:jc w:val="left"/>
    </w:pPr>
    <w:rPr>
      <w:rFonts w:eastAsia="Times New Roman" w:cs="Arial"/>
      <w:color w:val="000000"/>
      <w:u w:val="single"/>
      <w:lang w:eastAsia="en-GB"/>
    </w:rPr>
  </w:style>
  <w:style w:type="paragraph" w:customStyle="1" w:styleId="font9">
    <w:name w:val="font9"/>
    <w:basedOn w:val="Normal"/>
    <w:rsid w:val="00004167"/>
    <w:pPr>
      <w:spacing w:before="100" w:beforeAutospacing="1" w:after="100" w:afterAutospacing="1" w:line="240" w:lineRule="auto"/>
      <w:jc w:val="left"/>
    </w:pPr>
    <w:rPr>
      <w:rFonts w:eastAsia="Times New Roman" w:cs="Arial"/>
      <w:b/>
      <w:bCs/>
      <w:color w:val="000000"/>
      <w:lang w:eastAsia="en-GB"/>
    </w:rPr>
  </w:style>
  <w:style w:type="paragraph" w:customStyle="1" w:styleId="font10">
    <w:name w:val="font10"/>
    <w:basedOn w:val="Normal"/>
    <w:rsid w:val="00004167"/>
    <w:pPr>
      <w:spacing w:before="100" w:beforeAutospacing="1" w:after="100" w:afterAutospacing="1" w:line="240" w:lineRule="auto"/>
      <w:jc w:val="left"/>
    </w:pPr>
    <w:rPr>
      <w:rFonts w:eastAsia="Times New Roman" w:cs="Arial"/>
      <w:color w:val="000000"/>
      <w:lang w:eastAsia="en-GB"/>
    </w:rPr>
  </w:style>
  <w:style w:type="paragraph" w:customStyle="1" w:styleId="font11">
    <w:name w:val="font11"/>
    <w:basedOn w:val="Normal"/>
    <w:rsid w:val="00004167"/>
    <w:pPr>
      <w:spacing w:before="100" w:beforeAutospacing="1" w:after="100" w:afterAutospacing="1" w:line="240" w:lineRule="auto"/>
      <w:jc w:val="left"/>
    </w:pPr>
    <w:rPr>
      <w:rFonts w:ascii="WordVisiPilcrow_MSFontService" w:eastAsia="Times New Roman" w:hAnsi="WordVisiPilcrow_MSFontService" w:cs="Times New Roman"/>
      <w:color w:val="000000"/>
      <w:lang w:eastAsia="en-GB"/>
    </w:rPr>
  </w:style>
  <w:style w:type="paragraph" w:customStyle="1" w:styleId="font12">
    <w:name w:val="font12"/>
    <w:basedOn w:val="Normal"/>
    <w:rsid w:val="00004167"/>
    <w:pPr>
      <w:spacing w:before="100" w:beforeAutospacing="1" w:after="100" w:afterAutospacing="1" w:line="240" w:lineRule="auto"/>
      <w:jc w:val="left"/>
    </w:pPr>
    <w:rPr>
      <w:rFonts w:ascii="WordVisiPilcrow_MSFontService" w:eastAsia="Times New Roman" w:hAnsi="WordVisiPilcrow_MSFontService" w:cs="Times New Roman"/>
      <w:b/>
      <w:bCs/>
      <w:color w:val="000000"/>
      <w:lang w:eastAsia="en-GB"/>
    </w:rPr>
  </w:style>
  <w:style w:type="paragraph" w:customStyle="1" w:styleId="xl63">
    <w:name w:val="xl63"/>
    <w:basedOn w:val="Normal"/>
    <w:rsid w:val="00004167"/>
    <w:pPr>
      <w:spacing w:before="100" w:beforeAutospacing="1" w:after="100" w:afterAutospacing="1" w:line="240" w:lineRule="auto"/>
      <w:jc w:val="left"/>
    </w:pPr>
    <w:rPr>
      <w:rFonts w:eastAsia="Times New Roman" w:cs="Arial"/>
      <w:color w:val="auto"/>
      <w:lang w:eastAsia="en-GB"/>
    </w:rPr>
  </w:style>
  <w:style w:type="paragraph" w:customStyle="1" w:styleId="xl64">
    <w:name w:val="xl64"/>
    <w:basedOn w:val="Normal"/>
    <w:rsid w:val="00004167"/>
    <w:pPr>
      <w:spacing w:before="100" w:beforeAutospacing="1" w:after="100" w:afterAutospacing="1" w:line="240" w:lineRule="auto"/>
      <w:jc w:val="left"/>
      <w:textAlignment w:val="center"/>
    </w:pPr>
    <w:rPr>
      <w:rFonts w:eastAsia="Times New Roman" w:cs="Arial"/>
      <w:color w:val="auto"/>
      <w:lang w:eastAsia="en-GB"/>
    </w:rPr>
  </w:style>
  <w:style w:type="paragraph" w:customStyle="1" w:styleId="xl265">
    <w:name w:val="xl265"/>
    <w:basedOn w:val="Normal"/>
    <w:rsid w:val="00004167"/>
    <w:pPr>
      <w:shd w:val="clear" w:color="000000" w:fill="C4BD97"/>
      <w:spacing w:before="100" w:beforeAutospacing="1" w:after="100" w:afterAutospacing="1" w:line="240" w:lineRule="auto"/>
      <w:jc w:val="left"/>
    </w:pPr>
    <w:rPr>
      <w:rFonts w:eastAsia="Times New Roman" w:cs="Arial"/>
      <w:color w:val="000000"/>
      <w:lang w:eastAsia="en-GB"/>
    </w:rPr>
  </w:style>
  <w:style w:type="paragraph" w:customStyle="1" w:styleId="xl266">
    <w:name w:val="xl266"/>
    <w:basedOn w:val="Normal"/>
    <w:rsid w:val="00004167"/>
    <w:pPr>
      <w:pBdr>
        <w:right w:val="single" w:sz="8" w:space="0" w:color="auto"/>
      </w:pBdr>
      <w:shd w:val="clear" w:color="000000" w:fill="C4BD97"/>
      <w:spacing w:before="100" w:beforeAutospacing="1" w:after="100" w:afterAutospacing="1" w:line="240" w:lineRule="auto"/>
      <w:jc w:val="center"/>
    </w:pPr>
    <w:rPr>
      <w:rFonts w:eastAsia="Times New Roman" w:cs="Arial"/>
      <w:b/>
      <w:bCs/>
      <w:color w:val="000000"/>
      <w:lang w:eastAsia="en-GB"/>
    </w:rPr>
  </w:style>
  <w:style w:type="paragraph" w:customStyle="1" w:styleId="xl267">
    <w:name w:val="xl267"/>
    <w:basedOn w:val="Normal"/>
    <w:rsid w:val="00004167"/>
    <w:pPr>
      <w:pBdr>
        <w:left w:val="single" w:sz="8" w:space="0" w:color="auto"/>
        <w:right w:val="single" w:sz="8" w:space="0" w:color="auto"/>
      </w:pBdr>
      <w:shd w:val="clear" w:color="000000" w:fill="C4BD97"/>
      <w:spacing w:before="100" w:beforeAutospacing="1" w:after="100" w:afterAutospacing="1" w:line="240" w:lineRule="auto"/>
      <w:jc w:val="left"/>
    </w:pPr>
    <w:rPr>
      <w:rFonts w:eastAsia="Times New Roman" w:cs="Arial"/>
      <w:b/>
      <w:bCs/>
      <w:color w:val="000000"/>
      <w:lang w:eastAsia="en-GB"/>
    </w:rPr>
  </w:style>
  <w:style w:type="paragraph" w:customStyle="1" w:styleId="xl268">
    <w:name w:val="xl268"/>
    <w:basedOn w:val="Normal"/>
    <w:rsid w:val="00004167"/>
    <w:pPr>
      <w:pBdr>
        <w:top w:val="single" w:sz="4" w:space="0" w:color="000000"/>
        <w:left w:val="single" w:sz="4" w:space="0" w:color="000000"/>
        <w:right w:val="single" w:sz="4" w:space="0" w:color="000000"/>
      </w:pBdr>
      <w:shd w:val="clear" w:color="000000" w:fill="EEECE1"/>
      <w:spacing w:before="100" w:beforeAutospacing="1" w:after="100" w:afterAutospacing="1" w:line="240" w:lineRule="auto"/>
      <w:jc w:val="left"/>
    </w:pPr>
    <w:rPr>
      <w:rFonts w:eastAsia="Times New Roman" w:cs="Arial"/>
      <w:color w:val="000000"/>
      <w:lang w:eastAsia="en-GB"/>
    </w:rPr>
  </w:style>
  <w:style w:type="paragraph" w:customStyle="1" w:styleId="xl269">
    <w:name w:val="xl269"/>
    <w:basedOn w:val="Normal"/>
    <w:rsid w:val="00004167"/>
    <w:pPr>
      <w:pBdr>
        <w:top w:val="single" w:sz="4" w:space="0" w:color="000000"/>
        <w:left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color w:val="000000"/>
      <w:lang w:eastAsia="en-GB"/>
    </w:rPr>
  </w:style>
  <w:style w:type="paragraph" w:customStyle="1" w:styleId="xl270">
    <w:name w:val="xl270"/>
    <w:basedOn w:val="Normal"/>
    <w:rsid w:val="00004167"/>
    <w:pPr>
      <w:pBdr>
        <w:top w:val="single" w:sz="4" w:space="0" w:color="000000"/>
        <w:left w:val="single" w:sz="4" w:space="0" w:color="000000"/>
        <w:right w:val="single" w:sz="4" w:space="0" w:color="000000"/>
      </w:pBdr>
      <w:spacing w:before="100" w:beforeAutospacing="1" w:after="100" w:afterAutospacing="1" w:line="240" w:lineRule="auto"/>
      <w:jc w:val="center"/>
    </w:pPr>
    <w:rPr>
      <w:rFonts w:ascii="WordVisi_MSFontService" w:eastAsia="Times New Roman" w:hAnsi="WordVisi_MSFontService" w:cs="Times New Roman"/>
      <w:color w:val="000000"/>
      <w:lang w:eastAsia="en-GB"/>
    </w:rPr>
  </w:style>
  <w:style w:type="paragraph" w:customStyle="1" w:styleId="xl271">
    <w:name w:val="xl271"/>
    <w:basedOn w:val="Normal"/>
    <w:rsid w:val="000041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WordVisi_MSFontService" w:eastAsia="Times New Roman" w:hAnsi="WordVisi_MSFontService" w:cs="Times New Roman"/>
      <w:color w:val="000000"/>
      <w:lang w:eastAsia="en-GB"/>
    </w:rPr>
  </w:style>
  <w:style w:type="paragraph" w:customStyle="1" w:styleId="xl272">
    <w:name w:val="xl272"/>
    <w:basedOn w:val="Normal"/>
    <w:rsid w:val="00004167"/>
    <w:pPr>
      <w:shd w:val="clear" w:color="000000" w:fill="EEECE1"/>
      <w:spacing w:before="100" w:beforeAutospacing="1" w:after="100" w:afterAutospacing="1" w:line="240" w:lineRule="auto"/>
      <w:jc w:val="left"/>
    </w:pPr>
    <w:rPr>
      <w:rFonts w:eastAsia="Times New Roman" w:cs="Arial"/>
      <w:color w:val="000000"/>
      <w:lang w:eastAsia="en-GB"/>
    </w:rPr>
  </w:style>
  <w:style w:type="paragraph" w:customStyle="1" w:styleId="xl273">
    <w:name w:val="xl273"/>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left"/>
    </w:pPr>
    <w:rPr>
      <w:rFonts w:eastAsia="Times New Roman" w:cs="Arial"/>
      <w:b/>
      <w:bCs/>
      <w:color w:val="53575A"/>
      <w:lang w:eastAsia="en-GB"/>
    </w:rPr>
  </w:style>
  <w:style w:type="paragraph" w:customStyle="1" w:styleId="xl274">
    <w:name w:val="xl274"/>
    <w:basedOn w:val="Normal"/>
    <w:rsid w:val="00004167"/>
    <w:pPr>
      <w:pBdr>
        <w:left w:val="single" w:sz="8" w:space="0" w:color="auto"/>
        <w:right w:val="single" w:sz="8" w:space="0" w:color="auto"/>
      </w:pBdr>
      <w:spacing w:before="100" w:beforeAutospacing="1" w:after="100" w:afterAutospacing="1" w:line="240" w:lineRule="auto"/>
      <w:jc w:val="left"/>
    </w:pPr>
    <w:rPr>
      <w:rFonts w:eastAsia="Times New Roman" w:cs="Arial"/>
      <w:b/>
      <w:bCs/>
      <w:color w:val="53575A"/>
      <w:lang w:eastAsia="en-GB"/>
    </w:rPr>
  </w:style>
  <w:style w:type="paragraph" w:customStyle="1" w:styleId="xl275">
    <w:name w:val="xl275"/>
    <w:basedOn w:val="Normal"/>
    <w:rsid w:val="00004167"/>
    <w:pPr>
      <w:pBdr>
        <w:left w:val="single" w:sz="8" w:space="0" w:color="auto"/>
        <w:bottom w:val="single" w:sz="8" w:space="0" w:color="auto"/>
        <w:right w:val="single" w:sz="8" w:space="0" w:color="auto"/>
      </w:pBdr>
      <w:spacing w:before="100" w:beforeAutospacing="1" w:after="100" w:afterAutospacing="1" w:line="240" w:lineRule="auto"/>
      <w:jc w:val="left"/>
    </w:pPr>
    <w:rPr>
      <w:rFonts w:eastAsia="Times New Roman" w:cs="Arial"/>
      <w:b/>
      <w:bCs/>
      <w:color w:val="53575A"/>
      <w:lang w:eastAsia="en-GB"/>
    </w:rPr>
  </w:style>
  <w:style w:type="paragraph" w:customStyle="1" w:styleId="xl276">
    <w:name w:val="xl276"/>
    <w:basedOn w:val="Normal"/>
    <w:rsid w:val="00004167"/>
    <w:pPr>
      <w:pBdr>
        <w:top w:val="single" w:sz="8" w:space="0" w:color="auto"/>
        <w:left w:val="single" w:sz="8" w:space="0" w:color="auto"/>
      </w:pBdr>
      <w:spacing w:before="100" w:beforeAutospacing="1" w:after="100" w:afterAutospacing="1" w:line="240" w:lineRule="auto"/>
      <w:jc w:val="center"/>
    </w:pPr>
    <w:rPr>
      <w:rFonts w:eastAsia="Times New Roman" w:cs="Arial"/>
      <w:b/>
      <w:bCs/>
      <w:color w:val="53575A"/>
      <w:lang w:eastAsia="en-GB"/>
    </w:rPr>
  </w:style>
  <w:style w:type="paragraph" w:customStyle="1" w:styleId="xl277">
    <w:name w:val="xl277"/>
    <w:basedOn w:val="Normal"/>
    <w:rsid w:val="00004167"/>
    <w:pPr>
      <w:pBdr>
        <w:left w:val="single" w:sz="8" w:space="0" w:color="auto"/>
      </w:pBdr>
      <w:spacing w:before="100" w:beforeAutospacing="1" w:after="100" w:afterAutospacing="1" w:line="240" w:lineRule="auto"/>
      <w:jc w:val="center"/>
    </w:pPr>
    <w:rPr>
      <w:rFonts w:eastAsia="Times New Roman" w:cs="Arial"/>
      <w:b/>
      <w:bCs/>
      <w:color w:val="53575A"/>
      <w:lang w:eastAsia="en-GB"/>
    </w:rPr>
  </w:style>
  <w:style w:type="paragraph" w:customStyle="1" w:styleId="xl278">
    <w:name w:val="xl278"/>
    <w:basedOn w:val="Normal"/>
    <w:rsid w:val="00004167"/>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b/>
      <w:bCs/>
      <w:color w:val="53575A"/>
      <w:lang w:eastAsia="en-GB"/>
    </w:rPr>
  </w:style>
  <w:style w:type="paragraph" w:customStyle="1" w:styleId="xl279">
    <w:name w:val="xl279"/>
    <w:basedOn w:val="Normal"/>
    <w:rsid w:val="00004167"/>
    <w:pPr>
      <w:pBdr>
        <w:left w:val="single" w:sz="8" w:space="0" w:color="auto"/>
        <w:bottom w:val="single" w:sz="8" w:space="0" w:color="auto"/>
      </w:pBdr>
      <w:spacing w:before="100" w:beforeAutospacing="1" w:after="100" w:afterAutospacing="1" w:line="240" w:lineRule="auto"/>
      <w:jc w:val="center"/>
    </w:pPr>
    <w:rPr>
      <w:rFonts w:eastAsia="Times New Roman" w:cs="Arial"/>
      <w:b/>
      <w:bCs/>
      <w:color w:val="53575A"/>
      <w:lang w:eastAsia="en-GB"/>
    </w:rPr>
  </w:style>
  <w:style w:type="paragraph" w:customStyle="1" w:styleId="xl280">
    <w:name w:val="xl280"/>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eastAsia="en-GB"/>
    </w:rPr>
  </w:style>
  <w:style w:type="paragraph" w:customStyle="1" w:styleId="xl281">
    <w:name w:val="xl281"/>
    <w:basedOn w:val="Normal"/>
    <w:rsid w:val="00004167"/>
    <w:pPr>
      <w:pBdr>
        <w:left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eastAsia="en-GB"/>
    </w:rPr>
  </w:style>
  <w:style w:type="paragraph" w:customStyle="1" w:styleId="xl282">
    <w:name w:val="xl282"/>
    <w:basedOn w:val="Normal"/>
    <w:rsid w:val="00004167"/>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b/>
      <w:bCs/>
      <w:color w:val="auto"/>
      <w:sz w:val="32"/>
      <w:szCs w:val="32"/>
      <w:lang w:eastAsia="en-GB"/>
    </w:rPr>
  </w:style>
  <w:style w:type="paragraph" w:customStyle="1" w:styleId="xl283">
    <w:name w:val="xl283"/>
    <w:basedOn w:val="Normal"/>
    <w:rsid w:val="00004167"/>
    <w:pP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84">
    <w:name w:val="xl284"/>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85">
    <w:name w:val="xl285"/>
    <w:basedOn w:val="Normal"/>
    <w:rsid w:val="00004167"/>
    <w:pPr>
      <w:pBdr>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86">
    <w:name w:val="xl286"/>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87">
    <w:name w:val="xl287"/>
    <w:basedOn w:val="Normal"/>
    <w:rsid w:val="00004167"/>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88">
    <w:name w:val="xl288"/>
    <w:basedOn w:val="Normal"/>
    <w:rsid w:val="0000416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89">
    <w:name w:val="xl289"/>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90">
    <w:name w:val="xl290"/>
    <w:basedOn w:val="Normal"/>
    <w:rsid w:val="00004167"/>
    <w:pPr>
      <w:pBdr>
        <w:left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91">
    <w:name w:val="xl291"/>
    <w:basedOn w:val="Normal"/>
    <w:rsid w:val="00004167"/>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92">
    <w:name w:val="xl292"/>
    <w:basedOn w:val="Normal"/>
    <w:rsid w:val="00004167"/>
    <w:pPr>
      <w:pBdr>
        <w:top w:val="single" w:sz="8" w:space="0" w:color="auto"/>
        <w:left w:val="single" w:sz="8" w:space="0" w:color="auto"/>
        <w:right w:val="single" w:sz="8" w:space="0" w:color="auto"/>
      </w:pBdr>
      <w:spacing w:before="100" w:beforeAutospacing="1" w:after="100" w:afterAutospacing="1" w:line="240" w:lineRule="auto"/>
      <w:jc w:val="left"/>
    </w:pPr>
    <w:rPr>
      <w:rFonts w:eastAsia="Times New Roman" w:cs="Arial"/>
      <w:color w:val="394A58"/>
      <w:lang w:eastAsia="en-GB"/>
    </w:rPr>
  </w:style>
  <w:style w:type="paragraph" w:customStyle="1" w:styleId="xl293">
    <w:name w:val="xl293"/>
    <w:basedOn w:val="Normal"/>
    <w:rsid w:val="00004167"/>
    <w:pPr>
      <w:pBdr>
        <w:left w:val="single" w:sz="8" w:space="0" w:color="auto"/>
        <w:right w:val="single" w:sz="8" w:space="0" w:color="auto"/>
      </w:pBdr>
      <w:spacing w:before="100" w:beforeAutospacing="1" w:after="100" w:afterAutospacing="1" w:line="240" w:lineRule="auto"/>
      <w:jc w:val="left"/>
    </w:pPr>
    <w:rPr>
      <w:rFonts w:eastAsia="Times New Roman" w:cs="Arial"/>
      <w:color w:val="394A58"/>
      <w:lang w:eastAsia="en-GB"/>
    </w:rPr>
  </w:style>
  <w:style w:type="paragraph" w:customStyle="1" w:styleId="xl294">
    <w:name w:val="xl294"/>
    <w:basedOn w:val="Normal"/>
    <w:rsid w:val="00004167"/>
    <w:pPr>
      <w:pBdr>
        <w:left w:val="single" w:sz="8" w:space="0" w:color="auto"/>
        <w:right w:val="single" w:sz="8" w:space="0" w:color="auto"/>
      </w:pBdr>
      <w:spacing w:before="100" w:beforeAutospacing="1" w:after="100" w:afterAutospacing="1" w:line="240" w:lineRule="auto"/>
      <w:jc w:val="center"/>
    </w:pPr>
    <w:rPr>
      <w:rFonts w:eastAsia="Times New Roman" w:cs="Arial"/>
      <w:b/>
      <w:bCs/>
      <w:color w:val="53575A"/>
      <w:lang w:eastAsia="en-GB"/>
    </w:rPr>
  </w:style>
  <w:style w:type="paragraph" w:customStyle="1" w:styleId="xl295">
    <w:name w:val="xl295"/>
    <w:basedOn w:val="Normal"/>
    <w:rsid w:val="00004167"/>
    <w:pPr>
      <w:pBdr>
        <w:right w:val="single" w:sz="8" w:space="0" w:color="auto"/>
      </w:pBdr>
      <w:spacing w:before="100" w:beforeAutospacing="1" w:after="100" w:afterAutospacing="1" w:line="240" w:lineRule="auto"/>
      <w:jc w:val="center"/>
    </w:pPr>
    <w:rPr>
      <w:rFonts w:eastAsia="Times New Roman" w:cs="Arial"/>
      <w:color w:val="auto"/>
      <w:sz w:val="32"/>
      <w:szCs w:val="32"/>
      <w:lang w:eastAsia="en-GB"/>
    </w:rPr>
  </w:style>
  <w:style w:type="paragraph" w:customStyle="1" w:styleId="xl296">
    <w:name w:val="xl296"/>
    <w:basedOn w:val="Normal"/>
    <w:rsid w:val="00004167"/>
    <w:pPr>
      <w:pBdr>
        <w:lef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97">
    <w:name w:val="xl297"/>
    <w:basedOn w:val="Normal"/>
    <w:rsid w:val="00004167"/>
    <w:pPr>
      <w:pBdr>
        <w:top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98">
    <w:name w:val="xl298"/>
    <w:basedOn w:val="Normal"/>
    <w:rsid w:val="00004167"/>
    <w:pPr>
      <w:pBdr>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299">
    <w:name w:val="xl299"/>
    <w:basedOn w:val="Normal"/>
    <w:rsid w:val="0000416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lang w:eastAsia="en-GB"/>
    </w:rPr>
  </w:style>
  <w:style w:type="paragraph" w:customStyle="1" w:styleId="xl300">
    <w:name w:val="xl300"/>
    <w:basedOn w:val="Normal"/>
    <w:rsid w:val="00004167"/>
    <w:pPr>
      <w:shd w:val="clear" w:color="000000" w:fill="EEECE1"/>
      <w:spacing w:before="100" w:beforeAutospacing="1" w:after="100" w:afterAutospacing="1" w:line="240" w:lineRule="auto"/>
      <w:jc w:val="center"/>
    </w:pPr>
    <w:rPr>
      <w:rFonts w:eastAsia="Times New Roman" w:cs="Arial"/>
      <w:color w:val="auto"/>
      <w:sz w:val="32"/>
      <w:szCs w:val="32"/>
      <w:lang w:eastAsia="en-GB"/>
    </w:rPr>
  </w:style>
  <w:style w:type="paragraph" w:customStyle="1" w:styleId="xl301">
    <w:name w:val="xl301"/>
    <w:basedOn w:val="Normal"/>
    <w:rsid w:val="0000416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2">
    <w:name w:val="xl302"/>
    <w:basedOn w:val="Normal"/>
    <w:rsid w:val="00004167"/>
    <w:pPr>
      <w:pBdr>
        <w:top w:val="single" w:sz="4" w:space="0" w:color="000000"/>
        <w:left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3">
    <w:name w:val="xl303"/>
    <w:basedOn w:val="Normal"/>
    <w:rsid w:val="00004167"/>
    <w:pPr>
      <w:pBdr>
        <w:left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4">
    <w:name w:val="xl304"/>
    <w:basedOn w:val="Normal"/>
    <w:rsid w:val="00004167"/>
    <w:pPr>
      <w:pBdr>
        <w:left w:val="single" w:sz="4" w:space="0" w:color="000000"/>
        <w:bottom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5">
    <w:name w:val="xl305"/>
    <w:basedOn w:val="Normal"/>
    <w:rsid w:val="00004167"/>
    <w:pPr>
      <w:pBdr>
        <w:top w:val="single" w:sz="4" w:space="0" w:color="000000"/>
        <w:left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6">
    <w:name w:val="xl306"/>
    <w:basedOn w:val="Normal"/>
    <w:rsid w:val="00004167"/>
    <w:pPr>
      <w:pBdr>
        <w:left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xl307">
    <w:name w:val="xl307"/>
    <w:basedOn w:val="Normal"/>
    <w:rsid w:val="00004167"/>
    <w:pPr>
      <w:pBdr>
        <w:left w:val="single" w:sz="4" w:space="0" w:color="000000"/>
        <w:bottom w:val="single" w:sz="4" w:space="0" w:color="000000"/>
        <w:right w:val="single" w:sz="4" w:space="0" w:color="000000"/>
      </w:pBdr>
      <w:spacing w:before="100" w:beforeAutospacing="1" w:after="100" w:afterAutospacing="1" w:line="240" w:lineRule="auto"/>
      <w:jc w:val="left"/>
    </w:pPr>
    <w:rPr>
      <w:rFonts w:ascii="WordVisi_MSFontService" w:eastAsia="Times New Roman" w:hAnsi="WordVisi_MSFontService" w:cs="Times New Roman"/>
      <w:b/>
      <w:bCs/>
      <w:color w:val="000000"/>
      <w:lang w:eastAsia="en-GB"/>
    </w:rPr>
  </w:style>
  <w:style w:type="paragraph" w:customStyle="1" w:styleId="p1">
    <w:name w:val="p1"/>
    <w:basedOn w:val="Normal"/>
    <w:rsid w:val="006359DD"/>
    <w:pPr>
      <w:spacing w:before="0" w:after="0" w:line="240" w:lineRule="auto"/>
      <w:jc w:val="left"/>
    </w:pPr>
    <w:rPr>
      <w:rFonts w:ascii="Helvetica" w:eastAsia="Times New Roman" w:hAnsi="Helvetica" w:cs="Times New Roman"/>
      <w:color w:val="292A26"/>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283">
      <w:bodyDiv w:val="1"/>
      <w:marLeft w:val="0"/>
      <w:marRight w:val="0"/>
      <w:marTop w:val="0"/>
      <w:marBottom w:val="0"/>
      <w:divBdr>
        <w:top w:val="none" w:sz="0" w:space="0" w:color="auto"/>
        <w:left w:val="none" w:sz="0" w:space="0" w:color="auto"/>
        <w:bottom w:val="none" w:sz="0" w:space="0" w:color="auto"/>
        <w:right w:val="none" w:sz="0" w:space="0" w:color="auto"/>
      </w:divBdr>
      <w:divsChild>
        <w:div w:id="933319275">
          <w:marLeft w:val="0"/>
          <w:marRight w:val="0"/>
          <w:marTop w:val="0"/>
          <w:marBottom w:val="0"/>
          <w:divBdr>
            <w:top w:val="none" w:sz="0" w:space="0" w:color="auto"/>
            <w:left w:val="none" w:sz="0" w:space="0" w:color="auto"/>
            <w:bottom w:val="none" w:sz="0" w:space="0" w:color="auto"/>
            <w:right w:val="none" w:sz="0" w:space="0" w:color="auto"/>
          </w:divBdr>
          <w:divsChild>
            <w:div w:id="845678107">
              <w:marLeft w:val="0"/>
              <w:marRight w:val="0"/>
              <w:marTop w:val="0"/>
              <w:marBottom w:val="0"/>
              <w:divBdr>
                <w:top w:val="none" w:sz="0" w:space="0" w:color="auto"/>
                <w:left w:val="none" w:sz="0" w:space="0" w:color="auto"/>
                <w:bottom w:val="none" w:sz="0" w:space="0" w:color="auto"/>
                <w:right w:val="none" w:sz="0" w:space="0" w:color="auto"/>
              </w:divBdr>
              <w:divsChild>
                <w:div w:id="1307970672">
                  <w:marLeft w:val="0"/>
                  <w:marRight w:val="0"/>
                  <w:marTop w:val="0"/>
                  <w:marBottom w:val="0"/>
                  <w:divBdr>
                    <w:top w:val="none" w:sz="0" w:space="0" w:color="auto"/>
                    <w:left w:val="none" w:sz="0" w:space="0" w:color="auto"/>
                    <w:bottom w:val="none" w:sz="0" w:space="0" w:color="auto"/>
                    <w:right w:val="none" w:sz="0" w:space="0" w:color="auto"/>
                  </w:divBdr>
                  <w:divsChild>
                    <w:div w:id="5854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4124">
      <w:bodyDiv w:val="1"/>
      <w:marLeft w:val="0"/>
      <w:marRight w:val="0"/>
      <w:marTop w:val="0"/>
      <w:marBottom w:val="0"/>
      <w:divBdr>
        <w:top w:val="none" w:sz="0" w:space="0" w:color="auto"/>
        <w:left w:val="none" w:sz="0" w:space="0" w:color="auto"/>
        <w:bottom w:val="none" w:sz="0" w:space="0" w:color="auto"/>
        <w:right w:val="none" w:sz="0" w:space="0" w:color="auto"/>
      </w:divBdr>
    </w:div>
    <w:div w:id="18236751">
      <w:bodyDiv w:val="1"/>
      <w:marLeft w:val="0"/>
      <w:marRight w:val="0"/>
      <w:marTop w:val="0"/>
      <w:marBottom w:val="0"/>
      <w:divBdr>
        <w:top w:val="none" w:sz="0" w:space="0" w:color="auto"/>
        <w:left w:val="none" w:sz="0" w:space="0" w:color="auto"/>
        <w:bottom w:val="none" w:sz="0" w:space="0" w:color="auto"/>
        <w:right w:val="none" w:sz="0" w:space="0" w:color="auto"/>
      </w:divBdr>
    </w:div>
    <w:div w:id="24334924">
      <w:bodyDiv w:val="1"/>
      <w:marLeft w:val="0"/>
      <w:marRight w:val="0"/>
      <w:marTop w:val="0"/>
      <w:marBottom w:val="0"/>
      <w:divBdr>
        <w:top w:val="none" w:sz="0" w:space="0" w:color="auto"/>
        <w:left w:val="none" w:sz="0" w:space="0" w:color="auto"/>
        <w:bottom w:val="none" w:sz="0" w:space="0" w:color="auto"/>
        <w:right w:val="none" w:sz="0" w:space="0" w:color="auto"/>
      </w:divBdr>
    </w:div>
    <w:div w:id="28992216">
      <w:bodyDiv w:val="1"/>
      <w:marLeft w:val="0"/>
      <w:marRight w:val="0"/>
      <w:marTop w:val="0"/>
      <w:marBottom w:val="0"/>
      <w:divBdr>
        <w:top w:val="none" w:sz="0" w:space="0" w:color="auto"/>
        <w:left w:val="none" w:sz="0" w:space="0" w:color="auto"/>
        <w:bottom w:val="none" w:sz="0" w:space="0" w:color="auto"/>
        <w:right w:val="none" w:sz="0" w:space="0" w:color="auto"/>
      </w:divBdr>
      <w:divsChild>
        <w:div w:id="333454762">
          <w:marLeft w:val="0"/>
          <w:marRight w:val="0"/>
          <w:marTop w:val="0"/>
          <w:marBottom w:val="0"/>
          <w:divBdr>
            <w:top w:val="none" w:sz="0" w:space="0" w:color="auto"/>
            <w:left w:val="none" w:sz="0" w:space="0" w:color="auto"/>
            <w:bottom w:val="none" w:sz="0" w:space="0" w:color="auto"/>
            <w:right w:val="none" w:sz="0" w:space="0" w:color="auto"/>
          </w:divBdr>
          <w:divsChild>
            <w:div w:id="2113434269">
              <w:marLeft w:val="0"/>
              <w:marRight w:val="0"/>
              <w:marTop w:val="0"/>
              <w:marBottom w:val="0"/>
              <w:divBdr>
                <w:top w:val="none" w:sz="0" w:space="0" w:color="auto"/>
                <w:left w:val="none" w:sz="0" w:space="0" w:color="auto"/>
                <w:bottom w:val="none" w:sz="0" w:space="0" w:color="auto"/>
                <w:right w:val="none" w:sz="0" w:space="0" w:color="auto"/>
              </w:divBdr>
              <w:divsChild>
                <w:div w:id="1407914826">
                  <w:marLeft w:val="0"/>
                  <w:marRight w:val="0"/>
                  <w:marTop w:val="0"/>
                  <w:marBottom w:val="0"/>
                  <w:divBdr>
                    <w:top w:val="none" w:sz="0" w:space="0" w:color="auto"/>
                    <w:left w:val="none" w:sz="0" w:space="0" w:color="auto"/>
                    <w:bottom w:val="none" w:sz="0" w:space="0" w:color="auto"/>
                    <w:right w:val="none" w:sz="0" w:space="0" w:color="auto"/>
                  </w:divBdr>
                  <w:divsChild>
                    <w:div w:id="11298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6728">
      <w:bodyDiv w:val="1"/>
      <w:marLeft w:val="0"/>
      <w:marRight w:val="0"/>
      <w:marTop w:val="0"/>
      <w:marBottom w:val="0"/>
      <w:divBdr>
        <w:top w:val="none" w:sz="0" w:space="0" w:color="auto"/>
        <w:left w:val="none" w:sz="0" w:space="0" w:color="auto"/>
        <w:bottom w:val="none" w:sz="0" w:space="0" w:color="auto"/>
        <w:right w:val="none" w:sz="0" w:space="0" w:color="auto"/>
      </w:divBdr>
      <w:divsChild>
        <w:div w:id="562057392">
          <w:marLeft w:val="0"/>
          <w:marRight w:val="0"/>
          <w:marTop w:val="0"/>
          <w:marBottom w:val="0"/>
          <w:divBdr>
            <w:top w:val="none" w:sz="0" w:space="0" w:color="auto"/>
            <w:left w:val="none" w:sz="0" w:space="0" w:color="auto"/>
            <w:bottom w:val="none" w:sz="0" w:space="0" w:color="auto"/>
            <w:right w:val="none" w:sz="0" w:space="0" w:color="auto"/>
          </w:divBdr>
          <w:divsChild>
            <w:div w:id="373696542">
              <w:marLeft w:val="0"/>
              <w:marRight w:val="0"/>
              <w:marTop w:val="0"/>
              <w:marBottom w:val="0"/>
              <w:divBdr>
                <w:top w:val="none" w:sz="0" w:space="0" w:color="auto"/>
                <w:left w:val="none" w:sz="0" w:space="0" w:color="auto"/>
                <w:bottom w:val="none" w:sz="0" w:space="0" w:color="auto"/>
                <w:right w:val="none" w:sz="0" w:space="0" w:color="auto"/>
              </w:divBdr>
              <w:divsChild>
                <w:div w:id="565379330">
                  <w:marLeft w:val="0"/>
                  <w:marRight w:val="0"/>
                  <w:marTop w:val="0"/>
                  <w:marBottom w:val="0"/>
                  <w:divBdr>
                    <w:top w:val="none" w:sz="0" w:space="0" w:color="auto"/>
                    <w:left w:val="none" w:sz="0" w:space="0" w:color="auto"/>
                    <w:bottom w:val="none" w:sz="0" w:space="0" w:color="auto"/>
                    <w:right w:val="none" w:sz="0" w:space="0" w:color="auto"/>
                  </w:divBdr>
                  <w:divsChild>
                    <w:div w:id="1076391241">
                      <w:marLeft w:val="0"/>
                      <w:marRight w:val="0"/>
                      <w:marTop w:val="0"/>
                      <w:marBottom w:val="0"/>
                      <w:divBdr>
                        <w:top w:val="none" w:sz="0" w:space="0" w:color="auto"/>
                        <w:left w:val="none" w:sz="0" w:space="0" w:color="auto"/>
                        <w:bottom w:val="none" w:sz="0" w:space="0" w:color="auto"/>
                        <w:right w:val="none" w:sz="0" w:space="0" w:color="auto"/>
                      </w:divBdr>
                    </w:div>
                  </w:divsChild>
                </w:div>
                <w:div w:id="1235313685">
                  <w:marLeft w:val="0"/>
                  <w:marRight w:val="0"/>
                  <w:marTop w:val="0"/>
                  <w:marBottom w:val="0"/>
                  <w:divBdr>
                    <w:top w:val="none" w:sz="0" w:space="0" w:color="auto"/>
                    <w:left w:val="none" w:sz="0" w:space="0" w:color="auto"/>
                    <w:bottom w:val="none" w:sz="0" w:space="0" w:color="auto"/>
                    <w:right w:val="none" w:sz="0" w:space="0" w:color="auto"/>
                  </w:divBdr>
                  <w:divsChild>
                    <w:div w:id="534806082">
                      <w:marLeft w:val="0"/>
                      <w:marRight w:val="0"/>
                      <w:marTop w:val="0"/>
                      <w:marBottom w:val="0"/>
                      <w:divBdr>
                        <w:top w:val="none" w:sz="0" w:space="0" w:color="auto"/>
                        <w:left w:val="none" w:sz="0" w:space="0" w:color="auto"/>
                        <w:bottom w:val="none" w:sz="0" w:space="0" w:color="auto"/>
                        <w:right w:val="none" w:sz="0" w:space="0" w:color="auto"/>
                      </w:divBdr>
                    </w:div>
                  </w:divsChild>
                </w:div>
                <w:div w:id="1390375659">
                  <w:marLeft w:val="0"/>
                  <w:marRight w:val="0"/>
                  <w:marTop w:val="0"/>
                  <w:marBottom w:val="0"/>
                  <w:divBdr>
                    <w:top w:val="none" w:sz="0" w:space="0" w:color="auto"/>
                    <w:left w:val="none" w:sz="0" w:space="0" w:color="auto"/>
                    <w:bottom w:val="none" w:sz="0" w:space="0" w:color="auto"/>
                    <w:right w:val="none" w:sz="0" w:space="0" w:color="auto"/>
                  </w:divBdr>
                  <w:divsChild>
                    <w:div w:id="1832217062">
                      <w:marLeft w:val="0"/>
                      <w:marRight w:val="0"/>
                      <w:marTop w:val="0"/>
                      <w:marBottom w:val="0"/>
                      <w:divBdr>
                        <w:top w:val="none" w:sz="0" w:space="0" w:color="auto"/>
                        <w:left w:val="none" w:sz="0" w:space="0" w:color="auto"/>
                        <w:bottom w:val="none" w:sz="0" w:space="0" w:color="auto"/>
                        <w:right w:val="none" w:sz="0" w:space="0" w:color="auto"/>
                      </w:divBdr>
                    </w:div>
                  </w:divsChild>
                </w:div>
                <w:div w:id="1478954066">
                  <w:marLeft w:val="0"/>
                  <w:marRight w:val="0"/>
                  <w:marTop w:val="0"/>
                  <w:marBottom w:val="0"/>
                  <w:divBdr>
                    <w:top w:val="none" w:sz="0" w:space="0" w:color="auto"/>
                    <w:left w:val="none" w:sz="0" w:space="0" w:color="auto"/>
                    <w:bottom w:val="none" w:sz="0" w:space="0" w:color="auto"/>
                    <w:right w:val="none" w:sz="0" w:space="0" w:color="auto"/>
                  </w:divBdr>
                  <w:divsChild>
                    <w:div w:id="9014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20156">
      <w:bodyDiv w:val="1"/>
      <w:marLeft w:val="0"/>
      <w:marRight w:val="0"/>
      <w:marTop w:val="0"/>
      <w:marBottom w:val="0"/>
      <w:divBdr>
        <w:top w:val="none" w:sz="0" w:space="0" w:color="auto"/>
        <w:left w:val="none" w:sz="0" w:space="0" w:color="auto"/>
        <w:bottom w:val="none" w:sz="0" w:space="0" w:color="auto"/>
        <w:right w:val="none" w:sz="0" w:space="0" w:color="auto"/>
      </w:divBdr>
    </w:div>
    <w:div w:id="47264215">
      <w:bodyDiv w:val="1"/>
      <w:marLeft w:val="0"/>
      <w:marRight w:val="0"/>
      <w:marTop w:val="0"/>
      <w:marBottom w:val="0"/>
      <w:divBdr>
        <w:top w:val="none" w:sz="0" w:space="0" w:color="auto"/>
        <w:left w:val="none" w:sz="0" w:space="0" w:color="auto"/>
        <w:bottom w:val="none" w:sz="0" w:space="0" w:color="auto"/>
        <w:right w:val="none" w:sz="0" w:space="0" w:color="auto"/>
      </w:divBdr>
    </w:div>
    <w:div w:id="58015659">
      <w:bodyDiv w:val="1"/>
      <w:marLeft w:val="0"/>
      <w:marRight w:val="0"/>
      <w:marTop w:val="0"/>
      <w:marBottom w:val="0"/>
      <w:divBdr>
        <w:top w:val="none" w:sz="0" w:space="0" w:color="auto"/>
        <w:left w:val="none" w:sz="0" w:space="0" w:color="auto"/>
        <w:bottom w:val="none" w:sz="0" w:space="0" w:color="auto"/>
        <w:right w:val="none" w:sz="0" w:space="0" w:color="auto"/>
      </w:divBdr>
    </w:div>
    <w:div w:id="86388297">
      <w:bodyDiv w:val="1"/>
      <w:marLeft w:val="0"/>
      <w:marRight w:val="0"/>
      <w:marTop w:val="0"/>
      <w:marBottom w:val="0"/>
      <w:divBdr>
        <w:top w:val="none" w:sz="0" w:space="0" w:color="auto"/>
        <w:left w:val="none" w:sz="0" w:space="0" w:color="auto"/>
        <w:bottom w:val="none" w:sz="0" w:space="0" w:color="auto"/>
        <w:right w:val="none" w:sz="0" w:space="0" w:color="auto"/>
      </w:divBdr>
    </w:div>
    <w:div w:id="93601817">
      <w:bodyDiv w:val="1"/>
      <w:marLeft w:val="0"/>
      <w:marRight w:val="0"/>
      <w:marTop w:val="0"/>
      <w:marBottom w:val="0"/>
      <w:divBdr>
        <w:top w:val="none" w:sz="0" w:space="0" w:color="auto"/>
        <w:left w:val="none" w:sz="0" w:space="0" w:color="auto"/>
        <w:bottom w:val="none" w:sz="0" w:space="0" w:color="auto"/>
        <w:right w:val="none" w:sz="0" w:space="0" w:color="auto"/>
      </w:divBdr>
      <w:divsChild>
        <w:div w:id="282687100">
          <w:marLeft w:val="360"/>
          <w:marRight w:val="0"/>
          <w:marTop w:val="200"/>
          <w:marBottom w:val="120"/>
          <w:divBdr>
            <w:top w:val="none" w:sz="0" w:space="0" w:color="auto"/>
            <w:left w:val="none" w:sz="0" w:space="0" w:color="auto"/>
            <w:bottom w:val="none" w:sz="0" w:space="0" w:color="auto"/>
            <w:right w:val="none" w:sz="0" w:space="0" w:color="auto"/>
          </w:divBdr>
        </w:div>
        <w:div w:id="292487958">
          <w:marLeft w:val="1080"/>
          <w:marRight w:val="0"/>
          <w:marTop w:val="100"/>
          <w:marBottom w:val="120"/>
          <w:divBdr>
            <w:top w:val="none" w:sz="0" w:space="0" w:color="auto"/>
            <w:left w:val="none" w:sz="0" w:space="0" w:color="auto"/>
            <w:bottom w:val="none" w:sz="0" w:space="0" w:color="auto"/>
            <w:right w:val="none" w:sz="0" w:space="0" w:color="auto"/>
          </w:divBdr>
        </w:div>
        <w:div w:id="337923059">
          <w:marLeft w:val="1080"/>
          <w:marRight w:val="0"/>
          <w:marTop w:val="100"/>
          <w:marBottom w:val="120"/>
          <w:divBdr>
            <w:top w:val="none" w:sz="0" w:space="0" w:color="auto"/>
            <w:left w:val="none" w:sz="0" w:space="0" w:color="auto"/>
            <w:bottom w:val="none" w:sz="0" w:space="0" w:color="auto"/>
            <w:right w:val="none" w:sz="0" w:space="0" w:color="auto"/>
          </w:divBdr>
        </w:div>
        <w:div w:id="350497416">
          <w:marLeft w:val="1080"/>
          <w:marRight w:val="0"/>
          <w:marTop w:val="100"/>
          <w:marBottom w:val="120"/>
          <w:divBdr>
            <w:top w:val="none" w:sz="0" w:space="0" w:color="auto"/>
            <w:left w:val="none" w:sz="0" w:space="0" w:color="auto"/>
            <w:bottom w:val="none" w:sz="0" w:space="0" w:color="auto"/>
            <w:right w:val="none" w:sz="0" w:space="0" w:color="auto"/>
          </w:divBdr>
        </w:div>
        <w:div w:id="720178128">
          <w:marLeft w:val="1080"/>
          <w:marRight w:val="0"/>
          <w:marTop w:val="100"/>
          <w:marBottom w:val="120"/>
          <w:divBdr>
            <w:top w:val="none" w:sz="0" w:space="0" w:color="auto"/>
            <w:left w:val="none" w:sz="0" w:space="0" w:color="auto"/>
            <w:bottom w:val="none" w:sz="0" w:space="0" w:color="auto"/>
            <w:right w:val="none" w:sz="0" w:space="0" w:color="auto"/>
          </w:divBdr>
        </w:div>
        <w:div w:id="1167938964">
          <w:marLeft w:val="1800"/>
          <w:marRight w:val="0"/>
          <w:marTop w:val="100"/>
          <w:marBottom w:val="120"/>
          <w:divBdr>
            <w:top w:val="none" w:sz="0" w:space="0" w:color="auto"/>
            <w:left w:val="none" w:sz="0" w:space="0" w:color="auto"/>
            <w:bottom w:val="none" w:sz="0" w:space="0" w:color="auto"/>
            <w:right w:val="none" w:sz="0" w:space="0" w:color="auto"/>
          </w:divBdr>
        </w:div>
        <w:div w:id="1285186694">
          <w:marLeft w:val="1080"/>
          <w:marRight w:val="0"/>
          <w:marTop w:val="100"/>
          <w:marBottom w:val="120"/>
          <w:divBdr>
            <w:top w:val="none" w:sz="0" w:space="0" w:color="auto"/>
            <w:left w:val="none" w:sz="0" w:space="0" w:color="auto"/>
            <w:bottom w:val="none" w:sz="0" w:space="0" w:color="auto"/>
            <w:right w:val="none" w:sz="0" w:space="0" w:color="auto"/>
          </w:divBdr>
        </w:div>
        <w:div w:id="1316883421">
          <w:marLeft w:val="1080"/>
          <w:marRight w:val="0"/>
          <w:marTop w:val="100"/>
          <w:marBottom w:val="120"/>
          <w:divBdr>
            <w:top w:val="none" w:sz="0" w:space="0" w:color="auto"/>
            <w:left w:val="none" w:sz="0" w:space="0" w:color="auto"/>
            <w:bottom w:val="none" w:sz="0" w:space="0" w:color="auto"/>
            <w:right w:val="none" w:sz="0" w:space="0" w:color="auto"/>
          </w:divBdr>
        </w:div>
        <w:div w:id="1813709804">
          <w:marLeft w:val="1800"/>
          <w:marRight w:val="0"/>
          <w:marTop w:val="100"/>
          <w:marBottom w:val="120"/>
          <w:divBdr>
            <w:top w:val="none" w:sz="0" w:space="0" w:color="auto"/>
            <w:left w:val="none" w:sz="0" w:space="0" w:color="auto"/>
            <w:bottom w:val="none" w:sz="0" w:space="0" w:color="auto"/>
            <w:right w:val="none" w:sz="0" w:space="0" w:color="auto"/>
          </w:divBdr>
        </w:div>
      </w:divsChild>
    </w:div>
    <w:div w:id="100227940">
      <w:bodyDiv w:val="1"/>
      <w:marLeft w:val="0"/>
      <w:marRight w:val="0"/>
      <w:marTop w:val="0"/>
      <w:marBottom w:val="0"/>
      <w:divBdr>
        <w:top w:val="none" w:sz="0" w:space="0" w:color="auto"/>
        <w:left w:val="none" w:sz="0" w:space="0" w:color="auto"/>
        <w:bottom w:val="none" w:sz="0" w:space="0" w:color="auto"/>
        <w:right w:val="none" w:sz="0" w:space="0" w:color="auto"/>
      </w:divBdr>
    </w:div>
    <w:div w:id="118687104">
      <w:bodyDiv w:val="1"/>
      <w:marLeft w:val="0"/>
      <w:marRight w:val="0"/>
      <w:marTop w:val="0"/>
      <w:marBottom w:val="0"/>
      <w:divBdr>
        <w:top w:val="none" w:sz="0" w:space="0" w:color="auto"/>
        <w:left w:val="none" w:sz="0" w:space="0" w:color="auto"/>
        <w:bottom w:val="none" w:sz="0" w:space="0" w:color="auto"/>
        <w:right w:val="none" w:sz="0" w:space="0" w:color="auto"/>
      </w:divBdr>
      <w:divsChild>
        <w:div w:id="680007945">
          <w:marLeft w:val="0"/>
          <w:marRight w:val="0"/>
          <w:marTop w:val="0"/>
          <w:marBottom w:val="0"/>
          <w:divBdr>
            <w:top w:val="none" w:sz="0" w:space="0" w:color="auto"/>
            <w:left w:val="none" w:sz="0" w:space="0" w:color="auto"/>
            <w:bottom w:val="none" w:sz="0" w:space="0" w:color="auto"/>
            <w:right w:val="none" w:sz="0" w:space="0" w:color="auto"/>
          </w:divBdr>
          <w:divsChild>
            <w:div w:id="892544300">
              <w:marLeft w:val="0"/>
              <w:marRight w:val="0"/>
              <w:marTop w:val="0"/>
              <w:marBottom w:val="0"/>
              <w:divBdr>
                <w:top w:val="none" w:sz="0" w:space="0" w:color="auto"/>
                <w:left w:val="none" w:sz="0" w:space="0" w:color="auto"/>
                <w:bottom w:val="none" w:sz="0" w:space="0" w:color="auto"/>
                <w:right w:val="none" w:sz="0" w:space="0" w:color="auto"/>
              </w:divBdr>
            </w:div>
          </w:divsChild>
        </w:div>
        <w:div w:id="1216235877">
          <w:marLeft w:val="0"/>
          <w:marRight w:val="0"/>
          <w:marTop w:val="0"/>
          <w:marBottom w:val="0"/>
          <w:divBdr>
            <w:top w:val="none" w:sz="0" w:space="0" w:color="auto"/>
            <w:left w:val="none" w:sz="0" w:space="0" w:color="auto"/>
            <w:bottom w:val="none" w:sz="0" w:space="0" w:color="auto"/>
            <w:right w:val="none" w:sz="0" w:space="0" w:color="auto"/>
          </w:divBdr>
          <w:divsChild>
            <w:div w:id="1077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4174">
      <w:bodyDiv w:val="1"/>
      <w:marLeft w:val="0"/>
      <w:marRight w:val="0"/>
      <w:marTop w:val="0"/>
      <w:marBottom w:val="0"/>
      <w:divBdr>
        <w:top w:val="none" w:sz="0" w:space="0" w:color="auto"/>
        <w:left w:val="none" w:sz="0" w:space="0" w:color="auto"/>
        <w:bottom w:val="none" w:sz="0" w:space="0" w:color="auto"/>
        <w:right w:val="none" w:sz="0" w:space="0" w:color="auto"/>
      </w:divBdr>
    </w:div>
    <w:div w:id="144204909">
      <w:bodyDiv w:val="1"/>
      <w:marLeft w:val="0"/>
      <w:marRight w:val="0"/>
      <w:marTop w:val="0"/>
      <w:marBottom w:val="0"/>
      <w:divBdr>
        <w:top w:val="none" w:sz="0" w:space="0" w:color="auto"/>
        <w:left w:val="none" w:sz="0" w:space="0" w:color="auto"/>
        <w:bottom w:val="none" w:sz="0" w:space="0" w:color="auto"/>
        <w:right w:val="none" w:sz="0" w:space="0" w:color="auto"/>
      </w:divBdr>
      <w:divsChild>
        <w:div w:id="715809876">
          <w:marLeft w:val="0"/>
          <w:marRight w:val="0"/>
          <w:marTop w:val="0"/>
          <w:marBottom w:val="0"/>
          <w:divBdr>
            <w:top w:val="none" w:sz="0" w:space="0" w:color="auto"/>
            <w:left w:val="none" w:sz="0" w:space="0" w:color="auto"/>
            <w:bottom w:val="none" w:sz="0" w:space="0" w:color="auto"/>
            <w:right w:val="none" w:sz="0" w:space="0" w:color="auto"/>
          </w:divBdr>
          <w:divsChild>
            <w:div w:id="211696762">
              <w:marLeft w:val="0"/>
              <w:marRight w:val="0"/>
              <w:marTop w:val="0"/>
              <w:marBottom w:val="0"/>
              <w:divBdr>
                <w:top w:val="none" w:sz="0" w:space="0" w:color="auto"/>
                <w:left w:val="none" w:sz="0" w:space="0" w:color="auto"/>
                <w:bottom w:val="none" w:sz="0" w:space="0" w:color="auto"/>
                <w:right w:val="none" w:sz="0" w:space="0" w:color="auto"/>
              </w:divBdr>
              <w:divsChild>
                <w:div w:id="570235149">
                  <w:marLeft w:val="0"/>
                  <w:marRight w:val="0"/>
                  <w:marTop w:val="0"/>
                  <w:marBottom w:val="0"/>
                  <w:divBdr>
                    <w:top w:val="none" w:sz="0" w:space="0" w:color="auto"/>
                    <w:left w:val="none" w:sz="0" w:space="0" w:color="auto"/>
                    <w:bottom w:val="none" w:sz="0" w:space="0" w:color="auto"/>
                    <w:right w:val="none" w:sz="0" w:space="0" w:color="auto"/>
                  </w:divBdr>
                  <w:divsChild>
                    <w:div w:id="7117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73477">
      <w:bodyDiv w:val="1"/>
      <w:marLeft w:val="0"/>
      <w:marRight w:val="0"/>
      <w:marTop w:val="0"/>
      <w:marBottom w:val="0"/>
      <w:divBdr>
        <w:top w:val="none" w:sz="0" w:space="0" w:color="auto"/>
        <w:left w:val="none" w:sz="0" w:space="0" w:color="auto"/>
        <w:bottom w:val="none" w:sz="0" w:space="0" w:color="auto"/>
        <w:right w:val="none" w:sz="0" w:space="0" w:color="auto"/>
      </w:divBdr>
      <w:divsChild>
        <w:div w:id="2008750592">
          <w:marLeft w:val="0"/>
          <w:marRight w:val="0"/>
          <w:marTop w:val="0"/>
          <w:marBottom w:val="0"/>
          <w:divBdr>
            <w:top w:val="none" w:sz="0" w:space="0" w:color="auto"/>
            <w:left w:val="none" w:sz="0" w:space="0" w:color="auto"/>
            <w:bottom w:val="none" w:sz="0" w:space="0" w:color="auto"/>
            <w:right w:val="none" w:sz="0" w:space="0" w:color="auto"/>
          </w:divBdr>
          <w:divsChild>
            <w:div w:id="1244795364">
              <w:marLeft w:val="0"/>
              <w:marRight w:val="0"/>
              <w:marTop w:val="0"/>
              <w:marBottom w:val="0"/>
              <w:divBdr>
                <w:top w:val="none" w:sz="0" w:space="0" w:color="auto"/>
                <w:left w:val="none" w:sz="0" w:space="0" w:color="auto"/>
                <w:bottom w:val="none" w:sz="0" w:space="0" w:color="auto"/>
                <w:right w:val="none" w:sz="0" w:space="0" w:color="auto"/>
              </w:divBdr>
              <w:divsChild>
                <w:div w:id="2015758732">
                  <w:marLeft w:val="0"/>
                  <w:marRight w:val="0"/>
                  <w:marTop w:val="0"/>
                  <w:marBottom w:val="0"/>
                  <w:divBdr>
                    <w:top w:val="none" w:sz="0" w:space="0" w:color="auto"/>
                    <w:left w:val="none" w:sz="0" w:space="0" w:color="auto"/>
                    <w:bottom w:val="none" w:sz="0" w:space="0" w:color="auto"/>
                    <w:right w:val="none" w:sz="0" w:space="0" w:color="auto"/>
                  </w:divBdr>
                  <w:divsChild>
                    <w:div w:id="165610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78464">
      <w:bodyDiv w:val="1"/>
      <w:marLeft w:val="0"/>
      <w:marRight w:val="0"/>
      <w:marTop w:val="0"/>
      <w:marBottom w:val="0"/>
      <w:divBdr>
        <w:top w:val="none" w:sz="0" w:space="0" w:color="auto"/>
        <w:left w:val="none" w:sz="0" w:space="0" w:color="auto"/>
        <w:bottom w:val="none" w:sz="0" w:space="0" w:color="auto"/>
        <w:right w:val="none" w:sz="0" w:space="0" w:color="auto"/>
      </w:divBdr>
      <w:divsChild>
        <w:div w:id="2027517226">
          <w:marLeft w:val="0"/>
          <w:marRight w:val="0"/>
          <w:marTop w:val="0"/>
          <w:marBottom w:val="0"/>
          <w:divBdr>
            <w:top w:val="none" w:sz="0" w:space="0" w:color="auto"/>
            <w:left w:val="none" w:sz="0" w:space="0" w:color="auto"/>
            <w:bottom w:val="none" w:sz="0" w:space="0" w:color="auto"/>
            <w:right w:val="none" w:sz="0" w:space="0" w:color="auto"/>
          </w:divBdr>
          <w:divsChild>
            <w:div w:id="1031615581">
              <w:marLeft w:val="0"/>
              <w:marRight w:val="0"/>
              <w:marTop w:val="0"/>
              <w:marBottom w:val="0"/>
              <w:divBdr>
                <w:top w:val="none" w:sz="0" w:space="0" w:color="auto"/>
                <w:left w:val="none" w:sz="0" w:space="0" w:color="auto"/>
                <w:bottom w:val="none" w:sz="0" w:space="0" w:color="auto"/>
                <w:right w:val="none" w:sz="0" w:space="0" w:color="auto"/>
              </w:divBdr>
              <w:divsChild>
                <w:div w:id="8625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8522">
      <w:bodyDiv w:val="1"/>
      <w:marLeft w:val="0"/>
      <w:marRight w:val="0"/>
      <w:marTop w:val="0"/>
      <w:marBottom w:val="0"/>
      <w:divBdr>
        <w:top w:val="none" w:sz="0" w:space="0" w:color="auto"/>
        <w:left w:val="none" w:sz="0" w:space="0" w:color="auto"/>
        <w:bottom w:val="none" w:sz="0" w:space="0" w:color="auto"/>
        <w:right w:val="none" w:sz="0" w:space="0" w:color="auto"/>
      </w:divBdr>
    </w:div>
    <w:div w:id="176890630">
      <w:bodyDiv w:val="1"/>
      <w:marLeft w:val="0"/>
      <w:marRight w:val="0"/>
      <w:marTop w:val="0"/>
      <w:marBottom w:val="0"/>
      <w:divBdr>
        <w:top w:val="none" w:sz="0" w:space="0" w:color="auto"/>
        <w:left w:val="none" w:sz="0" w:space="0" w:color="auto"/>
        <w:bottom w:val="none" w:sz="0" w:space="0" w:color="auto"/>
        <w:right w:val="none" w:sz="0" w:space="0" w:color="auto"/>
      </w:divBdr>
    </w:div>
    <w:div w:id="186263789">
      <w:bodyDiv w:val="1"/>
      <w:marLeft w:val="0"/>
      <w:marRight w:val="0"/>
      <w:marTop w:val="0"/>
      <w:marBottom w:val="0"/>
      <w:divBdr>
        <w:top w:val="none" w:sz="0" w:space="0" w:color="auto"/>
        <w:left w:val="none" w:sz="0" w:space="0" w:color="auto"/>
        <w:bottom w:val="none" w:sz="0" w:space="0" w:color="auto"/>
        <w:right w:val="none" w:sz="0" w:space="0" w:color="auto"/>
      </w:divBdr>
    </w:div>
    <w:div w:id="210850721">
      <w:bodyDiv w:val="1"/>
      <w:marLeft w:val="0"/>
      <w:marRight w:val="0"/>
      <w:marTop w:val="0"/>
      <w:marBottom w:val="0"/>
      <w:divBdr>
        <w:top w:val="none" w:sz="0" w:space="0" w:color="auto"/>
        <w:left w:val="none" w:sz="0" w:space="0" w:color="auto"/>
        <w:bottom w:val="none" w:sz="0" w:space="0" w:color="auto"/>
        <w:right w:val="none" w:sz="0" w:space="0" w:color="auto"/>
      </w:divBdr>
    </w:div>
    <w:div w:id="222104438">
      <w:bodyDiv w:val="1"/>
      <w:marLeft w:val="0"/>
      <w:marRight w:val="0"/>
      <w:marTop w:val="0"/>
      <w:marBottom w:val="0"/>
      <w:divBdr>
        <w:top w:val="none" w:sz="0" w:space="0" w:color="auto"/>
        <w:left w:val="none" w:sz="0" w:space="0" w:color="auto"/>
        <w:bottom w:val="none" w:sz="0" w:space="0" w:color="auto"/>
        <w:right w:val="none" w:sz="0" w:space="0" w:color="auto"/>
      </w:divBdr>
      <w:divsChild>
        <w:div w:id="164974958">
          <w:marLeft w:val="360"/>
          <w:marRight w:val="0"/>
          <w:marTop w:val="200"/>
          <w:marBottom w:val="0"/>
          <w:divBdr>
            <w:top w:val="none" w:sz="0" w:space="0" w:color="auto"/>
            <w:left w:val="none" w:sz="0" w:space="0" w:color="auto"/>
            <w:bottom w:val="none" w:sz="0" w:space="0" w:color="auto"/>
            <w:right w:val="none" w:sz="0" w:space="0" w:color="auto"/>
          </w:divBdr>
        </w:div>
        <w:div w:id="250168054">
          <w:marLeft w:val="360"/>
          <w:marRight w:val="0"/>
          <w:marTop w:val="200"/>
          <w:marBottom w:val="0"/>
          <w:divBdr>
            <w:top w:val="none" w:sz="0" w:space="0" w:color="auto"/>
            <w:left w:val="none" w:sz="0" w:space="0" w:color="auto"/>
            <w:bottom w:val="none" w:sz="0" w:space="0" w:color="auto"/>
            <w:right w:val="none" w:sz="0" w:space="0" w:color="auto"/>
          </w:divBdr>
        </w:div>
        <w:div w:id="945960881">
          <w:marLeft w:val="360"/>
          <w:marRight w:val="0"/>
          <w:marTop w:val="200"/>
          <w:marBottom w:val="0"/>
          <w:divBdr>
            <w:top w:val="none" w:sz="0" w:space="0" w:color="auto"/>
            <w:left w:val="none" w:sz="0" w:space="0" w:color="auto"/>
            <w:bottom w:val="none" w:sz="0" w:space="0" w:color="auto"/>
            <w:right w:val="none" w:sz="0" w:space="0" w:color="auto"/>
          </w:divBdr>
        </w:div>
        <w:div w:id="1425103506">
          <w:marLeft w:val="360"/>
          <w:marRight w:val="0"/>
          <w:marTop w:val="200"/>
          <w:marBottom w:val="0"/>
          <w:divBdr>
            <w:top w:val="none" w:sz="0" w:space="0" w:color="auto"/>
            <w:left w:val="none" w:sz="0" w:space="0" w:color="auto"/>
            <w:bottom w:val="none" w:sz="0" w:space="0" w:color="auto"/>
            <w:right w:val="none" w:sz="0" w:space="0" w:color="auto"/>
          </w:divBdr>
        </w:div>
      </w:divsChild>
    </w:div>
    <w:div w:id="237987428">
      <w:bodyDiv w:val="1"/>
      <w:marLeft w:val="0"/>
      <w:marRight w:val="0"/>
      <w:marTop w:val="0"/>
      <w:marBottom w:val="0"/>
      <w:divBdr>
        <w:top w:val="none" w:sz="0" w:space="0" w:color="auto"/>
        <w:left w:val="none" w:sz="0" w:space="0" w:color="auto"/>
        <w:bottom w:val="none" w:sz="0" w:space="0" w:color="auto"/>
        <w:right w:val="none" w:sz="0" w:space="0" w:color="auto"/>
      </w:divBdr>
    </w:div>
    <w:div w:id="248391590">
      <w:bodyDiv w:val="1"/>
      <w:marLeft w:val="0"/>
      <w:marRight w:val="0"/>
      <w:marTop w:val="0"/>
      <w:marBottom w:val="0"/>
      <w:divBdr>
        <w:top w:val="none" w:sz="0" w:space="0" w:color="auto"/>
        <w:left w:val="none" w:sz="0" w:space="0" w:color="auto"/>
        <w:bottom w:val="none" w:sz="0" w:space="0" w:color="auto"/>
        <w:right w:val="none" w:sz="0" w:space="0" w:color="auto"/>
      </w:divBdr>
    </w:div>
    <w:div w:id="257567776">
      <w:bodyDiv w:val="1"/>
      <w:marLeft w:val="0"/>
      <w:marRight w:val="0"/>
      <w:marTop w:val="0"/>
      <w:marBottom w:val="0"/>
      <w:divBdr>
        <w:top w:val="none" w:sz="0" w:space="0" w:color="auto"/>
        <w:left w:val="none" w:sz="0" w:space="0" w:color="auto"/>
        <w:bottom w:val="none" w:sz="0" w:space="0" w:color="auto"/>
        <w:right w:val="none" w:sz="0" w:space="0" w:color="auto"/>
      </w:divBdr>
      <w:divsChild>
        <w:div w:id="18166991">
          <w:marLeft w:val="0"/>
          <w:marRight w:val="0"/>
          <w:marTop w:val="0"/>
          <w:marBottom w:val="0"/>
          <w:divBdr>
            <w:top w:val="none" w:sz="0" w:space="0" w:color="auto"/>
            <w:left w:val="none" w:sz="0" w:space="0" w:color="auto"/>
            <w:bottom w:val="none" w:sz="0" w:space="0" w:color="auto"/>
            <w:right w:val="none" w:sz="0" w:space="0" w:color="auto"/>
          </w:divBdr>
          <w:divsChild>
            <w:div w:id="1660959745">
              <w:marLeft w:val="0"/>
              <w:marRight w:val="0"/>
              <w:marTop w:val="0"/>
              <w:marBottom w:val="0"/>
              <w:divBdr>
                <w:top w:val="none" w:sz="0" w:space="0" w:color="auto"/>
                <w:left w:val="none" w:sz="0" w:space="0" w:color="auto"/>
                <w:bottom w:val="none" w:sz="0" w:space="0" w:color="auto"/>
                <w:right w:val="none" w:sz="0" w:space="0" w:color="auto"/>
              </w:divBdr>
              <w:divsChild>
                <w:div w:id="122430152">
                  <w:marLeft w:val="0"/>
                  <w:marRight w:val="0"/>
                  <w:marTop w:val="0"/>
                  <w:marBottom w:val="0"/>
                  <w:divBdr>
                    <w:top w:val="none" w:sz="0" w:space="0" w:color="auto"/>
                    <w:left w:val="none" w:sz="0" w:space="0" w:color="auto"/>
                    <w:bottom w:val="none" w:sz="0" w:space="0" w:color="auto"/>
                    <w:right w:val="none" w:sz="0" w:space="0" w:color="auto"/>
                  </w:divBdr>
                  <w:divsChild>
                    <w:div w:id="4236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176730">
      <w:bodyDiv w:val="1"/>
      <w:marLeft w:val="0"/>
      <w:marRight w:val="0"/>
      <w:marTop w:val="0"/>
      <w:marBottom w:val="0"/>
      <w:divBdr>
        <w:top w:val="none" w:sz="0" w:space="0" w:color="auto"/>
        <w:left w:val="none" w:sz="0" w:space="0" w:color="auto"/>
        <w:bottom w:val="none" w:sz="0" w:space="0" w:color="auto"/>
        <w:right w:val="none" w:sz="0" w:space="0" w:color="auto"/>
      </w:divBdr>
      <w:divsChild>
        <w:div w:id="2034574415">
          <w:marLeft w:val="0"/>
          <w:marRight w:val="0"/>
          <w:marTop w:val="0"/>
          <w:marBottom w:val="0"/>
          <w:divBdr>
            <w:top w:val="none" w:sz="0" w:space="0" w:color="auto"/>
            <w:left w:val="none" w:sz="0" w:space="0" w:color="auto"/>
            <w:bottom w:val="none" w:sz="0" w:space="0" w:color="auto"/>
            <w:right w:val="none" w:sz="0" w:space="0" w:color="auto"/>
          </w:divBdr>
          <w:divsChild>
            <w:div w:id="1363509193">
              <w:marLeft w:val="0"/>
              <w:marRight w:val="0"/>
              <w:marTop w:val="0"/>
              <w:marBottom w:val="0"/>
              <w:divBdr>
                <w:top w:val="none" w:sz="0" w:space="0" w:color="auto"/>
                <w:left w:val="none" w:sz="0" w:space="0" w:color="auto"/>
                <w:bottom w:val="none" w:sz="0" w:space="0" w:color="auto"/>
                <w:right w:val="none" w:sz="0" w:space="0" w:color="auto"/>
              </w:divBdr>
              <w:divsChild>
                <w:div w:id="1442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49362">
      <w:bodyDiv w:val="1"/>
      <w:marLeft w:val="0"/>
      <w:marRight w:val="0"/>
      <w:marTop w:val="0"/>
      <w:marBottom w:val="0"/>
      <w:divBdr>
        <w:top w:val="none" w:sz="0" w:space="0" w:color="auto"/>
        <w:left w:val="none" w:sz="0" w:space="0" w:color="auto"/>
        <w:bottom w:val="none" w:sz="0" w:space="0" w:color="auto"/>
        <w:right w:val="none" w:sz="0" w:space="0" w:color="auto"/>
      </w:divBdr>
      <w:divsChild>
        <w:div w:id="1893467467">
          <w:marLeft w:val="0"/>
          <w:marRight w:val="0"/>
          <w:marTop w:val="0"/>
          <w:marBottom w:val="0"/>
          <w:divBdr>
            <w:top w:val="none" w:sz="0" w:space="0" w:color="auto"/>
            <w:left w:val="none" w:sz="0" w:space="0" w:color="auto"/>
            <w:bottom w:val="none" w:sz="0" w:space="0" w:color="auto"/>
            <w:right w:val="none" w:sz="0" w:space="0" w:color="auto"/>
          </w:divBdr>
          <w:divsChild>
            <w:div w:id="1375082641">
              <w:marLeft w:val="0"/>
              <w:marRight w:val="0"/>
              <w:marTop w:val="0"/>
              <w:marBottom w:val="0"/>
              <w:divBdr>
                <w:top w:val="none" w:sz="0" w:space="0" w:color="auto"/>
                <w:left w:val="none" w:sz="0" w:space="0" w:color="auto"/>
                <w:bottom w:val="none" w:sz="0" w:space="0" w:color="auto"/>
                <w:right w:val="none" w:sz="0" w:space="0" w:color="auto"/>
              </w:divBdr>
              <w:divsChild>
                <w:div w:id="999118019">
                  <w:marLeft w:val="0"/>
                  <w:marRight w:val="0"/>
                  <w:marTop w:val="0"/>
                  <w:marBottom w:val="0"/>
                  <w:divBdr>
                    <w:top w:val="none" w:sz="0" w:space="0" w:color="auto"/>
                    <w:left w:val="none" w:sz="0" w:space="0" w:color="auto"/>
                    <w:bottom w:val="none" w:sz="0" w:space="0" w:color="auto"/>
                    <w:right w:val="none" w:sz="0" w:space="0" w:color="auto"/>
                  </w:divBdr>
                  <w:divsChild>
                    <w:div w:id="66802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343238">
      <w:bodyDiv w:val="1"/>
      <w:marLeft w:val="0"/>
      <w:marRight w:val="0"/>
      <w:marTop w:val="0"/>
      <w:marBottom w:val="0"/>
      <w:divBdr>
        <w:top w:val="none" w:sz="0" w:space="0" w:color="auto"/>
        <w:left w:val="none" w:sz="0" w:space="0" w:color="auto"/>
        <w:bottom w:val="none" w:sz="0" w:space="0" w:color="auto"/>
        <w:right w:val="none" w:sz="0" w:space="0" w:color="auto"/>
      </w:divBdr>
      <w:divsChild>
        <w:div w:id="1728607641">
          <w:marLeft w:val="0"/>
          <w:marRight w:val="0"/>
          <w:marTop w:val="0"/>
          <w:marBottom w:val="0"/>
          <w:divBdr>
            <w:top w:val="none" w:sz="0" w:space="0" w:color="auto"/>
            <w:left w:val="none" w:sz="0" w:space="0" w:color="auto"/>
            <w:bottom w:val="none" w:sz="0" w:space="0" w:color="auto"/>
            <w:right w:val="none" w:sz="0" w:space="0" w:color="auto"/>
          </w:divBdr>
          <w:divsChild>
            <w:div w:id="103574089">
              <w:marLeft w:val="0"/>
              <w:marRight w:val="0"/>
              <w:marTop w:val="0"/>
              <w:marBottom w:val="0"/>
              <w:divBdr>
                <w:top w:val="none" w:sz="0" w:space="0" w:color="auto"/>
                <w:left w:val="none" w:sz="0" w:space="0" w:color="auto"/>
                <w:bottom w:val="none" w:sz="0" w:space="0" w:color="auto"/>
                <w:right w:val="none" w:sz="0" w:space="0" w:color="auto"/>
              </w:divBdr>
            </w:div>
            <w:div w:id="425460224">
              <w:marLeft w:val="0"/>
              <w:marRight w:val="0"/>
              <w:marTop w:val="0"/>
              <w:marBottom w:val="0"/>
              <w:divBdr>
                <w:top w:val="none" w:sz="0" w:space="0" w:color="auto"/>
                <w:left w:val="none" w:sz="0" w:space="0" w:color="auto"/>
                <w:bottom w:val="none" w:sz="0" w:space="0" w:color="auto"/>
                <w:right w:val="none" w:sz="0" w:space="0" w:color="auto"/>
              </w:divBdr>
            </w:div>
            <w:div w:id="444691249">
              <w:marLeft w:val="0"/>
              <w:marRight w:val="0"/>
              <w:marTop w:val="0"/>
              <w:marBottom w:val="0"/>
              <w:divBdr>
                <w:top w:val="none" w:sz="0" w:space="0" w:color="auto"/>
                <w:left w:val="none" w:sz="0" w:space="0" w:color="auto"/>
                <w:bottom w:val="none" w:sz="0" w:space="0" w:color="auto"/>
                <w:right w:val="none" w:sz="0" w:space="0" w:color="auto"/>
              </w:divBdr>
            </w:div>
            <w:div w:id="577593035">
              <w:marLeft w:val="0"/>
              <w:marRight w:val="0"/>
              <w:marTop w:val="0"/>
              <w:marBottom w:val="0"/>
              <w:divBdr>
                <w:top w:val="none" w:sz="0" w:space="0" w:color="auto"/>
                <w:left w:val="none" w:sz="0" w:space="0" w:color="auto"/>
                <w:bottom w:val="none" w:sz="0" w:space="0" w:color="auto"/>
                <w:right w:val="none" w:sz="0" w:space="0" w:color="auto"/>
              </w:divBdr>
            </w:div>
            <w:div w:id="684671710">
              <w:marLeft w:val="0"/>
              <w:marRight w:val="0"/>
              <w:marTop w:val="0"/>
              <w:marBottom w:val="0"/>
              <w:divBdr>
                <w:top w:val="none" w:sz="0" w:space="0" w:color="auto"/>
                <w:left w:val="none" w:sz="0" w:space="0" w:color="auto"/>
                <w:bottom w:val="none" w:sz="0" w:space="0" w:color="auto"/>
                <w:right w:val="none" w:sz="0" w:space="0" w:color="auto"/>
              </w:divBdr>
            </w:div>
            <w:div w:id="737561284">
              <w:marLeft w:val="0"/>
              <w:marRight w:val="0"/>
              <w:marTop w:val="0"/>
              <w:marBottom w:val="0"/>
              <w:divBdr>
                <w:top w:val="none" w:sz="0" w:space="0" w:color="auto"/>
                <w:left w:val="none" w:sz="0" w:space="0" w:color="auto"/>
                <w:bottom w:val="none" w:sz="0" w:space="0" w:color="auto"/>
                <w:right w:val="none" w:sz="0" w:space="0" w:color="auto"/>
              </w:divBdr>
            </w:div>
            <w:div w:id="862019433">
              <w:marLeft w:val="0"/>
              <w:marRight w:val="0"/>
              <w:marTop w:val="0"/>
              <w:marBottom w:val="0"/>
              <w:divBdr>
                <w:top w:val="none" w:sz="0" w:space="0" w:color="auto"/>
                <w:left w:val="none" w:sz="0" w:space="0" w:color="auto"/>
                <w:bottom w:val="none" w:sz="0" w:space="0" w:color="auto"/>
                <w:right w:val="none" w:sz="0" w:space="0" w:color="auto"/>
              </w:divBdr>
            </w:div>
            <w:div w:id="1047753845">
              <w:marLeft w:val="0"/>
              <w:marRight w:val="0"/>
              <w:marTop w:val="0"/>
              <w:marBottom w:val="0"/>
              <w:divBdr>
                <w:top w:val="none" w:sz="0" w:space="0" w:color="auto"/>
                <w:left w:val="none" w:sz="0" w:space="0" w:color="auto"/>
                <w:bottom w:val="none" w:sz="0" w:space="0" w:color="auto"/>
                <w:right w:val="none" w:sz="0" w:space="0" w:color="auto"/>
              </w:divBdr>
            </w:div>
            <w:div w:id="1094478289">
              <w:marLeft w:val="0"/>
              <w:marRight w:val="0"/>
              <w:marTop w:val="0"/>
              <w:marBottom w:val="0"/>
              <w:divBdr>
                <w:top w:val="none" w:sz="0" w:space="0" w:color="auto"/>
                <w:left w:val="none" w:sz="0" w:space="0" w:color="auto"/>
                <w:bottom w:val="none" w:sz="0" w:space="0" w:color="auto"/>
                <w:right w:val="none" w:sz="0" w:space="0" w:color="auto"/>
              </w:divBdr>
            </w:div>
            <w:div w:id="1155799844">
              <w:marLeft w:val="0"/>
              <w:marRight w:val="0"/>
              <w:marTop w:val="0"/>
              <w:marBottom w:val="0"/>
              <w:divBdr>
                <w:top w:val="none" w:sz="0" w:space="0" w:color="auto"/>
                <w:left w:val="none" w:sz="0" w:space="0" w:color="auto"/>
                <w:bottom w:val="none" w:sz="0" w:space="0" w:color="auto"/>
                <w:right w:val="none" w:sz="0" w:space="0" w:color="auto"/>
              </w:divBdr>
            </w:div>
            <w:div w:id="1170022651">
              <w:marLeft w:val="0"/>
              <w:marRight w:val="0"/>
              <w:marTop w:val="0"/>
              <w:marBottom w:val="0"/>
              <w:divBdr>
                <w:top w:val="none" w:sz="0" w:space="0" w:color="auto"/>
                <w:left w:val="none" w:sz="0" w:space="0" w:color="auto"/>
                <w:bottom w:val="none" w:sz="0" w:space="0" w:color="auto"/>
                <w:right w:val="none" w:sz="0" w:space="0" w:color="auto"/>
              </w:divBdr>
            </w:div>
            <w:div w:id="1233076967">
              <w:marLeft w:val="0"/>
              <w:marRight w:val="0"/>
              <w:marTop w:val="0"/>
              <w:marBottom w:val="0"/>
              <w:divBdr>
                <w:top w:val="none" w:sz="0" w:space="0" w:color="auto"/>
                <w:left w:val="none" w:sz="0" w:space="0" w:color="auto"/>
                <w:bottom w:val="none" w:sz="0" w:space="0" w:color="auto"/>
                <w:right w:val="none" w:sz="0" w:space="0" w:color="auto"/>
              </w:divBdr>
            </w:div>
            <w:div w:id="1259019592">
              <w:marLeft w:val="0"/>
              <w:marRight w:val="0"/>
              <w:marTop w:val="0"/>
              <w:marBottom w:val="0"/>
              <w:divBdr>
                <w:top w:val="none" w:sz="0" w:space="0" w:color="auto"/>
                <w:left w:val="none" w:sz="0" w:space="0" w:color="auto"/>
                <w:bottom w:val="none" w:sz="0" w:space="0" w:color="auto"/>
                <w:right w:val="none" w:sz="0" w:space="0" w:color="auto"/>
              </w:divBdr>
            </w:div>
            <w:div w:id="1365517818">
              <w:marLeft w:val="0"/>
              <w:marRight w:val="0"/>
              <w:marTop w:val="0"/>
              <w:marBottom w:val="0"/>
              <w:divBdr>
                <w:top w:val="none" w:sz="0" w:space="0" w:color="auto"/>
                <w:left w:val="none" w:sz="0" w:space="0" w:color="auto"/>
                <w:bottom w:val="none" w:sz="0" w:space="0" w:color="auto"/>
                <w:right w:val="none" w:sz="0" w:space="0" w:color="auto"/>
              </w:divBdr>
            </w:div>
            <w:div w:id="1502813711">
              <w:marLeft w:val="0"/>
              <w:marRight w:val="0"/>
              <w:marTop w:val="0"/>
              <w:marBottom w:val="0"/>
              <w:divBdr>
                <w:top w:val="none" w:sz="0" w:space="0" w:color="auto"/>
                <w:left w:val="none" w:sz="0" w:space="0" w:color="auto"/>
                <w:bottom w:val="none" w:sz="0" w:space="0" w:color="auto"/>
                <w:right w:val="none" w:sz="0" w:space="0" w:color="auto"/>
              </w:divBdr>
            </w:div>
            <w:div w:id="1731268826">
              <w:marLeft w:val="0"/>
              <w:marRight w:val="0"/>
              <w:marTop w:val="0"/>
              <w:marBottom w:val="0"/>
              <w:divBdr>
                <w:top w:val="none" w:sz="0" w:space="0" w:color="auto"/>
                <w:left w:val="none" w:sz="0" w:space="0" w:color="auto"/>
                <w:bottom w:val="none" w:sz="0" w:space="0" w:color="auto"/>
                <w:right w:val="none" w:sz="0" w:space="0" w:color="auto"/>
              </w:divBdr>
            </w:div>
            <w:div w:id="1854564787">
              <w:marLeft w:val="0"/>
              <w:marRight w:val="0"/>
              <w:marTop w:val="0"/>
              <w:marBottom w:val="0"/>
              <w:divBdr>
                <w:top w:val="none" w:sz="0" w:space="0" w:color="auto"/>
                <w:left w:val="none" w:sz="0" w:space="0" w:color="auto"/>
                <w:bottom w:val="none" w:sz="0" w:space="0" w:color="auto"/>
                <w:right w:val="none" w:sz="0" w:space="0" w:color="auto"/>
              </w:divBdr>
            </w:div>
            <w:div w:id="1893346173">
              <w:marLeft w:val="0"/>
              <w:marRight w:val="0"/>
              <w:marTop w:val="0"/>
              <w:marBottom w:val="0"/>
              <w:divBdr>
                <w:top w:val="none" w:sz="0" w:space="0" w:color="auto"/>
                <w:left w:val="none" w:sz="0" w:space="0" w:color="auto"/>
                <w:bottom w:val="none" w:sz="0" w:space="0" w:color="auto"/>
                <w:right w:val="none" w:sz="0" w:space="0" w:color="auto"/>
              </w:divBdr>
            </w:div>
            <w:div w:id="1954314617">
              <w:marLeft w:val="0"/>
              <w:marRight w:val="0"/>
              <w:marTop w:val="0"/>
              <w:marBottom w:val="0"/>
              <w:divBdr>
                <w:top w:val="none" w:sz="0" w:space="0" w:color="auto"/>
                <w:left w:val="none" w:sz="0" w:space="0" w:color="auto"/>
                <w:bottom w:val="none" w:sz="0" w:space="0" w:color="auto"/>
                <w:right w:val="none" w:sz="0" w:space="0" w:color="auto"/>
              </w:divBdr>
            </w:div>
          </w:divsChild>
        </w:div>
        <w:div w:id="2051176640">
          <w:marLeft w:val="0"/>
          <w:marRight w:val="0"/>
          <w:marTop w:val="0"/>
          <w:marBottom w:val="0"/>
          <w:divBdr>
            <w:top w:val="none" w:sz="0" w:space="0" w:color="auto"/>
            <w:left w:val="none" w:sz="0" w:space="0" w:color="auto"/>
            <w:bottom w:val="none" w:sz="0" w:space="0" w:color="auto"/>
            <w:right w:val="none" w:sz="0" w:space="0" w:color="auto"/>
          </w:divBdr>
          <w:divsChild>
            <w:div w:id="37169744">
              <w:marLeft w:val="0"/>
              <w:marRight w:val="0"/>
              <w:marTop w:val="0"/>
              <w:marBottom w:val="0"/>
              <w:divBdr>
                <w:top w:val="none" w:sz="0" w:space="0" w:color="auto"/>
                <w:left w:val="none" w:sz="0" w:space="0" w:color="auto"/>
                <w:bottom w:val="none" w:sz="0" w:space="0" w:color="auto"/>
                <w:right w:val="none" w:sz="0" w:space="0" w:color="auto"/>
              </w:divBdr>
            </w:div>
            <w:div w:id="88696503">
              <w:marLeft w:val="0"/>
              <w:marRight w:val="0"/>
              <w:marTop w:val="0"/>
              <w:marBottom w:val="0"/>
              <w:divBdr>
                <w:top w:val="none" w:sz="0" w:space="0" w:color="auto"/>
                <w:left w:val="none" w:sz="0" w:space="0" w:color="auto"/>
                <w:bottom w:val="none" w:sz="0" w:space="0" w:color="auto"/>
                <w:right w:val="none" w:sz="0" w:space="0" w:color="auto"/>
              </w:divBdr>
            </w:div>
            <w:div w:id="170066761">
              <w:marLeft w:val="0"/>
              <w:marRight w:val="0"/>
              <w:marTop w:val="0"/>
              <w:marBottom w:val="0"/>
              <w:divBdr>
                <w:top w:val="none" w:sz="0" w:space="0" w:color="auto"/>
                <w:left w:val="none" w:sz="0" w:space="0" w:color="auto"/>
                <w:bottom w:val="none" w:sz="0" w:space="0" w:color="auto"/>
                <w:right w:val="none" w:sz="0" w:space="0" w:color="auto"/>
              </w:divBdr>
            </w:div>
            <w:div w:id="205914633">
              <w:marLeft w:val="0"/>
              <w:marRight w:val="0"/>
              <w:marTop w:val="0"/>
              <w:marBottom w:val="0"/>
              <w:divBdr>
                <w:top w:val="none" w:sz="0" w:space="0" w:color="auto"/>
                <w:left w:val="none" w:sz="0" w:space="0" w:color="auto"/>
                <w:bottom w:val="none" w:sz="0" w:space="0" w:color="auto"/>
                <w:right w:val="none" w:sz="0" w:space="0" w:color="auto"/>
              </w:divBdr>
            </w:div>
            <w:div w:id="213273248">
              <w:marLeft w:val="0"/>
              <w:marRight w:val="0"/>
              <w:marTop w:val="0"/>
              <w:marBottom w:val="0"/>
              <w:divBdr>
                <w:top w:val="none" w:sz="0" w:space="0" w:color="auto"/>
                <w:left w:val="none" w:sz="0" w:space="0" w:color="auto"/>
                <w:bottom w:val="none" w:sz="0" w:space="0" w:color="auto"/>
                <w:right w:val="none" w:sz="0" w:space="0" w:color="auto"/>
              </w:divBdr>
            </w:div>
            <w:div w:id="324750354">
              <w:marLeft w:val="0"/>
              <w:marRight w:val="0"/>
              <w:marTop w:val="0"/>
              <w:marBottom w:val="0"/>
              <w:divBdr>
                <w:top w:val="none" w:sz="0" w:space="0" w:color="auto"/>
                <w:left w:val="none" w:sz="0" w:space="0" w:color="auto"/>
                <w:bottom w:val="none" w:sz="0" w:space="0" w:color="auto"/>
                <w:right w:val="none" w:sz="0" w:space="0" w:color="auto"/>
              </w:divBdr>
            </w:div>
            <w:div w:id="436023289">
              <w:marLeft w:val="0"/>
              <w:marRight w:val="0"/>
              <w:marTop w:val="0"/>
              <w:marBottom w:val="0"/>
              <w:divBdr>
                <w:top w:val="none" w:sz="0" w:space="0" w:color="auto"/>
                <w:left w:val="none" w:sz="0" w:space="0" w:color="auto"/>
                <w:bottom w:val="none" w:sz="0" w:space="0" w:color="auto"/>
                <w:right w:val="none" w:sz="0" w:space="0" w:color="auto"/>
              </w:divBdr>
            </w:div>
            <w:div w:id="538011537">
              <w:marLeft w:val="0"/>
              <w:marRight w:val="0"/>
              <w:marTop w:val="0"/>
              <w:marBottom w:val="0"/>
              <w:divBdr>
                <w:top w:val="none" w:sz="0" w:space="0" w:color="auto"/>
                <w:left w:val="none" w:sz="0" w:space="0" w:color="auto"/>
                <w:bottom w:val="none" w:sz="0" w:space="0" w:color="auto"/>
                <w:right w:val="none" w:sz="0" w:space="0" w:color="auto"/>
              </w:divBdr>
            </w:div>
            <w:div w:id="773135918">
              <w:marLeft w:val="0"/>
              <w:marRight w:val="0"/>
              <w:marTop w:val="0"/>
              <w:marBottom w:val="0"/>
              <w:divBdr>
                <w:top w:val="none" w:sz="0" w:space="0" w:color="auto"/>
                <w:left w:val="none" w:sz="0" w:space="0" w:color="auto"/>
                <w:bottom w:val="none" w:sz="0" w:space="0" w:color="auto"/>
                <w:right w:val="none" w:sz="0" w:space="0" w:color="auto"/>
              </w:divBdr>
            </w:div>
            <w:div w:id="869337201">
              <w:marLeft w:val="0"/>
              <w:marRight w:val="0"/>
              <w:marTop w:val="0"/>
              <w:marBottom w:val="0"/>
              <w:divBdr>
                <w:top w:val="none" w:sz="0" w:space="0" w:color="auto"/>
                <w:left w:val="none" w:sz="0" w:space="0" w:color="auto"/>
                <w:bottom w:val="none" w:sz="0" w:space="0" w:color="auto"/>
                <w:right w:val="none" w:sz="0" w:space="0" w:color="auto"/>
              </w:divBdr>
            </w:div>
            <w:div w:id="892471847">
              <w:marLeft w:val="0"/>
              <w:marRight w:val="0"/>
              <w:marTop w:val="0"/>
              <w:marBottom w:val="0"/>
              <w:divBdr>
                <w:top w:val="none" w:sz="0" w:space="0" w:color="auto"/>
                <w:left w:val="none" w:sz="0" w:space="0" w:color="auto"/>
                <w:bottom w:val="none" w:sz="0" w:space="0" w:color="auto"/>
                <w:right w:val="none" w:sz="0" w:space="0" w:color="auto"/>
              </w:divBdr>
            </w:div>
            <w:div w:id="1142112945">
              <w:marLeft w:val="0"/>
              <w:marRight w:val="0"/>
              <w:marTop w:val="0"/>
              <w:marBottom w:val="0"/>
              <w:divBdr>
                <w:top w:val="none" w:sz="0" w:space="0" w:color="auto"/>
                <w:left w:val="none" w:sz="0" w:space="0" w:color="auto"/>
                <w:bottom w:val="none" w:sz="0" w:space="0" w:color="auto"/>
                <w:right w:val="none" w:sz="0" w:space="0" w:color="auto"/>
              </w:divBdr>
            </w:div>
            <w:div w:id="1150755016">
              <w:marLeft w:val="0"/>
              <w:marRight w:val="0"/>
              <w:marTop w:val="0"/>
              <w:marBottom w:val="0"/>
              <w:divBdr>
                <w:top w:val="none" w:sz="0" w:space="0" w:color="auto"/>
                <w:left w:val="none" w:sz="0" w:space="0" w:color="auto"/>
                <w:bottom w:val="none" w:sz="0" w:space="0" w:color="auto"/>
                <w:right w:val="none" w:sz="0" w:space="0" w:color="auto"/>
              </w:divBdr>
            </w:div>
            <w:div w:id="1394427856">
              <w:marLeft w:val="0"/>
              <w:marRight w:val="0"/>
              <w:marTop w:val="0"/>
              <w:marBottom w:val="0"/>
              <w:divBdr>
                <w:top w:val="none" w:sz="0" w:space="0" w:color="auto"/>
                <w:left w:val="none" w:sz="0" w:space="0" w:color="auto"/>
                <w:bottom w:val="none" w:sz="0" w:space="0" w:color="auto"/>
                <w:right w:val="none" w:sz="0" w:space="0" w:color="auto"/>
              </w:divBdr>
            </w:div>
            <w:div w:id="1401639813">
              <w:marLeft w:val="0"/>
              <w:marRight w:val="0"/>
              <w:marTop w:val="0"/>
              <w:marBottom w:val="0"/>
              <w:divBdr>
                <w:top w:val="none" w:sz="0" w:space="0" w:color="auto"/>
                <w:left w:val="none" w:sz="0" w:space="0" w:color="auto"/>
                <w:bottom w:val="none" w:sz="0" w:space="0" w:color="auto"/>
                <w:right w:val="none" w:sz="0" w:space="0" w:color="auto"/>
              </w:divBdr>
            </w:div>
            <w:div w:id="1444305439">
              <w:marLeft w:val="0"/>
              <w:marRight w:val="0"/>
              <w:marTop w:val="0"/>
              <w:marBottom w:val="0"/>
              <w:divBdr>
                <w:top w:val="none" w:sz="0" w:space="0" w:color="auto"/>
                <w:left w:val="none" w:sz="0" w:space="0" w:color="auto"/>
                <w:bottom w:val="none" w:sz="0" w:space="0" w:color="auto"/>
                <w:right w:val="none" w:sz="0" w:space="0" w:color="auto"/>
              </w:divBdr>
            </w:div>
            <w:div w:id="20676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49245">
      <w:bodyDiv w:val="1"/>
      <w:marLeft w:val="0"/>
      <w:marRight w:val="0"/>
      <w:marTop w:val="0"/>
      <w:marBottom w:val="0"/>
      <w:divBdr>
        <w:top w:val="none" w:sz="0" w:space="0" w:color="auto"/>
        <w:left w:val="none" w:sz="0" w:space="0" w:color="auto"/>
        <w:bottom w:val="none" w:sz="0" w:space="0" w:color="auto"/>
        <w:right w:val="none" w:sz="0" w:space="0" w:color="auto"/>
      </w:divBdr>
      <w:divsChild>
        <w:div w:id="908342453">
          <w:marLeft w:val="0"/>
          <w:marRight w:val="0"/>
          <w:marTop w:val="0"/>
          <w:marBottom w:val="0"/>
          <w:divBdr>
            <w:top w:val="none" w:sz="0" w:space="0" w:color="auto"/>
            <w:left w:val="none" w:sz="0" w:space="0" w:color="auto"/>
            <w:bottom w:val="none" w:sz="0" w:space="0" w:color="auto"/>
            <w:right w:val="none" w:sz="0" w:space="0" w:color="auto"/>
          </w:divBdr>
          <w:divsChild>
            <w:div w:id="1235628741">
              <w:marLeft w:val="0"/>
              <w:marRight w:val="0"/>
              <w:marTop w:val="0"/>
              <w:marBottom w:val="0"/>
              <w:divBdr>
                <w:top w:val="none" w:sz="0" w:space="0" w:color="auto"/>
                <w:left w:val="none" w:sz="0" w:space="0" w:color="auto"/>
                <w:bottom w:val="none" w:sz="0" w:space="0" w:color="auto"/>
                <w:right w:val="none" w:sz="0" w:space="0" w:color="auto"/>
              </w:divBdr>
              <w:divsChild>
                <w:div w:id="17478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241292">
      <w:bodyDiv w:val="1"/>
      <w:marLeft w:val="0"/>
      <w:marRight w:val="0"/>
      <w:marTop w:val="0"/>
      <w:marBottom w:val="0"/>
      <w:divBdr>
        <w:top w:val="none" w:sz="0" w:space="0" w:color="auto"/>
        <w:left w:val="none" w:sz="0" w:space="0" w:color="auto"/>
        <w:bottom w:val="none" w:sz="0" w:space="0" w:color="auto"/>
        <w:right w:val="none" w:sz="0" w:space="0" w:color="auto"/>
      </w:divBdr>
    </w:div>
    <w:div w:id="290328022">
      <w:bodyDiv w:val="1"/>
      <w:marLeft w:val="0"/>
      <w:marRight w:val="0"/>
      <w:marTop w:val="0"/>
      <w:marBottom w:val="0"/>
      <w:divBdr>
        <w:top w:val="none" w:sz="0" w:space="0" w:color="auto"/>
        <w:left w:val="none" w:sz="0" w:space="0" w:color="auto"/>
        <w:bottom w:val="none" w:sz="0" w:space="0" w:color="auto"/>
        <w:right w:val="none" w:sz="0" w:space="0" w:color="auto"/>
      </w:divBdr>
    </w:div>
    <w:div w:id="290668513">
      <w:bodyDiv w:val="1"/>
      <w:marLeft w:val="0"/>
      <w:marRight w:val="0"/>
      <w:marTop w:val="0"/>
      <w:marBottom w:val="0"/>
      <w:divBdr>
        <w:top w:val="none" w:sz="0" w:space="0" w:color="auto"/>
        <w:left w:val="none" w:sz="0" w:space="0" w:color="auto"/>
        <w:bottom w:val="none" w:sz="0" w:space="0" w:color="auto"/>
        <w:right w:val="none" w:sz="0" w:space="0" w:color="auto"/>
      </w:divBdr>
      <w:divsChild>
        <w:div w:id="376197490">
          <w:marLeft w:val="0"/>
          <w:marRight w:val="0"/>
          <w:marTop w:val="0"/>
          <w:marBottom w:val="0"/>
          <w:divBdr>
            <w:top w:val="none" w:sz="0" w:space="0" w:color="auto"/>
            <w:left w:val="none" w:sz="0" w:space="0" w:color="auto"/>
            <w:bottom w:val="none" w:sz="0" w:space="0" w:color="auto"/>
            <w:right w:val="none" w:sz="0" w:space="0" w:color="auto"/>
          </w:divBdr>
          <w:divsChild>
            <w:div w:id="758873611">
              <w:marLeft w:val="0"/>
              <w:marRight w:val="0"/>
              <w:marTop w:val="0"/>
              <w:marBottom w:val="0"/>
              <w:divBdr>
                <w:top w:val="none" w:sz="0" w:space="0" w:color="auto"/>
                <w:left w:val="none" w:sz="0" w:space="0" w:color="auto"/>
                <w:bottom w:val="none" w:sz="0" w:space="0" w:color="auto"/>
                <w:right w:val="none" w:sz="0" w:space="0" w:color="auto"/>
              </w:divBdr>
              <w:divsChild>
                <w:div w:id="950743327">
                  <w:marLeft w:val="0"/>
                  <w:marRight w:val="0"/>
                  <w:marTop w:val="0"/>
                  <w:marBottom w:val="0"/>
                  <w:divBdr>
                    <w:top w:val="none" w:sz="0" w:space="0" w:color="auto"/>
                    <w:left w:val="none" w:sz="0" w:space="0" w:color="auto"/>
                    <w:bottom w:val="none" w:sz="0" w:space="0" w:color="auto"/>
                    <w:right w:val="none" w:sz="0" w:space="0" w:color="auto"/>
                  </w:divBdr>
                  <w:divsChild>
                    <w:div w:id="958995873">
                      <w:marLeft w:val="0"/>
                      <w:marRight w:val="0"/>
                      <w:marTop w:val="0"/>
                      <w:marBottom w:val="0"/>
                      <w:divBdr>
                        <w:top w:val="none" w:sz="0" w:space="0" w:color="auto"/>
                        <w:left w:val="none" w:sz="0" w:space="0" w:color="auto"/>
                        <w:bottom w:val="none" w:sz="0" w:space="0" w:color="auto"/>
                        <w:right w:val="none" w:sz="0" w:space="0" w:color="auto"/>
                      </w:divBdr>
                    </w:div>
                  </w:divsChild>
                </w:div>
                <w:div w:id="1590893801">
                  <w:marLeft w:val="0"/>
                  <w:marRight w:val="0"/>
                  <w:marTop w:val="0"/>
                  <w:marBottom w:val="0"/>
                  <w:divBdr>
                    <w:top w:val="none" w:sz="0" w:space="0" w:color="auto"/>
                    <w:left w:val="none" w:sz="0" w:space="0" w:color="auto"/>
                    <w:bottom w:val="none" w:sz="0" w:space="0" w:color="auto"/>
                    <w:right w:val="none" w:sz="0" w:space="0" w:color="auto"/>
                  </w:divBdr>
                  <w:divsChild>
                    <w:div w:id="2090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144805">
      <w:bodyDiv w:val="1"/>
      <w:marLeft w:val="0"/>
      <w:marRight w:val="0"/>
      <w:marTop w:val="0"/>
      <w:marBottom w:val="0"/>
      <w:divBdr>
        <w:top w:val="none" w:sz="0" w:space="0" w:color="auto"/>
        <w:left w:val="none" w:sz="0" w:space="0" w:color="auto"/>
        <w:bottom w:val="none" w:sz="0" w:space="0" w:color="auto"/>
        <w:right w:val="none" w:sz="0" w:space="0" w:color="auto"/>
      </w:divBdr>
    </w:div>
    <w:div w:id="304239698">
      <w:bodyDiv w:val="1"/>
      <w:marLeft w:val="0"/>
      <w:marRight w:val="0"/>
      <w:marTop w:val="0"/>
      <w:marBottom w:val="0"/>
      <w:divBdr>
        <w:top w:val="none" w:sz="0" w:space="0" w:color="auto"/>
        <w:left w:val="none" w:sz="0" w:space="0" w:color="auto"/>
        <w:bottom w:val="none" w:sz="0" w:space="0" w:color="auto"/>
        <w:right w:val="none" w:sz="0" w:space="0" w:color="auto"/>
      </w:divBdr>
      <w:divsChild>
        <w:div w:id="553590483">
          <w:marLeft w:val="0"/>
          <w:marRight w:val="0"/>
          <w:marTop w:val="0"/>
          <w:marBottom w:val="0"/>
          <w:divBdr>
            <w:top w:val="none" w:sz="0" w:space="0" w:color="auto"/>
            <w:left w:val="none" w:sz="0" w:space="0" w:color="auto"/>
            <w:bottom w:val="none" w:sz="0" w:space="0" w:color="auto"/>
            <w:right w:val="none" w:sz="0" w:space="0" w:color="auto"/>
          </w:divBdr>
          <w:divsChild>
            <w:div w:id="837306324">
              <w:marLeft w:val="0"/>
              <w:marRight w:val="0"/>
              <w:marTop w:val="0"/>
              <w:marBottom w:val="0"/>
              <w:divBdr>
                <w:top w:val="none" w:sz="0" w:space="0" w:color="auto"/>
                <w:left w:val="none" w:sz="0" w:space="0" w:color="auto"/>
                <w:bottom w:val="none" w:sz="0" w:space="0" w:color="auto"/>
                <w:right w:val="none" w:sz="0" w:space="0" w:color="auto"/>
              </w:divBdr>
              <w:divsChild>
                <w:div w:id="750590128">
                  <w:marLeft w:val="0"/>
                  <w:marRight w:val="0"/>
                  <w:marTop w:val="0"/>
                  <w:marBottom w:val="0"/>
                  <w:divBdr>
                    <w:top w:val="none" w:sz="0" w:space="0" w:color="auto"/>
                    <w:left w:val="none" w:sz="0" w:space="0" w:color="auto"/>
                    <w:bottom w:val="none" w:sz="0" w:space="0" w:color="auto"/>
                    <w:right w:val="none" w:sz="0" w:space="0" w:color="auto"/>
                  </w:divBdr>
                </w:div>
              </w:divsChild>
            </w:div>
            <w:div w:id="944848984">
              <w:marLeft w:val="0"/>
              <w:marRight w:val="0"/>
              <w:marTop w:val="0"/>
              <w:marBottom w:val="0"/>
              <w:divBdr>
                <w:top w:val="none" w:sz="0" w:space="0" w:color="auto"/>
                <w:left w:val="none" w:sz="0" w:space="0" w:color="auto"/>
                <w:bottom w:val="none" w:sz="0" w:space="0" w:color="auto"/>
                <w:right w:val="none" w:sz="0" w:space="0" w:color="auto"/>
              </w:divBdr>
              <w:divsChild>
                <w:div w:id="1875001253">
                  <w:marLeft w:val="0"/>
                  <w:marRight w:val="0"/>
                  <w:marTop w:val="0"/>
                  <w:marBottom w:val="0"/>
                  <w:divBdr>
                    <w:top w:val="none" w:sz="0" w:space="0" w:color="auto"/>
                    <w:left w:val="none" w:sz="0" w:space="0" w:color="auto"/>
                    <w:bottom w:val="none" w:sz="0" w:space="0" w:color="auto"/>
                    <w:right w:val="none" w:sz="0" w:space="0" w:color="auto"/>
                  </w:divBdr>
                </w:div>
              </w:divsChild>
            </w:div>
            <w:div w:id="1209342719">
              <w:marLeft w:val="0"/>
              <w:marRight w:val="0"/>
              <w:marTop w:val="0"/>
              <w:marBottom w:val="0"/>
              <w:divBdr>
                <w:top w:val="none" w:sz="0" w:space="0" w:color="auto"/>
                <w:left w:val="none" w:sz="0" w:space="0" w:color="auto"/>
                <w:bottom w:val="none" w:sz="0" w:space="0" w:color="auto"/>
                <w:right w:val="none" w:sz="0" w:space="0" w:color="auto"/>
              </w:divBdr>
              <w:divsChild>
                <w:div w:id="2113545187">
                  <w:marLeft w:val="0"/>
                  <w:marRight w:val="0"/>
                  <w:marTop w:val="0"/>
                  <w:marBottom w:val="0"/>
                  <w:divBdr>
                    <w:top w:val="none" w:sz="0" w:space="0" w:color="auto"/>
                    <w:left w:val="none" w:sz="0" w:space="0" w:color="auto"/>
                    <w:bottom w:val="none" w:sz="0" w:space="0" w:color="auto"/>
                    <w:right w:val="none" w:sz="0" w:space="0" w:color="auto"/>
                  </w:divBdr>
                </w:div>
              </w:divsChild>
            </w:div>
            <w:div w:id="1435902538">
              <w:marLeft w:val="0"/>
              <w:marRight w:val="0"/>
              <w:marTop w:val="0"/>
              <w:marBottom w:val="0"/>
              <w:divBdr>
                <w:top w:val="none" w:sz="0" w:space="0" w:color="auto"/>
                <w:left w:val="none" w:sz="0" w:space="0" w:color="auto"/>
                <w:bottom w:val="none" w:sz="0" w:space="0" w:color="auto"/>
                <w:right w:val="none" w:sz="0" w:space="0" w:color="auto"/>
              </w:divBdr>
              <w:divsChild>
                <w:div w:id="1687055867">
                  <w:marLeft w:val="0"/>
                  <w:marRight w:val="0"/>
                  <w:marTop w:val="0"/>
                  <w:marBottom w:val="0"/>
                  <w:divBdr>
                    <w:top w:val="none" w:sz="0" w:space="0" w:color="auto"/>
                    <w:left w:val="none" w:sz="0" w:space="0" w:color="auto"/>
                    <w:bottom w:val="none" w:sz="0" w:space="0" w:color="auto"/>
                    <w:right w:val="none" w:sz="0" w:space="0" w:color="auto"/>
                  </w:divBdr>
                </w:div>
              </w:divsChild>
            </w:div>
            <w:div w:id="1747453019">
              <w:marLeft w:val="0"/>
              <w:marRight w:val="0"/>
              <w:marTop w:val="0"/>
              <w:marBottom w:val="0"/>
              <w:divBdr>
                <w:top w:val="none" w:sz="0" w:space="0" w:color="auto"/>
                <w:left w:val="none" w:sz="0" w:space="0" w:color="auto"/>
                <w:bottom w:val="none" w:sz="0" w:space="0" w:color="auto"/>
                <w:right w:val="none" w:sz="0" w:space="0" w:color="auto"/>
              </w:divBdr>
              <w:divsChild>
                <w:div w:id="789857317">
                  <w:marLeft w:val="0"/>
                  <w:marRight w:val="0"/>
                  <w:marTop w:val="0"/>
                  <w:marBottom w:val="0"/>
                  <w:divBdr>
                    <w:top w:val="none" w:sz="0" w:space="0" w:color="auto"/>
                    <w:left w:val="none" w:sz="0" w:space="0" w:color="auto"/>
                    <w:bottom w:val="none" w:sz="0" w:space="0" w:color="auto"/>
                    <w:right w:val="none" w:sz="0" w:space="0" w:color="auto"/>
                  </w:divBdr>
                </w:div>
              </w:divsChild>
            </w:div>
            <w:div w:id="2034842100">
              <w:marLeft w:val="0"/>
              <w:marRight w:val="0"/>
              <w:marTop w:val="0"/>
              <w:marBottom w:val="0"/>
              <w:divBdr>
                <w:top w:val="none" w:sz="0" w:space="0" w:color="auto"/>
                <w:left w:val="none" w:sz="0" w:space="0" w:color="auto"/>
                <w:bottom w:val="none" w:sz="0" w:space="0" w:color="auto"/>
                <w:right w:val="none" w:sz="0" w:space="0" w:color="auto"/>
              </w:divBdr>
              <w:divsChild>
                <w:div w:id="368840855">
                  <w:marLeft w:val="0"/>
                  <w:marRight w:val="0"/>
                  <w:marTop w:val="0"/>
                  <w:marBottom w:val="0"/>
                  <w:divBdr>
                    <w:top w:val="none" w:sz="0" w:space="0" w:color="auto"/>
                    <w:left w:val="none" w:sz="0" w:space="0" w:color="auto"/>
                    <w:bottom w:val="none" w:sz="0" w:space="0" w:color="auto"/>
                    <w:right w:val="none" w:sz="0" w:space="0" w:color="auto"/>
                  </w:divBdr>
                </w:div>
              </w:divsChild>
            </w:div>
            <w:div w:id="2086684546">
              <w:marLeft w:val="0"/>
              <w:marRight w:val="0"/>
              <w:marTop w:val="0"/>
              <w:marBottom w:val="0"/>
              <w:divBdr>
                <w:top w:val="none" w:sz="0" w:space="0" w:color="auto"/>
                <w:left w:val="none" w:sz="0" w:space="0" w:color="auto"/>
                <w:bottom w:val="none" w:sz="0" w:space="0" w:color="auto"/>
                <w:right w:val="none" w:sz="0" w:space="0" w:color="auto"/>
              </w:divBdr>
              <w:divsChild>
                <w:div w:id="10291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00772">
      <w:bodyDiv w:val="1"/>
      <w:marLeft w:val="0"/>
      <w:marRight w:val="0"/>
      <w:marTop w:val="0"/>
      <w:marBottom w:val="0"/>
      <w:divBdr>
        <w:top w:val="none" w:sz="0" w:space="0" w:color="auto"/>
        <w:left w:val="none" w:sz="0" w:space="0" w:color="auto"/>
        <w:bottom w:val="none" w:sz="0" w:space="0" w:color="auto"/>
        <w:right w:val="none" w:sz="0" w:space="0" w:color="auto"/>
      </w:divBdr>
      <w:divsChild>
        <w:div w:id="1581478860">
          <w:marLeft w:val="0"/>
          <w:marRight w:val="0"/>
          <w:marTop w:val="0"/>
          <w:marBottom w:val="0"/>
          <w:divBdr>
            <w:top w:val="none" w:sz="0" w:space="0" w:color="auto"/>
            <w:left w:val="none" w:sz="0" w:space="0" w:color="auto"/>
            <w:bottom w:val="none" w:sz="0" w:space="0" w:color="auto"/>
            <w:right w:val="none" w:sz="0" w:space="0" w:color="auto"/>
          </w:divBdr>
          <w:divsChild>
            <w:div w:id="647898901">
              <w:marLeft w:val="0"/>
              <w:marRight w:val="0"/>
              <w:marTop w:val="0"/>
              <w:marBottom w:val="0"/>
              <w:divBdr>
                <w:top w:val="none" w:sz="0" w:space="0" w:color="auto"/>
                <w:left w:val="none" w:sz="0" w:space="0" w:color="auto"/>
                <w:bottom w:val="none" w:sz="0" w:space="0" w:color="auto"/>
                <w:right w:val="none" w:sz="0" w:space="0" w:color="auto"/>
              </w:divBdr>
              <w:divsChild>
                <w:div w:id="1929073724">
                  <w:marLeft w:val="0"/>
                  <w:marRight w:val="0"/>
                  <w:marTop w:val="0"/>
                  <w:marBottom w:val="0"/>
                  <w:divBdr>
                    <w:top w:val="none" w:sz="0" w:space="0" w:color="auto"/>
                    <w:left w:val="none" w:sz="0" w:space="0" w:color="auto"/>
                    <w:bottom w:val="none" w:sz="0" w:space="0" w:color="auto"/>
                    <w:right w:val="none" w:sz="0" w:space="0" w:color="auto"/>
                  </w:divBdr>
                  <w:divsChild>
                    <w:div w:id="13622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59930">
      <w:bodyDiv w:val="1"/>
      <w:marLeft w:val="0"/>
      <w:marRight w:val="0"/>
      <w:marTop w:val="0"/>
      <w:marBottom w:val="0"/>
      <w:divBdr>
        <w:top w:val="none" w:sz="0" w:space="0" w:color="auto"/>
        <w:left w:val="none" w:sz="0" w:space="0" w:color="auto"/>
        <w:bottom w:val="none" w:sz="0" w:space="0" w:color="auto"/>
        <w:right w:val="none" w:sz="0" w:space="0" w:color="auto"/>
      </w:divBdr>
    </w:div>
    <w:div w:id="360670446">
      <w:bodyDiv w:val="1"/>
      <w:marLeft w:val="0"/>
      <w:marRight w:val="0"/>
      <w:marTop w:val="0"/>
      <w:marBottom w:val="0"/>
      <w:divBdr>
        <w:top w:val="none" w:sz="0" w:space="0" w:color="auto"/>
        <w:left w:val="none" w:sz="0" w:space="0" w:color="auto"/>
        <w:bottom w:val="none" w:sz="0" w:space="0" w:color="auto"/>
        <w:right w:val="none" w:sz="0" w:space="0" w:color="auto"/>
      </w:divBdr>
    </w:div>
    <w:div w:id="375618025">
      <w:bodyDiv w:val="1"/>
      <w:marLeft w:val="0"/>
      <w:marRight w:val="0"/>
      <w:marTop w:val="0"/>
      <w:marBottom w:val="0"/>
      <w:divBdr>
        <w:top w:val="none" w:sz="0" w:space="0" w:color="auto"/>
        <w:left w:val="none" w:sz="0" w:space="0" w:color="auto"/>
        <w:bottom w:val="none" w:sz="0" w:space="0" w:color="auto"/>
        <w:right w:val="none" w:sz="0" w:space="0" w:color="auto"/>
      </w:divBdr>
    </w:div>
    <w:div w:id="395202964">
      <w:bodyDiv w:val="1"/>
      <w:marLeft w:val="0"/>
      <w:marRight w:val="0"/>
      <w:marTop w:val="0"/>
      <w:marBottom w:val="0"/>
      <w:divBdr>
        <w:top w:val="none" w:sz="0" w:space="0" w:color="auto"/>
        <w:left w:val="none" w:sz="0" w:space="0" w:color="auto"/>
        <w:bottom w:val="none" w:sz="0" w:space="0" w:color="auto"/>
        <w:right w:val="none" w:sz="0" w:space="0" w:color="auto"/>
      </w:divBdr>
    </w:div>
    <w:div w:id="395709188">
      <w:bodyDiv w:val="1"/>
      <w:marLeft w:val="0"/>
      <w:marRight w:val="0"/>
      <w:marTop w:val="0"/>
      <w:marBottom w:val="0"/>
      <w:divBdr>
        <w:top w:val="none" w:sz="0" w:space="0" w:color="auto"/>
        <w:left w:val="none" w:sz="0" w:space="0" w:color="auto"/>
        <w:bottom w:val="none" w:sz="0" w:space="0" w:color="auto"/>
        <w:right w:val="none" w:sz="0" w:space="0" w:color="auto"/>
      </w:divBdr>
    </w:div>
    <w:div w:id="399062587">
      <w:bodyDiv w:val="1"/>
      <w:marLeft w:val="0"/>
      <w:marRight w:val="0"/>
      <w:marTop w:val="0"/>
      <w:marBottom w:val="0"/>
      <w:divBdr>
        <w:top w:val="none" w:sz="0" w:space="0" w:color="auto"/>
        <w:left w:val="none" w:sz="0" w:space="0" w:color="auto"/>
        <w:bottom w:val="none" w:sz="0" w:space="0" w:color="auto"/>
        <w:right w:val="none" w:sz="0" w:space="0" w:color="auto"/>
      </w:divBdr>
    </w:div>
    <w:div w:id="409739739">
      <w:bodyDiv w:val="1"/>
      <w:marLeft w:val="0"/>
      <w:marRight w:val="0"/>
      <w:marTop w:val="0"/>
      <w:marBottom w:val="0"/>
      <w:divBdr>
        <w:top w:val="none" w:sz="0" w:space="0" w:color="auto"/>
        <w:left w:val="none" w:sz="0" w:space="0" w:color="auto"/>
        <w:bottom w:val="none" w:sz="0" w:space="0" w:color="auto"/>
        <w:right w:val="none" w:sz="0" w:space="0" w:color="auto"/>
      </w:divBdr>
    </w:div>
    <w:div w:id="410077710">
      <w:bodyDiv w:val="1"/>
      <w:marLeft w:val="0"/>
      <w:marRight w:val="0"/>
      <w:marTop w:val="0"/>
      <w:marBottom w:val="0"/>
      <w:divBdr>
        <w:top w:val="none" w:sz="0" w:space="0" w:color="auto"/>
        <w:left w:val="none" w:sz="0" w:space="0" w:color="auto"/>
        <w:bottom w:val="none" w:sz="0" w:space="0" w:color="auto"/>
        <w:right w:val="none" w:sz="0" w:space="0" w:color="auto"/>
      </w:divBdr>
    </w:div>
    <w:div w:id="416364725">
      <w:bodyDiv w:val="1"/>
      <w:marLeft w:val="0"/>
      <w:marRight w:val="0"/>
      <w:marTop w:val="0"/>
      <w:marBottom w:val="0"/>
      <w:divBdr>
        <w:top w:val="none" w:sz="0" w:space="0" w:color="auto"/>
        <w:left w:val="none" w:sz="0" w:space="0" w:color="auto"/>
        <w:bottom w:val="none" w:sz="0" w:space="0" w:color="auto"/>
        <w:right w:val="none" w:sz="0" w:space="0" w:color="auto"/>
      </w:divBdr>
    </w:div>
    <w:div w:id="461774390">
      <w:bodyDiv w:val="1"/>
      <w:marLeft w:val="0"/>
      <w:marRight w:val="0"/>
      <w:marTop w:val="0"/>
      <w:marBottom w:val="0"/>
      <w:divBdr>
        <w:top w:val="none" w:sz="0" w:space="0" w:color="auto"/>
        <w:left w:val="none" w:sz="0" w:space="0" w:color="auto"/>
        <w:bottom w:val="none" w:sz="0" w:space="0" w:color="auto"/>
        <w:right w:val="none" w:sz="0" w:space="0" w:color="auto"/>
      </w:divBdr>
    </w:div>
    <w:div w:id="462424916">
      <w:bodyDiv w:val="1"/>
      <w:marLeft w:val="0"/>
      <w:marRight w:val="0"/>
      <w:marTop w:val="0"/>
      <w:marBottom w:val="0"/>
      <w:divBdr>
        <w:top w:val="none" w:sz="0" w:space="0" w:color="auto"/>
        <w:left w:val="none" w:sz="0" w:space="0" w:color="auto"/>
        <w:bottom w:val="none" w:sz="0" w:space="0" w:color="auto"/>
        <w:right w:val="none" w:sz="0" w:space="0" w:color="auto"/>
      </w:divBdr>
      <w:divsChild>
        <w:div w:id="1657612935">
          <w:marLeft w:val="0"/>
          <w:marRight w:val="0"/>
          <w:marTop w:val="0"/>
          <w:marBottom w:val="0"/>
          <w:divBdr>
            <w:top w:val="none" w:sz="0" w:space="0" w:color="auto"/>
            <w:left w:val="none" w:sz="0" w:space="0" w:color="auto"/>
            <w:bottom w:val="none" w:sz="0" w:space="0" w:color="auto"/>
            <w:right w:val="none" w:sz="0" w:space="0" w:color="auto"/>
          </w:divBdr>
          <w:divsChild>
            <w:div w:id="1329403351">
              <w:marLeft w:val="0"/>
              <w:marRight w:val="0"/>
              <w:marTop w:val="0"/>
              <w:marBottom w:val="0"/>
              <w:divBdr>
                <w:top w:val="none" w:sz="0" w:space="0" w:color="auto"/>
                <w:left w:val="none" w:sz="0" w:space="0" w:color="auto"/>
                <w:bottom w:val="none" w:sz="0" w:space="0" w:color="auto"/>
                <w:right w:val="none" w:sz="0" w:space="0" w:color="auto"/>
              </w:divBdr>
              <w:divsChild>
                <w:div w:id="1558971344">
                  <w:marLeft w:val="0"/>
                  <w:marRight w:val="0"/>
                  <w:marTop w:val="0"/>
                  <w:marBottom w:val="0"/>
                  <w:divBdr>
                    <w:top w:val="none" w:sz="0" w:space="0" w:color="auto"/>
                    <w:left w:val="none" w:sz="0" w:space="0" w:color="auto"/>
                    <w:bottom w:val="none" w:sz="0" w:space="0" w:color="auto"/>
                    <w:right w:val="none" w:sz="0" w:space="0" w:color="auto"/>
                  </w:divBdr>
                  <w:divsChild>
                    <w:div w:id="13402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274554">
      <w:bodyDiv w:val="1"/>
      <w:marLeft w:val="0"/>
      <w:marRight w:val="0"/>
      <w:marTop w:val="0"/>
      <w:marBottom w:val="0"/>
      <w:divBdr>
        <w:top w:val="none" w:sz="0" w:space="0" w:color="auto"/>
        <w:left w:val="none" w:sz="0" w:space="0" w:color="auto"/>
        <w:bottom w:val="none" w:sz="0" w:space="0" w:color="auto"/>
        <w:right w:val="none" w:sz="0" w:space="0" w:color="auto"/>
      </w:divBdr>
    </w:div>
    <w:div w:id="484278268">
      <w:bodyDiv w:val="1"/>
      <w:marLeft w:val="0"/>
      <w:marRight w:val="0"/>
      <w:marTop w:val="0"/>
      <w:marBottom w:val="0"/>
      <w:divBdr>
        <w:top w:val="none" w:sz="0" w:space="0" w:color="auto"/>
        <w:left w:val="none" w:sz="0" w:space="0" w:color="auto"/>
        <w:bottom w:val="none" w:sz="0" w:space="0" w:color="auto"/>
        <w:right w:val="none" w:sz="0" w:space="0" w:color="auto"/>
      </w:divBdr>
      <w:divsChild>
        <w:div w:id="738672885">
          <w:marLeft w:val="0"/>
          <w:marRight w:val="0"/>
          <w:marTop w:val="0"/>
          <w:marBottom w:val="0"/>
          <w:divBdr>
            <w:top w:val="none" w:sz="0" w:space="0" w:color="auto"/>
            <w:left w:val="none" w:sz="0" w:space="0" w:color="auto"/>
            <w:bottom w:val="none" w:sz="0" w:space="0" w:color="auto"/>
            <w:right w:val="none" w:sz="0" w:space="0" w:color="auto"/>
          </w:divBdr>
          <w:divsChild>
            <w:div w:id="1474640170">
              <w:marLeft w:val="0"/>
              <w:marRight w:val="0"/>
              <w:marTop w:val="0"/>
              <w:marBottom w:val="0"/>
              <w:divBdr>
                <w:top w:val="none" w:sz="0" w:space="0" w:color="auto"/>
                <w:left w:val="none" w:sz="0" w:space="0" w:color="auto"/>
                <w:bottom w:val="none" w:sz="0" w:space="0" w:color="auto"/>
                <w:right w:val="none" w:sz="0" w:space="0" w:color="auto"/>
              </w:divBdr>
              <w:divsChild>
                <w:div w:id="1203784168">
                  <w:marLeft w:val="0"/>
                  <w:marRight w:val="0"/>
                  <w:marTop w:val="0"/>
                  <w:marBottom w:val="0"/>
                  <w:divBdr>
                    <w:top w:val="none" w:sz="0" w:space="0" w:color="auto"/>
                    <w:left w:val="none" w:sz="0" w:space="0" w:color="auto"/>
                    <w:bottom w:val="none" w:sz="0" w:space="0" w:color="auto"/>
                    <w:right w:val="none" w:sz="0" w:space="0" w:color="auto"/>
                  </w:divBdr>
                  <w:divsChild>
                    <w:div w:id="18696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95994">
      <w:bodyDiv w:val="1"/>
      <w:marLeft w:val="0"/>
      <w:marRight w:val="0"/>
      <w:marTop w:val="0"/>
      <w:marBottom w:val="0"/>
      <w:divBdr>
        <w:top w:val="none" w:sz="0" w:space="0" w:color="auto"/>
        <w:left w:val="none" w:sz="0" w:space="0" w:color="auto"/>
        <w:bottom w:val="none" w:sz="0" w:space="0" w:color="auto"/>
        <w:right w:val="none" w:sz="0" w:space="0" w:color="auto"/>
      </w:divBdr>
    </w:div>
    <w:div w:id="500240468">
      <w:bodyDiv w:val="1"/>
      <w:marLeft w:val="0"/>
      <w:marRight w:val="0"/>
      <w:marTop w:val="0"/>
      <w:marBottom w:val="0"/>
      <w:divBdr>
        <w:top w:val="none" w:sz="0" w:space="0" w:color="auto"/>
        <w:left w:val="none" w:sz="0" w:space="0" w:color="auto"/>
        <w:bottom w:val="none" w:sz="0" w:space="0" w:color="auto"/>
        <w:right w:val="none" w:sz="0" w:space="0" w:color="auto"/>
      </w:divBdr>
    </w:div>
    <w:div w:id="504830875">
      <w:bodyDiv w:val="1"/>
      <w:marLeft w:val="0"/>
      <w:marRight w:val="0"/>
      <w:marTop w:val="0"/>
      <w:marBottom w:val="0"/>
      <w:divBdr>
        <w:top w:val="none" w:sz="0" w:space="0" w:color="auto"/>
        <w:left w:val="none" w:sz="0" w:space="0" w:color="auto"/>
        <w:bottom w:val="none" w:sz="0" w:space="0" w:color="auto"/>
        <w:right w:val="none" w:sz="0" w:space="0" w:color="auto"/>
      </w:divBdr>
    </w:div>
    <w:div w:id="506871924">
      <w:bodyDiv w:val="1"/>
      <w:marLeft w:val="0"/>
      <w:marRight w:val="0"/>
      <w:marTop w:val="0"/>
      <w:marBottom w:val="0"/>
      <w:divBdr>
        <w:top w:val="none" w:sz="0" w:space="0" w:color="auto"/>
        <w:left w:val="none" w:sz="0" w:space="0" w:color="auto"/>
        <w:bottom w:val="none" w:sz="0" w:space="0" w:color="auto"/>
        <w:right w:val="none" w:sz="0" w:space="0" w:color="auto"/>
      </w:divBdr>
    </w:div>
    <w:div w:id="509174313">
      <w:bodyDiv w:val="1"/>
      <w:marLeft w:val="0"/>
      <w:marRight w:val="0"/>
      <w:marTop w:val="0"/>
      <w:marBottom w:val="0"/>
      <w:divBdr>
        <w:top w:val="none" w:sz="0" w:space="0" w:color="auto"/>
        <w:left w:val="none" w:sz="0" w:space="0" w:color="auto"/>
        <w:bottom w:val="none" w:sz="0" w:space="0" w:color="auto"/>
        <w:right w:val="none" w:sz="0" w:space="0" w:color="auto"/>
      </w:divBdr>
      <w:divsChild>
        <w:div w:id="269050115">
          <w:marLeft w:val="1800"/>
          <w:marRight w:val="0"/>
          <w:marTop w:val="100"/>
          <w:marBottom w:val="120"/>
          <w:divBdr>
            <w:top w:val="none" w:sz="0" w:space="0" w:color="auto"/>
            <w:left w:val="none" w:sz="0" w:space="0" w:color="auto"/>
            <w:bottom w:val="none" w:sz="0" w:space="0" w:color="auto"/>
            <w:right w:val="none" w:sz="0" w:space="0" w:color="auto"/>
          </w:divBdr>
        </w:div>
        <w:div w:id="362678189">
          <w:marLeft w:val="1080"/>
          <w:marRight w:val="0"/>
          <w:marTop w:val="100"/>
          <w:marBottom w:val="120"/>
          <w:divBdr>
            <w:top w:val="none" w:sz="0" w:space="0" w:color="auto"/>
            <w:left w:val="none" w:sz="0" w:space="0" w:color="auto"/>
            <w:bottom w:val="none" w:sz="0" w:space="0" w:color="auto"/>
            <w:right w:val="none" w:sz="0" w:space="0" w:color="auto"/>
          </w:divBdr>
        </w:div>
        <w:div w:id="670064239">
          <w:marLeft w:val="1800"/>
          <w:marRight w:val="0"/>
          <w:marTop w:val="100"/>
          <w:marBottom w:val="120"/>
          <w:divBdr>
            <w:top w:val="none" w:sz="0" w:space="0" w:color="auto"/>
            <w:left w:val="none" w:sz="0" w:space="0" w:color="auto"/>
            <w:bottom w:val="none" w:sz="0" w:space="0" w:color="auto"/>
            <w:right w:val="none" w:sz="0" w:space="0" w:color="auto"/>
          </w:divBdr>
        </w:div>
        <w:div w:id="782841712">
          <w:marLeft w:val="1800"/>
          <w:marRight w:val="0"/>
          <w:marTop w:val="100"/>
          <w:marBottom w:val="120"/>
          <w:divBdr>
            <w:top w:val="none" w:sz="0" w:space="0" w:color="auto"/>
            <w:left w:val="none" w:sz="0" w:space="0" w:color="auto"/>
            <w:bottom w:val="none" w:sz="0" w:space="0" w:color="auto"/>
            <w:right w:val="none" w:sz="0" w:space="0" w:color="auto"/>
          </w:divBdr>
        </w:div>
        <w:div w:id="1114862044">
          <w:marLeft w:val="360"/>
          <w:marRight w:val="0"/>
          <w:marTop w:val="200"/>
          <w:marBottom w:val="120"/>
          <w:divBdr>
            <w:top w:val="none" w:sz="0" w:space="0" w:color="auto"/>
            <w:left w:val="none" w:sz="0" w:space="0" w:color="auto"/>
            <w:bottom w:val="none" w:sz="0" w:space="0" w:color="auto"/>
            <w:right w:val="none" w:sz="0" w:space="0" w:color="auto"/>
          </w:divBdr>
        </w:div>
        <w:div w:id="1254778154">
          <w:marLeft w:val="1800"/>
          <w:marRight w:val="0"/>
          <w:marTop w:val="100"/>
          <w:marBottom w:val="120"/>
          <w:divBdr>
            <w:top w:val="none" w:sz="0" w:space="0" w:color="auto"/>
            <w:left w:val="none" w:sz="0" w:space="0" w:color="auto"/>
            <w:bottom w:val="none" w:sz="0" w:space="0" w:color="auto"/>
            <w:right w:val="none" w:sz="0" w:space="0" w:color="auto"/>
          </w:divBdr>
        </w:div>
        <w:div w:id="1307970602">
          <w:marLeft w:val="1080"/>
          <w:marRight w:val="0"/>
          <w:marTop w:val="100"/>
          <w:marBottom w:val="120"/>
          <w:divBdr>
            <w:top w:val="none" w:sz="0" w:space="0" w:color="auto"/>
            <w:left w:val="none" w:sz="0" w:space="0" w:color="auto"/>
            <w:bottom w:val="none" w:sz="0" w:space="0" w:color="auto"/>
            <w:right w:val="none" w:sz="0" w:space="0" w:color="auto"/>
          </w:divBdr>
        </w:div>
        <w:div w:id="1571574068">
          <w:marLeft w:val="1080"/>
          <w:marRight w:val="0"/>
          <w:marTop w:val="100"/>
          <w:marBottom w:val="120"/>
          <w:divBdr>
            <w:top w:val="none" w:sz="0" w:space="0" w:color="auto"/>
            <w:left w:val="none" w:sz="0" w:space="0" w:color="auto"/>
            <w:bottom w:val="none" w:sz="0" w:space="0" w:color="auto"/>
            <w:right w:val="none" w:sz="0" w:space="0" w:color="auto"/>
          </w:divBdr>
        </w:div>
        <w:div w:id="1654984586">
          <w:marLeft w:val="1080"/>
          <w:marRight w:val="0"/>
          <w:marTop w:val="100"/>
          <w:marBottom w:val="120"/>
          <w:divBdr>
            <w:top w:val="none" w:sz="0" w:space="0" w:color="auto"/>
            <w:left w:val="none" w:sz="0" w:space="0" w:color="auto"/>
            <w:bottom w:val="none" w:sz="0" w:space="0" w:color="auto"/>
            <w:right w:val="none" w:sz="0" w:space="0" w:color="auto"/>
          </w:divBdr>
        </w:div>
        <w:div w:id="1892495798">
          <w:marLeft w:val="1800"/>
          <w:marRight w:val="0"/>
          <w:marTop w:val="100"/>
          <w:marBottom w:val="120"/>
          <w:divBdr>
            <w:top w:val="none" w:sz="0" w:space="0" w:color="auto"/>
            <w:left w:val="none" w:sz="0" w:space="0" w:color="auto"/>
            <w:bottom w:val="none" w:sz="0" w:space="0" w:color="auto"/>
            <w:right w:val="none" w:sz="0" w:space="0" w:color="auto"/>
          </w:divBdr>
        </w:div>
        <w:div w:id="1949924543">
          <w:marLeft w:val="1800"/>
          <w:marRight w:val="0"/>
          <w:marTop w:val="100"/>
          <w:marBottom w:val="120"/>
          <w:divBdr>
            <w:top w:val="none" w:sz="0" w:space="0" w:color="auto"/>
            <w:left w:val="none" w:sz="0" w:space="0" w:color="auto"/>
            <w:bottom w:val="none" w:sz="0" w:space="0" w:color="auto"/>
            <w:right w:val="none" w:sz="0" w:space="0" w:color="auto"/>
          </w:divBdr>
        </w:div>
      </w:divsChild>
    </w:div>
    <w:div w:id="511577130">
      <w:bodyDiv w:val="1"/>
      <w:marLeft w:val="0"/>
      <w:marRight w:val="0"/>
      <w:marTop w:val="0"/>
      <w:marBottom w:val="0"/>
      <w:divBdr>
        <w:top w:val="none" w:sz="0" w:space="0" w:color="auto"/>
        <w:left w:val="none" w:sz="0" w:space="0" w:color="auto"/>
        <w:bottom w:val="none" w:sz="0" w:space="0" w:color="auto"/>
        <w:right w:val="none" w:sz="0" w:space="0" w:color="auto"/>
      </w:divBdr>
    </w:div>
    <w:div w:id="532378381">
      <w:bodyDiv w:val="1"/>
      <w:marLeft w:val="0"/>
      <w:marRight w:val="0"/>
      <w:marTop w:val="0"/>
      <w:marBottom w:val="0"/>
      <w:divBdr>
        <w:top w:val="none" w:sz="0" w:space="0" w:color="auto"/>
        <w:left w:val="none" w:sz="0" w:space="0" w:color="auto"/>
        <w:bottom w:val="none" w:sz="0" w:space="0" w:color="auto"/>
        <w:right w:val="none" w:sz="0" w:space="0" w:color="auto"/>
      </w:divBdr>
    </w:div>
    <w:div w:id="540285887">
      <w:bodyDiv w:val="1"/>
      <w:marLeft w:val="0"/>
      <w:marRight w:val="0"/>
      <w:marTop w:val="0"/>
      <w:marBottom w:val="0"/>
      <w:divBdr>
        <w:top w:val="none" w:sz="0" w:space="0" w:color="auto"/>
        <w:left w:val="none" w:sz="0" w:space="0" w:color="auto"/>
        <w:bottom w:val="none" w:sz="0" w:space="0" w:color="auto"/>
        <w:right w:val="none" w:sz="0" w:space="0" w:color="auto"/>
      </w:divBdr>
    </w:div>
    <w:div w:id="545993165">
      <w:bodyDiv w:val="1"/>
      <w:marLeft w:val="0"/>
      <w:marRight w:val="0"/>
      <w:marTop w:val="0"/>
      <w:marBottom w:val="0"/>
      <w:divBdr>
        <w:top w:val="none" w:sz="0" w:space="0" w:color="auto"/>
        <w:left w:val="none" w:sz="0" w:space="0" w:color="auto"/>
        <w:bottom w:val="none" w:sz="0" w:space="0" w:color="auto"/>
        <w:right w:val="none" w:sz="0" w:space="0" w:color="auto"/>
      </w:divBdr>
      <w:divsChild>
        <w:div w:id="1185048497">
          <w:marLeft w:val="0"/>
          <w:marRight w:val="0"/>
          <w:marTop w:val="0"/>
          <w:marBottom w:val="0"/>
          <w:divBdr>
            <w:top w:val="none" w:sz="0" w:space="0" w:color="auto"/>
            <w:left w:val="none" w:sz="0" w:space="0" w:color="auto"/>
            <w:bottom w:val="none" w:sz="0" w:space="0" w:color="auto"/>
            <w:right w:val="none" w:sz="0" w:space="0" w:color="auto"/>
          </w:divBdr>
          <w:divsChild>
            <w:div w:id="1028875369">
              <w:marLeft w:val="0"/>
              <w:marRight w:val="0"/>
              <w:marTop w:val="0"/>
              <w:marBottom w:val="0"/>
              <w:divBdr>
                <w:top w:val="none" w:sz="0" w:space="0" w:color="auto"/>
                <w:left w:val="none" w:sz="0" w:space="0" w:color="auto"/>
                <w:bottom w:val="none" w:sz="0" w:space="0" w:color="auto"/>
                <w:right w:val="none" w:sz="0" w:space="0" w:color="auto"/>
              </w:divBdr>
              <w:divsChild>
                <w:div w:id="868109589">
                  <w:marLeft w:val="0"/>
                  <w:marRight w:val="0"/>
                  <w:marTop w:val="0"/>
                  <w:marBottom w:val="0"/>
                  <w:divBdr>
                    <w:top w:val="none" w:sz="0" w:space="0" w:color="auto"/>
                    <w:left w:val="none" w:sz="0" w:space="0" w:color="auto"/>
                    <w:bottom w:val="none" w:sz="0" w:space="0" w:color="auto"/>
                    <w:right w:val="none" w:sz="0" w:space="0" w:color="auto"/>
                  </w:divBdr>
                  <w:divsChild>
                    <w:div w:id="2323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43618">
      <w:bodyDiv w:val="1"/>
      <w:marLeft w:val="0"/>
      <w:marRight w:val="0"/>
      <w:marTop w:val="0"/>
      <w:marBottom w:val="0"/>
      <w:divBdr>
        <w:top w:val="none" w:sz="0" w:space="0" w:color="auto"/>
        <w:left w:val="none" w:sz="0" w:space="0" w:color="auto"/>
        <w:bottom w:val="none" w:sz="0" w:space="0" w:color="auto"/>
        <w:right w:val="none" w:sz="0" w:space="0" w:color="auto"/>
      </w:divBdr>
    </w:div>
    <w:div w:id="559442498">
      <w:bodyDiv w:val="1"/>
      <w:marLeft w:val="0"/>
      <w:marRight w:val="0"/>
      <w:marTop w:val="0"/>
      <w:marBottom w:val="0"/>
      <w:divBdr>
        <w:top w:val="none" w:sz="0" w:space="0" w:color="auto"/>
        <w:left w:val="none" w:sz="0" w:space="0" w:color="auto"/>
        <w:bottom w:val="none" w:sz="0" w:space="0" w:color="auto"/>
        <w:right w:val="none" w:sz="0" w:space="0" w:color="auto"/>
      </w:divBdr>
    </w:div>
    <w:div w:id="578827809">
      <w:bodyDiv w:val="1"/>
      <w:marLeft w:val="0"/>
      <w:marRight w:val="0"/>
      <w:marTop w:val="0"/>
      <w:marBottom w:val="0"/>
      <w:divBdr>
        <w:top w:val="none" w:sz="0" w:space="0" w:color="auto"/>
        <w:left w:val="none" w:sz="0" w:space="0" w:color="auto"/>
        <w:bottom w:val="none" w:sz="0" w:space="0" w:color="auto"/>
        <w:right w:val="none" w:sz="0" w:space="0" w:color="auto"/>
      </w:divBdr>
    </w:div>
    <w:div w:id="587274497">
      <w:bodyDiv w:val="1"/>
      <w:marLeft w:val="0"/>
      <w:marRight w:val="0"/>
      <w:marTop w:val="0"/>
      <w:marBottom w:val="0"/>
      <w:divBdr>
        <w:top w:val="none" w:sz="0" w:space="0" w:color="auto"/>
        <w:left w:val="none" w:sz="0" w:space="0" w:color="auto"/>
        <w:bottom w:val="none" w:sz="0" w:space="0" w:color="auto"/>
        <w:right w:val="none" w:sz="0" w:space="0" w:color="auto"/>
      </w:divBdr>
    </w:div>
    <w:div w:id="593630350">
      <w:bodyDiv w:val="1"/>
      <w:marLeft w:val="0"/>
      <w:marRight w:val="0"/>
      <w:marTop w:val="0"/>
      <w:marBottom w:val="0"/>
      <w:divBdr>
        <w:top w:val="none" w:sz="0" w:space="0" w:color="auto"/>
        <w:left w:val="none" w:sz="0" w:space="0" w:color="auto"/>
        <w:bottom w:val="none" w:sz="0" w:space="0" w:color="auto"/>
        <w:right w:val="none" w:sz="0" w:space="0" w:color="auto"/>
      </w:divBdr>
    </w:div>
    <w:div w:id="595292115">
      <w:bodyDiv w:val="1"/>
      <w:marLeft w:val="0"/>
      <w:marRight w:val="0"/>
      <w:marTop w:val="0"/>
      <w:marBottom w:val="0"/>
      <w:divBdr>
        <w:top w:val="none" w:sz="0" w:space="0" w:color="auto"/>
        <w:left w:val="none" w:sz="0" w:space="0" w:color="auto"/>
        <w:bottom w:val="none" w:sz="0" w:space="0" w:color="auto"/>
        <w:right w:val="none" w:sz="0" w:space="0" w:color="auto"/>
      </w:divBdr>
      <w:divsChild>
        <w:div w:id="93942039">
          <w:marLeft w:val="0"/>
          <w:marRight w:val="0"/>
          <w:marTop w:val="0"/>
          <w:marBottom w:val="0"/>
          <w:divBdr>
            <w:top w:val="none" w:sz="0" w:space="0" w:color="auto"/>
            <w:left w:val="none" w:sz="0" w:space="0" w:color="auto"/>
            <w:bottom w:val="none" w:sz="0" w:space="0" w:color="auto"/>
            <w:right w:val="none" w:sz="0" w:space="0" w:color="auto"/>
          </w:divBdr>
          <w:divsChild>
            <w:div w:id="1854106064">
              <w:marLeft w:val="0"/>
              <w:marRight w:val="0"/>
              <w:marTop w:val="0"/>
              <w:marBottom w:val="0"/>
              <w:divBdr>
                <w:top w:val="none" w:sz="0" w:space="0" w:color="auto"/>
                <w:left w:val="none" w:sz="0" w:space="0" w:color="auto"/>
                <w:bottom w:val="none" w:sz="0" w:space="0" w:color="auto"/>
                <w:right w:val="none" w:sz="0" w:space="0" w:color="auto"/>
              </w:divBdr>
              <w:divsChild>
                <w:div w:id="1959800067">
                  <w:marLeft w:val="0"/>
                  <w:marRight w:val="0"/>
                  <w:marTop w:val="0"/>
                  <w:marBottom w:val="0"/>
                  <w:divBdr>
                    <w:top w:val="none" w:sz="0" w:space="0" w:color="auto"/>
                    <w:left w:val="none" w:sz="0" w:space="0" w:color="auto"/>
                    <w:bottom w:val="none" w:sz="0" w:space="0" w:color="auto"/>
                    <w:right w:val="none" w:sz="0" w:space="0" w:color="auto"/>
                  </w:divBdr>
                  <w:divsChild>
                    <w:div w:id="19502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82698">
      <w:bodyDiv w:val="1"/>
      <w:marLeft w:val="0"/>
      <w:marRight w:val="0"/>
      <w:marTop w:val="0"/>
      <w:marBottom w:val="0"/>
      <w:divBdr>
        <w:top w:val="none" w:sz="0" w:space="0" w:color="auto"/>
        <w:left w:val="none" w:sz="0" w:space="0" w:color="auto"/>
        <w:bottom w:val="none" w:sz="0" w:space="0" w:color="auto"/>
        <w:right w:val="none" w:sz="0" w:space="0" w:color="auto"/>
      </w:divBdr>
      <w:divsChild>
        <w:div w:id="407919660">
          <w:marLeft w:val="0"/>
          <w:marRight w:val="0"/>
          <w:marTop w:val="0"/>
          <w:marBottom w:val="0"/>
          <w:divBdr>
            <w:top w:val="none" w:sz="0" w:space="0" w:color="auto"/>
            <w:left w:val="none" w:sz="0" w:space="0" w:color="auto"/>
            <w:bottom w:val="none" w:sz="0" w:space="0" w:color="auto"/>
            <w:right w:val="none" w:sz="0" w:space="0" w:color="auto"/>
          </w:divBdr>
          <w:divsChild>
            <w:div w:id="805511851">
              <w:marLeft w:val="0"/>
              <w:marRight w:val="0"/>
              <w:marTop w:val="0"/>
              <w:marBottom w:val="0"/>
              <w:divBdr>
                <w:top w:val="none" w:sz="0" w:space="0" w:color="auto"/>
                <w:left w:val="none" w:sz="0" w:space="0" w:color="auto"/>
                <w:bottom w:val="none" w:sz="0" w:space="0" w:color="auto"/>
                <w:right w:val="none" w:sz="0" w:space="0" w:color="auto"/>
              </w:divBdr>
              <w:divsChild>
                <w:div w:id="2144350696">
                  <w:marLeft w:val="0"/>
                  <w:marRight w:val="0"/>
                  <w:marTop w:val="0"/>
                  <w:marBottom w:val="0"/>
                  <w:divBdr>
                    <w:top w:val="none" w:sz="0" w:space="0" w:color="auto"/>
                    <w:left w:val="none" w:sz="0" w:space="0" w:color="auto"/>
                    <w:bottom w:val="none" w:sz="0" w:space="0" w:color="auto"/>
                    <w:right w:val="none" w:sz="0" w:space="0" w:color="auto"/>
                  </w:divBdr>
                  <w:divsChild>
                    <w:div w:id="1027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83748">
      <w:bodyDiv w:val="1"/>
      <w:marLeft w:val="0"/>
      <w:marRight w:val="0"/>
      <w:marTop w:val="0"/>
      <w:marBottom w:val="0"/>
      <w:divBdr>
        <w:top w:val="none" w:sz="0" w:space="0" w:color="auto"/>
        <w:left w:val="none" w:sz="0" w:space="0" w:color="auto"/>
        <w:bottom w:val="none" w:sz="0" w:space="0" w:color="auto"/>
        <w:right w:val="none" w:sz="0" w:space="0" w:color="auto"/>
      </w:divBdr>
      <w:divsChild>
        <w:div w:id="1347247288">
          <w:marLeft w:val="0"/>
          <w:marRight w:val="0"/>
          <w:marTop w:val="0"/>
          <w:marBottom w:val="0"/>
          <w:divBdr>
            <w:top w:val="none" w:sz="0" w:space="0" w:color="auto"/>
            <w:left w:val="none" w:sz="0" w:space="0" w:color="auto"/>
            <w:bottom w:val="none" w:sz="0" w:space="0" w:color="auto"/>
            <w:right w:val="none" w:sz="0" w:space="0" w:color="auto"/>
          </w:divBdr>
          <w:divsChild>
            <w:div w:id="2113428982">
              <w:marLeft w:val="0"/>
              <w:marRight w:val="0"/>
              <w:marTop w:val="0"/>
              <w:marBottom w:val="0"/>
              <w:divBdr>
                <w:top w:val="none" w:sz="0" w:space="0" w:color="auto"/>
                <w:left w:val="none" w:sz="0" w:space="0" w:color="auto"/>
                <w:bottom w:val="none" w:sz="0" w:space="0" w:color="auto"/>
                <w:right w:val="none" w:sz="0" w:space="0" w:color="auto"/>
              </w:divBdr>
              <w:divsChild>
                <w:div w:id="992415688">
                  <w:marLeft w:val="0"/>
                  <w:marRight w:val="0"/>
                  <w:marTop w:val="0"/>
                  <w:marBottom w:val="0"/>
                  <w:divBdr>
                    <w:top w:val="none" w:sz="0" w:space="0" w:color="auto"/>
                    <w:left w:val="none" w:sz="0" w:space="0" w:color="auto"/>
                    <w:bottom w:val="none" w:sz="0" w:space="0" w:color="auto"/>
                    <w:right w:val="none" w:sz="0" w:space="0" w:color="auto"/>
                  </w:divBdr>
                  <w:divsChild>
                    <w:div w:id="9402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58108">
      <w:bodyDiv w:val="1"/>
      <w:marLeft w:val="0"/>
      <w:marRight w:val="0"/>
      <w:marTop w:val="0"/>
      <w:marBottom w:val="0"/>
      <w:divBdr>
        <w:top w:val="none" w:sz="0" w:space="0" w:color="auto"/>
        <w:left w:val="none" w:sz="0" w:space="0" w:color="auto"/>
        <w:bottom w:val="none" w:sz="0" w:space="0" w:color="auto"/>
        <w:right w:val="none" w:sz="0" w:space="0" w:color="auto"/>
      </w:divBdr>
    </w:div>
    <w:div w:id="663970032">
      <w:bodyDiv w:val="1"/>
      <w:marLeft w:val="0"/>
      <w:marRight w:val="0"/>
      <w:marTop w:val="0"/>
      <w:marBottom w:val="0"/>
      <w:divBdr>
        <w:top w:val="none" w:sz="0" w:space="0" w:color="auto"/>
        <w:left w:val="none" w:sz="0" w:space="0" w:color="auto"/>
        <w:bottom w:val="none" w:sz="0" w:space="0" w:color="auto"/>
        <w:right w:val="none" w:sz="0" w:space="0" w:color="auto"/>
      </w:divBdr>
      <w:divsChild>
        <w:div w:id="815998">
          <w:marLeft w:val="0"/>
          <w:marRight w:val="0"/>
          <w:marTop w:val="0"/>
          <w:marBottom w:val="0"/>
          <w:divBdr>
            <w:top w:val="none" w:sz="0" w:space="0" w:color="auto"/>
            <w:left w:val="none" w:sz="0" w:space="0" w:color="auto"/>
            <w:bottom w:val="none" w:sz="0" w:space="0" w:color="auto"/>
            <w:right w:val="none" w:sz="0" w:space="0" w:color="auto"/>
          </w:divBdr>
        </w:div>
        <w:div w:id="25519862">
          <w:marLeft w:val="0"/>
          <w:marRight w:val="0"/>
          <w:marTop w:val="0"/>
          <w:marBottom w:val="0"/>
          <w:divBdr>
            <w:top w:val="none" w:sz="0" w:space="0" w:color="auto"/>
            <w:left w:val="none" w:sz="0" w:space="0" w:color="auto"/>
            <w:bottom w:val="none" w:sz="0" w:space="0" w:color="auto"/>
            <w:right w:val="none" w:sz="0" w:space="0" w:color="auto"/>
          </w:divBdr>
        </w:div>
        <w:div w:id="32390726">
          <w:marLeft w:val="0"/>
          <w:marRight w:val="0"/>
          <w:marTop w:val="0"/>
          <w:marBottom w:val="0"/>
          <w:divBdr>
            <w:top w:val="none" w:sz="0" w:space="0" w:color="auto"/>
            <w:left w:val="none" w:sz="0" w:space="0" w:color="auto"/>
            <w:bottom w:val="none" w:sz="0" w:space="0" w:color="auto"/>
            <w:right w:val="none" w:sz="0" w:space="0" w:color="auto"/>
          </w:divBdr>
        </w:div>
        <w:div w:id="54552432">
          <w:marLeft w:val="0"/>
          <w:marRight w:val="0"/>
          <w:marTop w:val="0"/>
          <w:marBottom w:val="0"/>
          <w:divBdr>
            <w:top w:val="none" w:sz="0" w:space="0" w:color="auto"/>
            <w:left w:val="none" w:sz="0" w:space="0" w:color="auto"/>
            <w:bottom w:val="none" w:sz="0" w:space="0" w:color="auto"/>
            <w:right w:val="none" w:sz="0" w:space="0" w:color="auto"/>
          </w:divBdr>
        </w:div>
        <w:div w:id="133258015">
          <w:marLeft w:val="0"/>
          <w:marRight w:val="0"/>
          <w:marTop w:val="0"/>
          <w:marBottom w:val="0"/>
          <w:divBdr>
            <w:top w:val="none" w:sz="0" w:space="0" w:color="auto"/>
            <w:left w:val="none" w:sz="0" w:space="0" w:color="auto"/>
            <w:bottom w:val="none" w:sz="0" w:space="0" w:color="auto"/>
            <w:right w:val="none" w:sz="0" w:space="0" w:color="auto"/>
          </w:divBdr>
        </w:div>
        <w:div w:id="235745800">
          <w:marLeft w:val="0"/>
          <w:marRight w:val="0"/>
          <w:marTop w:val="0"/>
          <w:marBottom w:val="0"/>
          <w:divBdr>
            <w:top w:val="none" w:sz="0" w:space="0" w:color="auto"/>
            <w:left w:val="none" w:sz="0" w:space="0" w:color="auto"/>
            <w:bottom w:val="none" w:sz="0" w:space="0" w:color="auto"/>
            <w:right w:val="none" w:sz="0" w:space="0" w:color="auto"/>
          </w:divBdr>
        </w:div>
        <w:div w:id="238097371">
          <w:marLeft w:val="0"/>
          <w:marRight w:val="0"/>
          <w:marTop w:val="0"/>
          <w:marBottom w:val="0"/>
          <w:divBdr>
            <w:top w:val="none" w:sz="0" w:space="0" w:color="auto"/>
            <w:left w:val="none" w:sz="0" w:space="0" w:color="auto"/>
            <w:bottom w:val="none" w:sz="0" w:space="0" w:color="auto"/>
            <w:right w:val="none" w:sz="0" w:space="0" w:color="auto"/>
          </w:divBdr>
        </w:div>
        <w:div w:id="272831046">
          <w:marLeft w:val="0"/>
          <w:marRight w:val="0"/>
          <w:marTop w:val="0"/>
          <w:marBottom w:val="0"/>
          <w:divBdr>
            <w:top w:val="none" w:sz="0" w:space="0" w:color="auto"/>
            <w:left w:val="none" w:sz="0" w:space="0" w:color="auto"/>
            <w:bottom w:val="none" w:sz="0" w:space="0" w:color="auto"/>
            <w:right w:val="none" w:sz="0" w:space="0" w:color="auto"/>
          </w:divBdr>
        </w:div>
        <w:div w:id="308755914">
          <w:marLeft w:val="0"/>
          <w:marRight w:val="0"/>
          <w:marTop w:val="0"/>
          <w:marBottom w:val="0"/>
          <w:divBdr>
            <w:top w:val="none" w:sz="0" w:space="0" w:color="auto"/>
            <w:left w:val="none" w:sz="0" w:space="0" w:color="auto"/>
            <w:bottom w:val="none" w:sz="0" w:space="0" w:color="auto"/>
            <w:right w:val="none" w:sz="0" w:space="0" w:color="auto"/>
          </w:divBdr>
        </w:div>
        <w:div w:id="443765193">
          <w:marLeft w:val="0"/>
          <w:marRight w:val="0"/>
          <w:marTop w:val="0"/>
          <w:marBottom w:val="0"/>
          <w:divBdr>
            <w:top w:val="none" w:sz="0" w:space="0" w:color="auto"/>
            <w:left w:val="none" w:sz="0" w:space="0" w:color="auto"/>
            <w:bottom w:val="none" w:sz="0" w:space="0" w:color="auto"/>
            <w:right w:val="none" w:sz="0" w:space="0" w:color="auto"/>
          </w:divBdr>
        </w:div>
        <w:div w:id="498932285">
          <w:marLeft w:val="0"/>
          <w:marRight w:val="0"/>
          <w:marTop w:val="0"/>
          <w:marBottom w:val="0"/>
          <w:divBdr>
            <w:top w:val="none" w:sz="0" w:space="0" w:color="auto"/>
            <w:left w:val="none" w:sz="0" w:space="0" w:color="auto"/>
            <w:bottom w:val="none" w:sz="0" w:space="0" w:color="auto"/>
            <w:right w:val="none" w:sz="0" w:space="0" w:color="auto"/>
          </w:divBdr>
        </w:div>
        <w:div w:id="502743414">
          <w:marLeft w:val="0"/>
          <w:marRight w:val="0"/>
          <w:marTop w:val="0"/>
          <w:marBottom w:val="0"/>
          <w:divBdr>
            <w:top w:val="none" w:sz="0" w:space="0" w:color="auto"/>
            <w:left w:val="none" w:sz="0" w:space="0" w:color="auto"/>
            <w:bottom w:val="none" w:sz="0" w:space="0" w:color="auto"/>
            <w:right w:val="none" w:sz="0" w:space="0" w:color="auto"/>
          </w:divBdr>
        </w:div>
        <w:div w:id="525944731">
          <w:marLeft w:val="0"/>
          <w:marRight w:val="0"/>
          <w:marTop w:val="0"/>
          <w:marBottom w:val="0"/>
          <w:divBdr>
            <w:top w:val="none" w:sz="0" w:space="0" w:color="auto"/>
            <w:left w:val="none" w:sz="0" w:space="0" w:color="auto"/>
            <w:bottom w:val="none" w:sz="0" w:space="0" w:color="auto"/>
            <w:right w:val="none" w:sz="0" w:space="0" w:color="auto"/>
          </w:divBdr>
        </w:div>
        <w:div w:id="527256736">
          <w:marLeft w:val="0"/>
          <w:marRight w:val="0"/>
          <w:marTop w:val="0"/>
          <w:marBottom w:val="0"/>
          <w:divBdr>
            <w:top w:val="none" w:sz="0" w:space="0" w:color="auto"/>
            <w:left w:val="none" w:sz="0" w:space="0" w:color="auto"/>
            <w:bottom w:val="none" w:sz="0" w:space="0" w:color="auto"/>
            <w:right w:val="none" w:sz="0" w:space="0" w:color="auto"/>
          </w:divBdr>
        </w:div>
        <w:div w:id="617219368">
          <w:marLeft w:val="0"/>
          <w:marRight w:val="0"/>
          <w:marTop w:val="0"/>
          <w:marBottom w:val="0"/>
          <w:divBdr>
            <w:top w:val="none" w:sz="0" w:space="0" w:color="auto"/>
            <w:left w:val="none" w:sz="0" w:space="0" w:color="auto"/>
            <w:bottom w:val="none" w:sz="0" w:space="0" w:color="auto"/>
            <w:right w:val="none" w:sz="0" w:space="0" w:color="auto"/>
          </w:divBdr>
        </w:div>
        <w:div w:id="640694007">
          <w:marLeft w:val="0"/>
          <w:marRight w:val="0"/>
          <w:marTop w:val="0"/>
          <w:marBottom w:val="0"/>
          <w:divBdr>
            <w:top w:val="none" w:sz="0" w:space="0" w:color="auto"/>
            <w:left w:val="none" w:sz="0" w:space="0" w:color="auto"/>
            <w:bottom w:val="none" w:sz="0" w:space="0" w:color="auto"/>
            <w:right w:val="none" w:sz="0" w:space="0" w:color="auto"/>
          </w:divBdr>
        </w:div>
        <w:div w:id="644968417">
          <w:marLeft w:val="0"/>
          <w:marRight w:val="0"/>
          <w:marTop w:val="0"/>
          <w:marBottom w:val="0"/>
          <w:divBdr>
            <w:top w:val="none" w:sz="0" w:space="0" w:color="auto"/>
            <w:left w:val="none" w:sz="0" w:space="0" w:color="auto"/>
            <w:bottom w:val="none" w:sz="0" w:space="0" w:color="auto"/>
            <w:right w:val="none" w:sz="0" w:space="0" w:color="auto"/>
          </w:divBdr>
        </w:div>
        <w:div w:id="921989900">
          <w:marLeft w:val="0"/>
          <w:marRight w:val="0"/>
          <w:marTop w:val="0"/>
          <w:marBottom w:val="0"/>
          <w:divBdr>
            <w:top w:val="none" w:sz="0" w:space="0" w:color="auto"/>
            <w:left w:val="none" w:sz="0" w:space="0" w:color="auto"/>
            <w:bottom w:val="none" w:sz="0" w:space="0" w:color="auto"/>
            <w:right w:val="none" w:sz="0" w:space="0" w:color="auto"/>
          </w:divBdr>
        </w:div>
        <w:div w:id="1101026011">
          <w:marLeft w:val="0"/>
          <w:marRight w:val="0"/>
          <w:marTop w:val="0"/>
          <w:marBottom w:val="0"/>
          <w:divBdr>
            <w:top w:val="none" w:sz="0" w:space="0" w:color="auto"/>
            <w:left w:val="none" w:sz="0" w:space="0" w:color="auto"/>
            <w:bottom w:val="none" w:sz="0" w:space="0" w:color="auto"/>
            <w:right w:val="none" w:sz="0" w:space="0" w:color="auto"/>
          </w:divBdr>
        </w:div>
        <w:div w:id="1170363779">
          <w:marLeft w:val="0"/>
          <w:marRight w:val="0"/>
          <w:marTop w:val="0"/>
          <w:marBottom w:val="0"/>
          <w:divBdr>
            <w:top w:val="none" w:sz="0" w:space="0" w:color="auto"/>
            <w:left w:val="none" w:sz="0" w:space="0" w:color="auto"/>
            <w:bottom w:val="none" w:sz="0" w:space="0" w:color="auto"/>
            <w:right w:val="none" w:sz="0" w:space="0" w:color="auto"/>
          </w:divBdr>
        </w:div>
        <w:div w:id="1170490651">
          <w:marLeft w:val="0"/>
          <w:marRight w:val="0"/>
          <w:marTop w:val="0"/>
          <w:marBottom w:val="0"/>
          <w:divBdr>
            <w:top w:val="none" w:sz="0" w:space="0" w:color="auto"/>
            <w:left w:val="none" w:sz="0" w:space="0" w:color="auto"/>
            <w:bottom w:val="none" w:sz="0" w:space="0" w:color="auto"/>
            <w:right w:val="none" w:sz="0" w:space="0" w:color="auto"/>
          </w:divBdr>
        </w:div>
        <w:div w:id="1205874043">
          <w:marLeft w:val="0"/>
          <w:marRight w:val="0"/>
          <w:marTop w:val="0"/>
          <w:marBottom w:val="0"/>
          <w:divBdr>
            <w:top w:val="none" w:sz="0" w:space="0" w:color="auto"/>
            <w:left w:val="none" w:sz="0" w:space="0" w:color="auto"/>
            <w:bottom w:val="none" w:sz="0" w:space="0" w:color="auto"/>
            <w:right w:val="none" w:sz="0" w:space="0" w:color="auto"/>
          </w:divBdr>
        </w:div>
        <w:div w:id="1254514842">
          <w:marLeft w:val="0"/>
          <w:marRight w:val="0"/>
          <w:marTop w:val="0"/>
          <w:marBottom w:val="0"/>
          <w:divBdr>
            <w:top w:val="none" w:sz="0" w:space="0" w:color="auto"/>
            <w:left w:val="none" w:sz="0" w:space="0" w:color="auto"/>
            <w:bottom w:val="none" w:sz="0" w:space="0" w:color="auto"/>
            <w:right w:val="none" w:sz="0" w:space="0" w:color="auto"/>
          </w:divBdr>
        </w:div>
        <w:div w:id="1358854339">
          <w:marLeft w:val="0"/>
          <w:marRight w:val="0"/>
          <w:marTop w:val="0"/>
          <w:marBottom w:val="0"/>
          <w:divBdr>
            <w:top w:val="none" w:sz="0" w:space="0" w:color="auto"/>
            <w:left w:val="none" w:sz="0" w:space="0" w:color="auto"/>
            <w:bottom w:val="none" w:sz="0" w:space="0" w:color="auto"/>
            <w:right w:val="none" w:sz="0" w:space="0" w:color="auto"/>
          </w:divBdr>
        </w:div>
        <w:div w:id="1637831231">
          <w:marLeft w:val="0"/>
          <w:marRight w:val="0"/>
          <w:marTop w:val="0"/>
          <w:marBottom w:val="0"/>
          <w:divBdr>
            <w:top w:val="none" w:sz="0" w:space="0" w:color="auto"/>
            <w:left w:val="none" w:sz="0" w:space="0" w:color="auto"/>
            <w:bottom w:val="none" w:sz="0" w:space="0" w:color="auto"/>
            <w:right w:val="none" w:sz="0" w:space="0" w:color="auto"/>
          </w:divBdr>
        </w:div>
        <w:div w:id="1641571143">
          <w:marLeft w:val="0"/>
          <w:marRight w:val="0"/>
          <w:marTop w:val="0"/>
          <w:marBottom w:val="0"/>
          <w:divBdr>
            <w:top w:val="none" w:sz="0" w:space="0" w:color="auto"/>
            <w:left w:val="none" w:sz="0" w:space="0" w:color="auto"/>
            <w:bottom w:val="none" w:sz="0" w:space="0" w:color="auto"/>
            <w:right w:val="none" w:sz="0" w:space="0" w:color="auto"/>
          </w:divBdr>
        </w:div>
        <w:div w:id="1701929952">
          <w:marLeft w:val="0"/>
          <w:marRight w:val="0"/>
          <w:marTop w:val="0"/>
          <w:marBottom w:val="0"/>
          <w:divBdr>
            <w:top w:val="none" w:sz="0" w:space="0" w:color="auto"/>
            <w:left w:val="none" w:sz="0" w:space="0" w:color="auto"/>
            <w:bottom w:val="none" w:sz="0" w:space="0" w:color="auto"/>
            <w:right w:val="none" w:sz="0" w:space="0" w:color="auto"/>
          </w:divBdr>
        </w:div>
        <w:div w:id="1938832731">
          <w:marLeft w:val="0"/>
          <w:marRight w:val="0"/>
          <w:marTop w:val="0"/>
          <w:marBottom w:val="0"/>
          <w:divBdr>
            <w:top w:val="none" w:sz="0" w:space="0" w:color="auto"/>
            <w:left w:val="none" w:sz="0" w:space="0" w:color="auto"/>
            <w:bottom w:val="none" w:sz="0" w:space="0" w:color="auto"/>
            <w:right w:val="none" w:sz="0" w:space="0" w:color="auto"/>
          </w:divBdr>
        </w:div>
        <w:div w:id="2020884420">
          <w:marLeft w:val="0"/>
          <w:marRight w:val="0"/>
          <w:marTop w:val="0"/>
          <w:marBottom w:val="0"/>
          <w:divBdr>
            <w:top w:val="none" w:sz="0" w:space="0" w:color="auto"/>
            <w:left w:val="none" w:sz="0" w:space="0" w:color="auto"/>
            <w:bottom w:val="none" w:sz="0" w:space="0" w:color="auto"/>
            <w:right w:val="none" w:sz="0" w:space="0" w:color="auto"/>
          </w:divBdr>
        </w:div>
      </w:divsChild>
    </w:div>
    <w:div w:id="673919327">
      <w:bodyDiv w:val="1"/>
      <w:marLeft w:val="0"/>
      <w:marRight w:val="0"/>
      <w:marTop w:val="0"/>
      <w:marBottom w:val="0"/>
      <w:divBdr>
        <w:top w:val="none" w:sz="0" w:space="0" w:color="auto"/>
        <w:left w:val="none" w:sz="0" w:space="0" w:color="auto"/>
        <w:bottom w:val="none" w:sz="0" w:space="0" w:color="auto"/>
        <w:right w:val="none" w:sz="0" w:space="0" w:color="auto"/>
      </w:divBdr>
    </w:div>
    <w:div w:id="677732852">
      <w:bodyDiv w:val="1"/>
      <w:marLeft w:val="0"/>
      <w:marRight w:val="0"/>
      <w:marTop w:val="0"/>
      <w:marBottom w:val="0"/>
      <w:divBdr>
        <w:top w:val="none" w:sz="0" w:space="0" w:color="auto"/>
        <w:left w:val="none" w:sz="0" w:space="0" w:color="auto"/>
        <w:bottom w:val="none" w:sz="0" w:space="0" w:color="auto"/>
        <w:right w:val="none" w:sz="0" w:space="0" w:color="auto"/>
      </w:divBdr>
    </w:div>
    <w:div w:id="679620266">
      <w:bodyDiv w:val="1"/>
      <w:marLeft w:val="0"/>
      <w:marRight w:val="0"/>
      <w:marTop w:val="0"/>
      <w:marBottom w:val="0"/>
      <w:divBdr>
        <w:top w:val="none" w:sz="0" w:space="0" w:color="auto"/>
        <w:left w:val="none" w:sz="0" w:space="0" w:color="auto"/>
        <w:bottom w:val="none" w:sz="0" w:space="0" w:color="auto"/>
        <w:right w:val="none" w:sz="0" w:space="0" w:color="auto"/>
      </w:divBdr>
      <w:divsChild>
        <w:div w:id="1816140002">
          <w:marLeft w:val="0"/>
          <w:marRight w:val="0"/>
          <w:marTop w:val="0"/>
          <w:marBottom w:val="0"/>
          <w:divBdr>
            <w:top w:val="none" w:sz="0" w:space="0" w:color="auto"/>
            <w:left w:val="none" w:sz="0" w:space="0" w:color="auto"/>
            <w:bottom w:val="none" w:sz="0" w:space="0" w:color="auto"/>
            <w:right w:val="none" w:sz="0" w:space="0" w:color="auto"/>
          </w:divBdr>
          <w:divsChild>
            <w:div w:id="352263593">
              <w:marLeft w:val="0"/>
              <w:marRight w:val="0"/>
              <w:marTop w:val="0"/>
              <w:marBottom w:val="0"/>
              <w:divBdr>
                <w:top w:val="none" w:sz="0" w:space="0" w:color="auto"/>
                <w:left w:val="none" w:sz="0" w:space="0" w:color="auto"/>
                <w:bottom w:val="none" w:sz="0" w:space="0" w:color="auto"/>
                <w:right w:val="none" w:sz="0" w:space="0" w:color="auto"/>
              </w:divBdr>
              <w:divsChild>
                <w:div w:id="1273896596">
                  <w:marLeft w:val="0"/>
                  <w:marRight w:val="0"/>
                  <w:marTop w:val="0"/>
                  <w:marBottom w:val="0"/>
                  <w:divBdr>
                    <w:top w:val="none" w:sz="0" w:space="0" w:color="auto"/>
                    <w:left w:val="none" w:sz="0" w:space="0" w:color="auto"/>
                    <w:bottom w:val="none" w:sz="0" w:space="0" w:color="auto"/>
                    <w:right w:val="none" w:sz="0" w:space="0" w:color="auto"/>
                  </w:divBdr>
                  <w:divsChild>
                    <w:div w:id="95200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18438">
      <w:bodyDiv w:val="1"/>
      <w:marLeft w:val="0"/>
      <w:marRight w:val="0"/>
      <w:marTop w:val="0"/>
      <w:marBottom w:val="0"/>
      <w:divBdr>
        <w:top w:val="none" w:sz="0" w:space="0" w:color="auto"/>
        <w:left w:val="none" w:sz="0" w:space="0" w:color="auto"/>
        <w:bottom w:val="none" w:sz="0" w:space="0" w:color="auto"/>
        <w:right w:val="none" w:sz="0" w:space="0" w:color="auto"/>
      </w:divBdr>
      <w:divsChild>
        <w:div w:id="1518234816">
          <w:marLeft w:val="0"/>
          <w:marRight w:val="0"/>
          <w:marTop w:val="0"/>
          <w:marBottom w:val="0"/>
          <w:divBdr>
            <w:top w:val="none" w:sz="0" w:space="0" w:color="auto"/>
            <w:left w:val="none" w:sz="0" w:space="0" w:color="auto"/>
            <w:bottom w:val="none" w:sz="0" w:space="0" w:color="auto"/>
            <w:right w:val="none" w:sz="0" w:space="0" w:color="auto"/>
          </w:divBdr>
          <w:divsChild>
            <w:div w:id="783505496">
              <w:marLeft w:val="0"/>
              <w:marRight w:val="0"/>
              <w:marTop w:val="0"/>
              <w:marBottom w:val="0"/>
              <w:divBdr>
                <w:top w:val="none" w:sz="0" w:space="0" w:color="auto"/>
                <w:left w:val="none" w:sz="0" w:space="0" w:color="auto"/>
                <w:bottom w:val="none" w:sz="0" w:space="0" w:color="auto"/>
                <w:right w:val="none" w:sz="0" w:space="0" w:color="auto"/>
              </w:divBdr>
              <w:divsChild>
                <w:div w:id="1343899127">
                  <w:marLeft w:val="0"/>
                  <w:marRight w:val="0"/>
                  <w:marTop w:val="0"/>
                  <w:marBottom w:val="0"/>
                  <w:divBdr>
                    <w:top w:val="none" w:sz="0" w:space="0" w:color="auto"/>
                    <w:left w:val="none" w:sz="0" w:space="0" w:color="auto"/>
                    <w:bottom w:val="none" w:sz="0" w:space="0" w:color="auto"/>
                    <w:right w:val="none" w:sz="0" w:space="0" w:color="auto"/>
                  </w:divBdr>
                  <w:divsChild>
                    <w:div w:id="26739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228998">
      <w:bodyDiv w:val="1"/>
      <w:marLeft w:val="0"/>
      <w:marRight w:val="0"/>
      <w:marTop w:val="0"/>
      <w:marBottom w:val="0"/>
      <w:divBdr>
        <w:top w:val="none" w:sz="0" w:space="0" w:color="auto"/>
        <w:left w:val="none" w:sz="0" w:space="0" w:color="auto"/>
        <w:bottom w:val="none" w:sz="0" w:space="0" w:color="auto"/>
        <w:right w:val="none" w:sz="0" w:space="0" w:color="auto"/>
      </w:divBdr>
    </w:div>
    <w:div w:id="720594566">
      <w:bodyDiv w:val="1"/>
      <w:marLeft w:val="0"/>
      <w:marRight w:val="0"/>
      <w:marTop w:val="0"/>
      <w:marBottom w:val="0"/>
      <w:divBdr>
        <w:top w:val="none" w:sz="0" w:space="0" w:color="auto"/>
        <w:left w:val="none" w:sz="0" w:space="0" w:color="auto"/>
        <w:bottom w:val="none" w:sz="0" w:space="0" w:color="auto"/>
        <w:right w:val="none" w:sz="0" w:space="0" w:color="auto"/>
      </w:divBdr>
    </w:div>
    <w:div w:id="728501616">
      <w:bodyDiv w:val="1"/>
      <w:marLeft w:val="0"/>
      <w:marRight w:val="0"/>
      <w:marTop w:val="0"/>
      <w:marBottom w:val="0"/>
      <w:divBdr>
        <w:top w:val="none" w:sz="0" w:space="0" w:color="auto"/>
        <w:left w:val="none" w:sz="0" w:space="0" w:color="auto"/>
        <w:bottom w:val="none" w:sz="0" w:space="0" w:color="auto"/>
        <w:right w:val="none" w:sz="0" w:space="0" w:color="auto"/>
      </w:divBdr>
    </w:div>
    <w:div w:id="754207551">
      <w:bodyDiv w:val="1"/>
      <w:marLeft w:val="0"/>
      <w:marRight w:val="0"/>
      <w:marTop w:val="0"/>
      <w:marBottom w:val="0"/>
      <w:divBdr>
        <w:top w:val="none" w:sz="0" w:space="0" w:color="auto"/>
        <w:left w:val="none" w:sz="0" w:space="0" w:color="auto"/>
        <w:bottom w:val="none" w:sz="0" w:space="0" w:color="auto"/>
        <w:right w:val="none" w:sz="0" w:space="0" w:color="auto"/>
      </w:divBdr>
      <w:divsChild>
        <w:div w:id="105933150">
          <w:marLeft w:val="360"/>
          <w:marRight w:val="0"/>
          <w:marTop w:val="200"/>
          <w:marBottom w:val="0"/>
          <w:divBdr>
            <w:top w:val="none" w:sz="0" w:space="0" w:color="auto"/>
            <w:left w:val="none" w:sz="0" w:space="0" w:color="auto"/>
            <w:bottom w:val="none" w:sz="0" w:space="0" w:color="auto"/>
            <w:right w:val="none" w:sz="0" w:space="0" w:color="auto"/>
          </w:divBdr>
        </w:div>
        <w:div w:id="216860474">
          <w:marLeft w:val="360"/>
          <w:marRight w:val="0"/>
          <w:marTop w:val="200"/>
          <w:marBottom w:val="0"/>
          <w:divBdr>
            <w:top w:val="none" w:sz="0" w:space="0" w:color="auto"/>
            <w:left w:val="none" w:sz="0" w:space="0" w:color="auto"/>
            <w:bottom w:val="none" w:sz="0" w:space="0" w:color="auto"/>
            <w:right w:val="none" w:sz="0" w:space="0" w:color="auto"/>
          </w:divBdr>
        </w:div>
        <w:div w:id="245388220">
          <w:marLeft w:val="360"/>
          <w:marRight w:val="0"/>
          <w:marTop w:val="200"/>
          <w:marBottom w:val="0"/>
          <w:divBdr>
            <w:top w:val="none" w:sz="0" w:space="0" w:color="auto"/>
            <w:left w:val="none" w:sz="0" w:space="0" w:color="auto"/>
            <w:bottom w:val="none" w:sz="0" w:space="0" w:color="auto"/>
            <w:right w:val="none" w:sz="0" w:space="0" w:color="auto"/>
          </w:divBdr>
        </w:div>
        <w:div w:id="302855615">
          <w:marLeft w:val="1080"/>
          <w:marRight w:val="0"/>
          <w:marTop w:val="100"/>
          <w:marBottom w:val="0"/>
          <w:divBdr>
            <w:top w:val="none" w:sz="0" w:space="0" w:color="auto"/>
            <w:left w:val="none" w:sz="0" w:space="0" w:color="auto"/>
            <w:bottom w:val="none" w:sz="0" w:space="0" w:color="auto"/>
            <w:right w:val="none" w:sz="0" w:space="0" w:color="auto"/>
          </w:divBdr>
        </w:div>
        <w:div w:id="526331651">
          <w:marLeft w:val="360"/>
          <w:marRight w:val="0"/>
          <w:marTop w:val="200"/>
          <w:marBottom w:val="0"/>
          <w:divBdr>
            <w:top w:val="none" w:sz="0" w:space="0" w:color="auto"/>
            <w:left w:val="none" w:sz="0" w:space="0" w:color="auto"/>
            <w:bottom w:val="none" w:sz="0" w:space="0" w:color="auto"/>
            <w:right w:val="none" w:sz="0" w:space="0" w:color="auto"/>
          </w:divBdr>
        </w:div>
        <w:div w:id="696782703">
          <w:marLeft w:val="360"/>
          <w:marRight w:val="0"/>
          <w:marTop w:val="200"/>
          <w:marBottom w:val="0"/>
          <w:divBdr>
            <w:top w:val="none" w:sz="0" w:space="0" w:color="auto"/>
            <w:left w:val="none" w:sz="0" w:space="0" w:color="auto"/>
            <w:bottom w:val="none" w:sz="0" w:space="0" w:color="auto"/>
            <w:right w:val="none" w:sz="0" w:space="0" w:color="auto"/>
          </w:divBdr>
        </w:div>
        <w:div w:id="768240265">
          <w:marLeft w:val="1080"/>
          <w:marRight w:val="0"/>
          <w:marTop w:val="100"/>
          <w:marBottom w:val="0"/>
          <w:divBdr>
            <w:top w:val="none" w:sz="0" w:space="0" w:color="auto"/>
            <w:left w:val="none" w:sz="0" w:space="0" w:color="auto"/>
            <w:bottom w:val="none" w:sz="0" w:space="0" w:color="auto"/>
            <w:right w:val="none" w:sz="0" w:space="0" w:color="auto"/>
          </w:divBdr>
        </w:div>
        <w:div w:id="912812172">
          <w:marLeft w:val="1080"/>
          <w:marRight w:val="0"/>
          <w:marTop w:val="100"/>
          <w:marBottom w:val="0"/>
          <w:divBdr>
            <w:top w:val="none" w:sz="0" w:space="0" w:color="auto"/>
            <w:left w:val="none" w:sz="0" w:space="0" w:color="auto"/>
            <w:bottom w:val="none" w:sz="0" w:space="0" w:color="auto"/>
            <w:right w:val="none" w:sz="0" w:space="0" w:color="auto"/>
          </w:divBdr>
        </w:div>
        <w:div w:id="1503201829">
          <w:marLeft w:val="360"/>
          <w:marRight w:val="0"/>
          <w:marTop w:val="200"/>
          <w:marBottom w:val="0"/>
          <w:divBdr>
            <w:top w:val="none" w:sz="0" w:space="0" w:color="auto"/>
            <w:left w:val="none" w:sz="0" w:space="0" w:color="auto"/>
            <w:bottom w:val="none" w:sz="0" w:space="0" w:color="auto"/>
            <w:right w:val="none" w:sz="0" w:space="0" w:color="auto"/>
          </w:divBdr>
        </w:div>
        <w:div w:id="1664163990">
          <w:marLeft w:val="360"/>
          <w:marRight w:val="0"/>
          <w:marTop w:val="200"/>
          <w:marBottom w:val="0"/>
          <w:divBdr>
            <w:top w:val="none" w:sz="0" w:space="0" w:color="auto"/>
            <w:left w:val="none" w:sz="0" w:space="0" w:color="auto"/>
            <w:bottom w:val="none" w:sz="0" w:space="0" w:color="auto"/>
            <w:right w:val="none" w:sz="0" w:space="0" w:color="auto"/>
          </w:divBdr>
        </w:div>
        <w:div w:id="2041710136">
          <w:marLeft w:val="360"/>
          <w:marRight w:val="0"/>
          <w:marTop w:val="200"/>
          <w:marBottom w:val="0"/>
          <w:divBdr>
            <w:top w:val="none" w:sz="0" w:space="0" w:color="auto"/>
            <w:left w:val="none" w:sz="0" w:space="0" w:color="auto"/>
            <w:bottom w:val="none" w:sz="0" w:space="0" w:color="auto"/>
            <w:right w:val="none" w:sz="0" w:space="0" w:color="auto"/>
          </w:divBdr>
        </w:div>
        <w:div w:id="2134984481">
          <w:marLeft w:val="360"/>
          <w:marRight w:val="0"/>
          <w:marTop w:val="200"/>
          <w:marBottom w:val="0"/>
          <w:divBdr>
            <w:top w:val="none" w:sz="0" w:space="0" w:color="auto"/>
            <w:left w:val="none" w:sz="0" w:space="0" w:color="auto"/>
            <w:bottom w:val="none" w:sz="0" w:space="0" w:color="auto"/>
            <w:right w:val="none" w:sz="0" w:space="0" w:color="auto"/>
          </w:divBdr>
        </w:div>
      </w:divsChild>
    </w:div>
    <w:div w:id="756905032">
      <w:bodyDiv w:val="1"/>
      <w:marLeft w:val="0"/>
      <w:marRight w:val="0"/>
      <w:marTop w:val="0"/>
      <w:marBottom w:val="0"/>
      <w:divBdr>
        <w:top w:val="none" w:sz="0" w:space="0" w:color="auto"/>
        <w:left w:val="none" w:sz="0" w:space="0" w:color="auto"/>
        <w:bottom w:val="none" w:sz="0" w:space="0" w:color="auto"/>
        <w:right w:val="none" w:sz="0" w:space="0" w:color="auto"/>
      </w:divBdr>
      <w:divsChild>
        <w:div w:id="214589009">
          <w:marLeft w:val="360"/>
          <w:marRight w:val="0"/>
          <w:marTop w:val="200"/>
          <w:marBottom w:val="0"/>
          <w:divBdr>
            <w:top w:val="none" w:sz="0" w:space="0" w:color="auto"/>
            <w:left w:val="none" w:sz="0" w:space="0" w:color="auto"/>
            <w:bottom w:val="none" w:sz="0" w:space="0" w:color="auto"/>
            <w:right w:val="none" w:sz="0" w:space="0" w:color="auto"/>
          </w:divBdr>
        </w:div>
        <w:div w:id="510068043">
          <w:marLeft w:val="360"/>
          <w:marRight w:val="0"/>
          <w:marTop w:val="200"/>
          <w:marBottom w:val="0"/>
          <w:divBdr>
            <w:top w:val="none" w:sz="0" w:space="0" w:color="auto"/>
            <w:left w:val="none" w:sz="0" w:space="0" w:color="auto"/>
            <w:bottom w:val="none" w:sz="0" w:space="0" w:color="auto"/>
            <w:right w:val="none" w:sz="0" w:space="0" w:color="auto"/>
          </w:divBdr>
        </w:div>
        <w:div w:id="563176696">
          <w:marLeft w:val="360"/>
          <w:marRight w:val="0"/>
          <w:marTop w:val="200"/>
          <w:marBottom w:val="0"/>
          <w:divBdr>
            <w:top w:val="none" w:sz="0" w:space="0" w:color="auto"/>
            <w:left w:val="none" w:sz="0" w:space="0" w:color="auto"/>
            <w:bottom w:val="none" w:sz="0" w:space="0" w:color="auto"/>
            <w:right w:val="none" w:sz="0" w:space="0" w:color="auto"/>
          </w:divBdr>
        </w:div>
        <w:div w:id="1744910194">
          <w:marLeft w:val="360"/>
          <w:marRight w:val="0"/>
          <w:marTop w:val="200"/>
          <w:marBottom w:val="0"/>
          <w:divBdr>
            <w:top w:val="none" w:sz="0" w:space="0" w:color="auto"/>
            <w:left w:val="none" w:sz="0" w:space="0" w:color="auto"/>
            <w:bottom w:val="none" w:sz="0" w:space="0" w:color="auto"/>
            <w:right w:val="none" w:sz="0" w:space="0" w:color="auto"/>
          </w:divBdr>
        </w:div>
        <w:div w:id="1850482209">
          <w:marLeft w:val="360"/>
          <w:marRight w:val="0"/>
          <w:marTop w:val="200"/>
          <w:marBottom w:val="0"/>
          <w:divBdr>
            <w:top w:val="none" w:sz="0" w:space="0" w:color="auto"/>
            <w:left w:val="none" w:sz="0" w:space="0" w:color="auto"/>
            <w:bottom w:val="none" w:sz="0" w:space="0" w:color="auto"/>
            <w:right w:val="none" w:sz="0" w:space="0" w:color="auto"/>
          </w:divBdr>
        </w:div>
      </w:divsChild>
    </w:div>
    <w:div w:id="779182372">
      <w:bodyDiv w:val="1"/>
      <w:marLeft w:val="0"/>
      <w:marRight w:val="0"/>
      <w:marTop w:val="0"/>
      <w:marBottom w:val="0"/>
      <w:divBdr>
        <w:top w:val="none" w:sz="0" w:space="0" w:color="auto"/>
        <w:left w:val="none" w:sz="0" w:space="0" w:color="auto"/>
        <w:bottom w:val="none" w:sz="0" w:space="0" w:color="auto"/>
        <w:right w:val="none" w:sz="0" w:space="0" w:color="auto"/>
      </w:divBdr>
    </w:div>
    <w:div w:id="799230870">
      <w:bodyDiv w:val="1"/>
      <w:marLeft w:val="0"/>
      <w:marRight w:val="0"/>
      <w:marTop w:val="0"/>
      <w:marBottom w:val="0"/>
      <w:divBdr>
        <w:top w:val="none" w:sz="0" w:space="0" w:color="auto"/>
        <w:left w:val="none" w:sz="0" w:space="0" w:color="auto"/>
        <w:bottom w:val="none" w:sz="0" w:space="0" w:color="auto"/>
        <w:right w:val="none" w:sz="0" w:space="0" w:color="auto"/>
      </w:divBdr>
      <w:divsChild>
        <w:div w:id="688683007">
          <w:marLeft w:val="0"/>
          <w:marRight w:val="0"/>
          <w:marTop w:val="0"/>
          <w:marBottom w:val="0"/>
          <w:divBdr>
            <w:top w:val="none" w:sz="0" w:space="0" w:color="auto"/>
            <w:left w:val="none" w:sz="0" w:space="0" w:color="auto"/>
            <w:bottom w:val="none" w:sz="0" w:space="0" w:color="auto"/>
            <w:right w:val="none" w:sz="0" w:space="0" w:color="auto"/>
          </w:divBdr>
          <w:divsChild>
            <w:div w:id="672025573">
              <w:marLeft w:val="0"/>
              <w:marRight w:val="0"/>
              <w:marTop w:val="0"/>
              <w:marBottom w:val="0"/>
              <w:divBdr>
                <w:top w:val="none" w:sz="0" w:space="0" w:color="auto"/>
                <w:left w:val="none" w:sz="0" w:space="0" w:color="auto"/>
                <w:bottom w:val="none" w:sz="0" w:space="0" w:color="auto"/>
                <w:right w:val="none" w:sz="0" w:space="0" w:color="auto"/>
              </w:divBdr>
              <w:divsChild>
                <w:div w:id="298386190">
                  <w:marLeft w:val="0"/>
                  <w:marRight w:val="0"/>
                  <w:marTop w:val="0"/>
                  <w:marBottom w:val="0"/>
                  <w:divBdr>
                    <w:top w:val="none" w:sz="0" w:space="0" w:color="auto"/>
                    <w:left w:val="none" w:sz="0" w:space="0" w:color="auto"/>
                    <w:bottom w:val="none" w:sz="0" w:space="0" w:color="auto"/>
                    <w:right w:val="none" w:sz="0" w:space="0" w:color="auto"/>
                  </w:divBdr>
                  <w:divsChild>
                    <w:div w:id="9715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045117">
      <w:bodyDiv w:val="1"/>
      <w:marLeft w:val="0"/>
      <w:marRight w:val="0"/>
      <w:marTop w:val="0"/>
      <w:marBottom w:val="0"/>
      <w:divBdr>
        <w:top w:val="none" w:sz="0" w:space="0" w:color="auto"/>
        <w:left w:val="none" w:sz="0" w:space="0" w:color="auto"/>
        <w:bottom w:val="none" w:sz="0" w:space="0" w:color="auto"/>
        <w:right w:val="none" w:sz="0" w:space="0" w:color="auto"/>
      </w:divBdr>
      <w:divsChild>
        <w:div w:id="1701274909">
          <w:marLeft w:val="0"/>
          <w:marRight w:val="0"/>
          <w:marTop w:val="0"/>
          <w:marBottom w:val="0"/>
          <w:divBdr>
            <w:top w:val="none" w:sz="0" w:space="0" w:color="auto"/>
            <w:left w:val="none" w:sz="0" w:space="0" w:color="auto"/>
            <w:bottom w:val="none" w:sz="0" w:space="0" w:color="auto"/>
            <w:right w:val="none" w:sz="0" w:space="0" w:color="auto"/>
          </w:divBdr>
          <w:divsChild>
            <w:div w:id="1517888317">
              <w:marLeft w:val="0"/>
              <w:marRight w:val="0"/>
              <w:marTop w:val="0"/>
              <w:marBottom w:val="0"/>
              <w:divBdr>
                <w:top w:val="none" w:sz="0" w:space="0" w:color="auto"/>
                <w:left w:val="none" w:sz="0" w:space="0" w:color="auto"/>
                <w:bottom w:val="none" w:sz="0" w:space="0" w:color="auto"/>
                <w:right w:val="none" w:sz="0" w:space="0" w:color="auto"/>
              </w:divBdr>
              <w:divsChild>
                <w:div w:id="1204755440">
                  <w:marLeft w:val="0"/>
                  <w:marRight w:val="0"/>
                  <w:marTop w:val="0"/>
                  <w:marBottom w:val="0"/>
                  <w:divBdr>
                    <w:top w:val="none" w:sz="0" w:space="0" w:color="auto"/>
                    <w:left w:val="none" w:sz="0" w:space="0" w:color="auto"/>
                    <w:bottom w:val="none" w:sz="0" w:space="0" w:color="auto"/>
                    <w:right w:val="none" w:sz="0" w:space="0" w:color="auto"/>
                  </w:divBdr>
                  <w:divsChild>
                    <w:div w:id="14496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204926">
      <w:bodyDiv w:val="1"/>
      <w:marLeft w:val="0"/>
      <w:marRight w:val="0"/>
      <w:marTop w:val="0"/>
      <w:marBottom w:val="0"/>
      <w:divBdr>
        <w:top w:val="none" w:sz="0" w:space="0" w:color="auto"/>
        <w:left w:val="none" w:sz="0" w:space="0" w:color="auto"/>
        <w:bottom w:val="none" w:sz="0" w:space="0" w:color="auto"/>
        <w:right w:val="none" w:sz="0" w:space="0" w:color="auto"/>
      </w:divBdr>
      <w:divsChild>
        <w:div w:id="88621485">
          <w:marLeft w:val="0"/>
          <w:marRight w:val="0"/>
          <w:marTop w:val="0"/>
          <w:marBottom w:val="0"/>
          <w:divBdr>
            <w:top w:val="none" w:sz="0" w:space="0" w:color="auto"/>
            <w:left w:val="none" w:sz="0" w:space="0" w:color="auto"/>
            <w:bottom w:val="none" w:sz="0" w:space="0" w:color="auto"/>
            <w:right w:val="none" w:sz="0" w:space="0" w:color="auto"/>
          </w:divBdr>
          <w:divsChild>
            <w:div w:id="1577746104">
              <w:marLeft w:val="0"/>
              <w:marRight w:val="0"/>
              <w:marTop w:val="0"/>
              <w:marBottom w:val="0"/>
              <w:divBdr>
                <w:top w:val="none" w:sz="0" w:space="0" w:color="auto"/>
                <w:left w:val="none" w:sz="0" w:space="0" w:color="auto"/>
                <w:bottom w:val="none" w:sz="0" w:space="0" w:color="auto"/>
                <w:right w:val="none" w:sz="0" w:space="0" w:color="auto"/>
              </w:divBdr>
              <w:divsChild>
                <w:div w:id="129528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11426">
      <w:bodyDiv w:val="1"/>
      <w:marLeft w:val="0"/>
      <w:marRight w:val="0"/>
      <w:marTop w:val="0"/>
      <w:marBottom w:val="0"/>
      <w:divBdr>
        <w:top w:val="none" w:sz="0" w:space="0" w:color="auto"/>
        <w:left w:val="none" w:sz="0" w:space="0" w:color="auto"/>
        <w:bottom w:val="none" w:sz="0" w:space="0" w:color="auto"/>
        <w:right w:val="none" w:sz="0" w:space="0" w:color="auto"/>
      </w:divBdr>
      <w:divsChild>
        <w:div w:id="719592524">
          <w:marLeft w:val="0"/>
          <w:marRight w:val="0"/>
          <w:marTop w:val="0"/>
          <w:marBottom w:val="0"/>
          <w:divBdr>
            <w:top w:val="none" w:sz="0" w:space="0" w:color="auto"/>
            <w:left w:val="none" w:sz="0" w:space="0" w:color="auto"/>
            <w:bottom w:val="none" w:sz="0" w:space="0" w:color="auto"/>
            <w:right w:val="none" w:sz="0" w:space="0" w:color="auto"/>
          </w:divBdr>
          <w:divsChild>
            <w:div w:id="991174165">
              <w:marLeft w:val="0"/>
              <w:marRight w:val="0"/>
              <w:marTop w:val="0"/>
              <w:marBottom w:val="0"/>
              <w:divBdr>
                <w:top w:val="none" w:sz="0" w:space="0" w:color="auto"/>
                <w:left w:val="none" w:sz="0" w:space="0" w:color="auto"/>
                <w:bottom w:val="none" w:sz="0" w:space="0" w:color="auto"/>
                <w:right w:val="none" w:sz="0" w:space="0" w:color="auto"/>
              </w:divBdr>
              <w:divsChild>
                <w:div w:id="6657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61364">
      <w:bodyDiv w:val="1"/>
      <w:marLeft w:val="0"/>
      <w:marRight w:val="0"/>
      <w:marTop w:val="0"/>
      <w:marBottom w:val="0"/>
      <w:divBdr>
        <w:top w:val="none" w:sz="0" w:space="0" w:color="auto"/>
        <w:left w:val="none" w:sz="0" w:space="0" w:color="auto"/>
        <w:bottom w:val="none" w:sz="0" w:space="0" w:color="auto"/>
        <w:right w:val="none" w:sz="0" w:space="0" w:color="auto"/>
      </w:divBdr>
      <w:divsChild>
        <w:div w:id="1444764886">
          <w:marLeft w:val="0"/>
          <w:marRight w:val="0"/>
          <w:marTop w:val="0"/>
          <w:marBottom w:val="0"/>
          <w:divBdr>
            <w:top w:val="none" w:sz="0" w:space="0" w:color="auto"/>
            <w:left w:val="none" w:sz="0" w:space="0" w:color="auto"/>
            <w:bottom w:val="none" w:sz="0" w:space="0" w:color="auto"/>
            <w:right w:val="none" w:sz="0" w:space="0" w:color="auto"/>
          </w:divBdr>
          <w:divsChild>
            <w:div w:id="1383597315">
              <w:marLeft w:val="0"/>
              <w:marRight w:val="0"/>
              <w:marTop w:val="0"/>
              <w:marBottom w:val="0"/>
              <w:divBdr>
                <w:top w:val="none" w:sz="0" w:space="0" w:color="auto"/>
                <w:left w:val="none" w:sz="0" w:space="0" w:color="auto"/>
                <w:bottom w:val="none" w:sz="0" w:space="0" w:color="auto"/>
                <w:right w:val="none" w:sz="0" w:space="0" w:color="auto"/>
              </w:divBdr>
              <w:divsChild>
                <w:div w:id="953094557">
                  <w:marLeft w:val="0"/>
                  <w:marRight w:val="0"/>
                  <w:marTop w:val="0"/>
                  <w:marBottom w:val="0"/>
                  <w:divBdr>
                    <w:top w:val="none" w:sz="0" w:space="0" w:color="auto"/>
                    <w:left w:val="none" w:sz="0" w:space="0" w:color="auto"/>
                    <w:bottom w:val="none" w:sz="0" w:space="0" w:color="auto"/>
                    <w:right w:val="none" w:sz="0" w:space="0" w:color="auto"/>
                  </w:divBdr>
                  <w:divsChild>
                    <w:div w:id="18879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27376">
      <w:bodyDiv w:val="1"/>
      <w:marLeft w:val="0"/>
      <w:marRight w:val="0"/>
      <w:marTop w:val="0"/>
      <w:marBottom w:val="0"/>
      <w:divBdr>
        <w:top w:val="none" w:sz="0" w:space="0" w:color="auto"/>
        <w:left w:val="none" w:sz="0" w:space="0" w:color="auto"/>
        <w:bottom w:val="none" w:sz="0" w:space="0" w:color="auto"/>
        <w:right w:val="none" w:sz="0" w:space="0" w:color="auto"/>
      </w:divBdr>
    </w:div>
    <w:div w:id="903178423">
      <w:bodyDiv w:val="1"/>
      <w:marLeft w:val="0"/>
      <w:marRight w:val="0"/>
      <w:marTop w:val="0"/>
      <w:marBottom w:val="0"/>
      <w:divBdr>
        <w:top w:val="none" w:sz="0" w:space="0" w:color="auto"/>
        <w:left w:val="none" w:sz="0" w:space="0" w:color="auto"/>
        <w:bottom w:val="none" w:sz="0" w:space="0" w:color="auto"/>
        <w:right w:val="none" w:sz="0" w:space="0" w:color="auto"/>
      </w:divBdr>
    </w:div>
    <w:div w:id="922371378">
      <w:bodyDiv w:val="1"/>
      <w:marLeft w:val="0"/>
      <w:marRight w:val="0"/>
      <w:marTop w:val="0"/>
      <w:marBottom w:val="0"/>
      <w:divBdr>
        <w:top w:val="none" w:sz="0" w:space="0" w:color="auto"/>
        <w:left w:val="none" w:sz="0" w:space="0" w:color="auto"/>
        <w:bottom w:val="none" w:sz="0" w:space="0" w:color="auto"/>
        <w:right w:val="none" w:sz="0" w:space="0" w:color="auto"/>
      </w:divBdr>
      <w:divsChild>
        <w:div w:id="1900751062">
          <w:marLeft w:val="0"/>
          <w:marRight w:val="0"/>
          <w:marTop w:val="0"/>
          <w:marBottom w:val="0"/>
          <w:divBdr>
            <w:top w:val="none" w:sz="0" w:space="0" w:color="auto"/>
            <w:left w:val="none" w:sz="0" w:space="0" w:color="auto"/>
            <w:bottom w:val="none" w:sz="0" w:space="0" w:color="auto"/>
            <w:right w:val="none" w:sz="0" w:space="0" w:color="auto"/>
          </w:divBdr>
          <w:divsChild>
            <w:div w:id="807742547">
              <w:marLeft w:val="0"/>
              <w:marRight w:val="0"/>
              <w:marTop w:val="0"/>
              <w:marBottom w:val="0"/>
              <w:divBdr>
                <w:top w:val="none" w:sz="0" w:space="0" w:color="auto"/>
                <w:left w:val="none" w:sz="0" w:space="0" w:color="auto"/>
                <w:bottom w:val="none" w:sz="0" w:space="0" w:color="auto"/>
                <w:right w:val="none" w:sz="0" w:space="0" w:color="auto"/>
              </w:divBdr>
              <w:divsChild>
                <w:div w:id="242957958">
                  <w:marLeft w:val="0"/>
                  <w:marRight w:val="0"/>
                  <w:marTop w:val="0"/>
                  <w:marBottom w:val="0"/>
                  <w:divBdr>
                    <w:top w:val="none" w:sz="0" w:space="0" w:color="auto"/>
                    <w:left w:val="none" w:sz="0" w:space="0" w:color="auto"/>
                    <w:bottom w:val="none" w:sz="0" w:space="0" w:color="auto"/>
                    <w:right w:val="none" w:sz="0" w:space="0" w:color="auto"/>
                  </w:divBdr>
                </w:div>
                <w:div w:id="15080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8258">
      <w:bodyDiv w:val="1"/>
      <w:marLeft w:val="0"/>
      <w:marRight w:val="0"/>
      <w:marTop w:val="0"/>
      <w:marBottom w:val="0"/>
      <w:divBdr>
        <w:top w:val="none" w:sz="0" w:space="0" w:color="auto"/>
        <w:left w:val="none" w:sz="0" w:space="0" w:color="auto"/>
        <w:bottom w:val="none" w:sz="0" w:space="0" w:color="auto"/>
        <w:right w:val="none" w:sz="0" w:space="0" w:color="auto"/>
      </w:divBdr>
      <w:divsChild>
        <w:div w:id="22946770">
          <w:marLeft w:val="0"/>
          <w:marRight w:val="0"/>
          <w:marTop w:val="0"/>
          <w:marBottom w:val="0"/>
          <w:divBdr>
            <w:top w:val="none" w:sz="0" w:space="0" w:color="auto"/>
            <w:left w:val="none" w:sz="0" w:space="0" w:color="auto"/>
            <w:bottom w:val="none" w:sz="0" w:space="0" w:color="auto"/>
            <w:right w:val="none" w:sz="0" w:space="0" w:color="auto"/>
          </w:divBdr>
        </w:div>
        <w:div w:id="50543093">
          <w:marLeft w:val="0"/>
          <w:marRight w:val="0"/>
          <w:marTop w:val="0"/>
          <w:marBottom w:val="0"/>
          <w:divBdr>
            <w:top w:val="none" w:sz="0" w:space="0" w:color="auto"/>
            <w:left w:val="none" w:sz="0" w:space="0" w:color="auto"/>
            <w:bottom w:val="none" w:sz="0" w:space="0" w:color="auto"/>
            <w:right w:val="none" w:sz="0" w:space="0" w:color="auto"/>
          </w:divBdr>
        </w:div>
        <w:div w:id="61149246">
          <w:marLeft w:val="0"/>
          <w:marRight w:val="0"/>
          <w:marTop w:val="0"/>
          <w:marBottom w:val="0"/>
          <w:divBdr>
            <w:top w:val="none" w:sz="0" w:space="0" w:color="auto"/>
            <w:left w:val="none" w:sz="0" w:space="0" w:color="auto"/>
            <w:bottom w:val="none" w:sz="0" w:space="0" w:color="auto"/>
            <w:right w:val="none" w:sz="0" w:space="0" w:color="auto"/>
          </w:divBdr>
        </w:div>
        <w:div w:id="152842821">
          <w:marLeft w:val="0"/>
          <w:marRight w:val="0"/>
          <w:marTop w:val="0"/>
          <w:marBottom w:val="0"/>
          <w:divBdr>
            <w:top w:val="none" w:sz="0" w:space="0" w:color="auto"/>
            <w:left w:val="none" w:sz="0" w:space="0" w:color="auto"/>
            <w:bottom w:val="none" w:sz="0" w:space="0" w:color="auto"/>
            <w:right w:val="none" w:sz="0" w:space="0" w:color="auto"/>
          </w:divBdr>
        </w:div>
        <w:div w:id="270163611">
          <w:marLeft w:val="0"/>
          <w:marRight w:val="0"/>
          <w:marTop w:val="0"/>
          <w:marBottom w:val="0"/>
          <w:divBdr>
            <w:top w:val="none" w:sz="0" w:space="0" w:color="auto"/>
            <w:left w:val="none" w:sz="0" w:space="0" w:color="auto"/>
            <w:bottom w:val="none" w:sz="0" w:space="0" w:color="auto"/>
            <w:right w:val="none" w:sz="0" w:space="0" w:color="auto"/>
          </w:divBdr>
        </w:div>
        <w:div w:id="345593505">
          <w:marLeft w:val="0"/>
          <w:marRight w:val="0"/>
          <w:marTop w:val="0"/>
          <w:marBottom w:val="0"/>
          <w:divBdr>
            <w:top w:val="none" w:sz="0" w:space="0" w:color="auto"/>
            <w:left w:val="none" w:sz="0" w:space="0" w:color="auto"/>
            <w:bottom w:val="none" w:sz="0" w:space="0" w:color="auto"/>
            <w:right w:val="none" w:sz="0" w:space="0" w:color="auto"/>
          </w:divBdr>
        </w:div>
        <w:div w:id="751389205">
          <w:marLeft w:val="0"/>
          <w:marRight w:val="0"/>
          <w:marTop w:val="0"/>
          <w:marBottom w:val="0"/>
          <w:divBdr>
            <w:top w:val="none" w:sz="0" w:space="0" w:color="auto"/>
            <w:left w:val="none" w:sz="0" w:space="0" w:color="auto"/>
            <w:bottom w:val="none" w:sz="0" w:space="0" w:color="auto"/>
            <w:right w:val="none" w:sz="0" w:space="0" w:color="auto"/>
          </w:divBdr>
        </w:div>
        <w:div w:id="774862838">
          <w:marLeft w:val="0"/>
          <w:marRight w:val="0"/>
          <w:marTop w:val="0"/>
          <w:marBottom w:val="0"/>
          <w:divBdr>
            <w:top w:val="none" w:sz="0" w:space="0" w:color="auto"/>
            <w:left w:val="none" w:sz="0" w:space="0" w:color="auto"/>
            <w:bottom w:val="none" w:sz="0" w:space="0" w:color="auto"/>
            <w:right w:val="none" w:sz="0" w:space="0" w:color="auto"/>
          </w:divBdr>
        </w:div>
        <w:div w:id="875703641">
          <w:marLeft w:val="0"/>
          <w:marRight w:val="0"/>
          <w:marTop w:val="0"/>
          <w:marBottom w:val="0"/>
          <w:divBdr>
            <w:top w:val="none" w:sz="0" w:space="0" w:color="auto"/>
            <w:left w:val="none" w:sz="0" w:space="0" w:color="auto"/>
            <w:bottom w:val="none" w:sz="0" w:space="0" w:color="auto"/>
            <w:right w:val="none" w:sz="0" w:space="0" w:color="auto"/>
          </w:divBdr>
        </w:div>
        <w:div w:id="883718543">
          <w:marLeft w:val="0"/>
          <w:marRight w:val="0"/>
          <w:marTop w:val="0"/>
          <w:marBottom w:val="0"/>
          <w:divBdr>
            <w:top w:val="none" w:sz="0" w:space="0" w:color="auto"/>
            <w:left w:val="none" w:sz="0" w:space="0" w:color="auto"/>
            <w:bottom w:val="none" w:sz="0" w:space="0" w:color="auto"/>
            <w:right w:val="none" w:sz="0" w:space="0" w:color="auto"/>
          </w:divBdr>
        </w:div>
        <w:div w:id="953096345">
          <w:marLeft w:val="0"/>
          <w:marRight w:val="0"/>
          <w:marTop w:val="0"/>
          <w:marBottom w:val="0"/>
          <w:divBdr>
            <w:top w:val="none" w:sz="0" w:space="0" w:color="auto"/>
            <w:left w:val="none" w:sz="0" w:space="0" w:color="auto"/>
            <w:bottom w:val="none" w:sz="0" w:space="0" w:color="auto"/>
            <w:right w:val="none" w:sz="0" w:space="0" w:color="auto"/>
          </w:divBdr>
        </w:div>
        <w:div w:id="1066342704">
          <w:marLeft w:val="0"/>
          <w:marRight w:val="0"/>
          <w:marTop w:val="0"/>
          <w:marBottom w:val="0"/>
          <w:divBdr>
            <w:top w:val="none" w:sz="0" w:space="0" w:color="auto"/>
            <w:left w:val="none" w:sz="0" w:space="0" w:color="auto"/>
            <w:bottom w:val="none" w:sz="0" w:space="0" w:color="auto"/>
            <w:right w:val="none" w:sz="0" w:space="0" w:color="auto"/>
          </w:divBdr>
        </w:div>
        <w:div w:id="1144345973">
          <w:marLeft w:val="0"/>
          <w:marRight w:val="0"/>
          <w:marTop w:val="0"/>
          <w:marBottom w:val="0"/>
          <w:divBdr>
            <w:top w:val="none" w:sz="0" w:space="0" w:color="auto"/>
            <w:left w:val="none" w:sz="0" w:space="0" w:color="auto"/>
            <w:bottom w:val="none" w:sz="0" w:space="0" w:color="auto"/>
            <w:right w:val="none" w:sz="0" w:space="0" w:color="auto"/>
          </w:divBdr>
        </w:div>
        <w:div w:id="1244295923">
          <w:marLeft w:val="0"/>
          <w:marRight w:val="0"/>
          <w:marTop w:val="0"/>
          <w:marBottom w:val="0"/>
          <w:divBdr>
            <w:top w:val="none" w:sz="0" w:space="0" w:color="auto"/>
            <w:left w:val="none" w:sz="0" w:space="0" w:color="auto"/>
            <w:bottom w:val="none" w:sz="0" w:space="0" w:color="auto"/>
            <w:right w:val="none" w:sz="0" w:space="0" w:color="auto"/>
          </w:divBdr>
        </w:div>
        <w:div w:id="1292441419">
          <w:marLeft w:val="0"/>
          <w:marRight w:val="0"/>
          <w:marTop w:val="0"/>
          <w:marBottom w:val="0"/>
          <w:divBdr>
            <w:top w:val="none" w:sz="0" w:space="0" w:color="auto"/>
            <w:left w:val="none" w:sz="0" w:space="0" w:color="auto"/>
            <w:bottom w:val="none" w:sz="0" w:space="0" w:color="auto"/>
            <w:right w:val="none" w:sz="0" w:space="0" w:color="auto"/>
          </w:divBdr>
        </w:div>
        <w:div w:id="2069181550">
          <w:marLeft w:val="0"/>
          <w:marRight w:val="0"/>
          <w:marTop w:val="0"/>
          <w:marBottom w:val="0"/>
          <w:divBdr>
            <w:top w:val="none" w:sz="0" w:space="0" w:color="auto"/>
            <w:left w:val="none" w:sz="0" w:space="0" w:color="auto"/>
            <w:bottom w:val="none" w:sz="0" w:space="0" w:color="auto"/>
            <w:right w:val="none" w:sz="0" w:space="0" w:color="auto"/>
          </w:divBdr>
        </w:div>
        <w:div w:id="2130976668">
          <w:marLeft w:val="0"/>
          <w:marRight w:val="0"/>
          <w:marTop w:val="0"/>
          <w:marBottom w:val="0"/>
          <w:divBdr>
            <w:top w:val="none" w:sz="0" w:space="0" w:color="auto"/>
            <w:left w:val="none" w:sz="0" w:space="0" w:color="auto"/>
            <w:bottom w:val="none" w:sz="0" w:space="0" w:color="auto"/>
            <w:right w:val="none" w:sz="0" w:space="0" w:color="auto"/>
          </w:divBdr>
        </w:div>
      </w:divsChild>
    </w:div>
    <w:div w:id="935476416">
      <w:bodyDiv w:val="1"/>
      <w:marLeft w:val="0"/>
      <w:marRight w:val="0"/>
      <w:marTop w:val="0"/>
      <w:marBottom w:val="0"/>
      <w:divBdr>
        <w:top w:val="none" w:sz="0" w:space="0" w:color="auto"/>
        <w:left w:val="none" w:sz="0" w:space="0" w:color="auto"/>
        <w:bottom w:val="none" w:sz="0" w:space="0" w:color="auto"/>
        <w:right w:val="none" w:sz="0" w:space="0" w:color="auto"/>
      </w:divBdr>
    </w:div>
    <w:div w:id="937248704">
      <w:bodyDiv w:val="1"/>
      <w:marLeft w:val="0"/>
      <w:marRight w:val="0"/>
      <w:marTop w:val="0"/>
      <w:marBottom w:val="0"/>
      <w:divBdr>
        <w:top w:val="none" w:sz="0" w:space="0" w:color="auto"/>
        <w:left w:val="none" w:sz="0" w:space="0" w:color="auto"/>
        <w:bottom w:val="none" w:sz="0" w:space="0" w:color="auto"/>
        <w:right w:val="none" w:sz="0" w:space="0" w:color="auto"/>
      </w:divBdr>
    </w:div>
    <w:div w:id="968363722">
      <w:bodyDiv w:val="1"/>
      <w:marLeft w:val="0"/>
      <w:marRight w:val="0"/>
      <w:marTop w:val="0"/>
      <w:marBottom w:val="0"/>
      <w:divBdr>
        <w:top w:val="none" w:sz="0" w:space="0" w:color="auto"/>
        <w:left w:val="none" w:sz="0" w:space="0" w:color="auto"/>
        <w:bottom w:val="none" w:sz="0" w:space="0" w:color="auto"/>
        <w:right w:val="none" w:sz="0" w:space="0" w:color="auto"/>
      </w:divBdr>
      <w:divsChild>
        <w:div w:id="123620902">
          <w:marLeft w:val="274"/>
          <w:marRight w:val="0"/>
          <w:marTop w:val="0"/>
          <w:marBottom w:val="0"/>
          <w:divBdr>
            <w:top w:val="none" w:sz="0" w:space="0" w:color="auto"/>
            <w:left w:val="none" w:sz="0" w:space="0" w:color="auto"/>
            <w:bottom w:val="none" w:sz="0" w:space="0" w:color="auto"/>
            <w:right w:val="none" w:sz="0" w:space="0" w:color="auto"/>
          </w:divBdr>
        </w:div>
        <w:div w:id="229579225">
          <w:marLeft w:val="274"/>
          <w:marRight w:val="0"/>
          <w:marTop w:val="0"/>
          <w:marBottom w:val="0"/>
          <w:divBdr>
            <w:top w:val="none" w:sz="0" w:space="0" w:color="auto"/>
            <w:left w:val="none" w:sz="0" w:space="0" w:color="auto"/>
            <w:bottom w:val="none" w:sz="0" w:space="0" w:color="auto"/>
            <w:right w:val="none" w:sz="0" w:space="0" w:color="auto"/>
          </w:divBdr>
        </w:div>
        <w:div w:id="586839752">
          <w:marLeft w:val="274"/>
          <w:marRight w:val="0"/>
          <w:marTop w:val="0"/>
          <w:marBottom w:val="0"/>
          <w:divBdr>
            <w:top w:val="none" w:sz="0" w:space="0" w:color="auto"/>
            <w:left w:val="none" w:sz="0" w:space="0" w:color="auto"/>
            <w:bottom w:val="none" w:sz="0" w:space="0" w:color="auto"/>
            <w:right w:val="none" w:sz="0" w:space="0" w:color="auto"/>
          </w:divBdr>
        </w:div>
        <w:div w:id="671252047">
          <w:marLeft w:val="274"/>
          <w:marRight w:val="0"/>
          <w:marTop w:val="0"/>
          <w:marBottom w:val="0"/>
          <w:divBdr>
            <w:top w:val="none" w:sz="0" w:space="0" w:color="auto"/>
            <w:left w:val="none" w:sz="0" w:space="0" w:color="auto"/>
            <w:bottom w:val="none" w:sz="0" w:space="0" w:color="auto"/>
            <w:right w:val="none" w:sz="0" w:space="0" w:color="auto"/>
          </w:divBdr>
        </w:div>
        <w:div w:id="1790662003">
          <w:marLeft w:val="274"/>
          <w:marRight w:val="0"/>
          <w:marTop w:val="0"/>
          <w:marBottom w:val="0"/>
          <w:divBdr>
            <w:top w:val="none" w:sz="0" w:space="0" w:color="auto"/>
            <w:left w:val="none" w:sz="0" w:space="0" w:color="auto"/>
            <w:bottom w:val="none" w:sz="0" w:space="0" w:color="auto"/>
            <w:right w:val="none" w:sz="0" w:space="0" w:color="auto"/>
          </w:divBdr>
        </w:div>
        <w:div w:id="1853108478">
          <w:marLeft w:val="274"/>
          <w:marRight w:val="0"/>
          <w:marTop w:val="0"/>
          <w:marBottom w:val="0"/>
          <w:divBdr>
            <w:top w:val="none" w:sz="0" w:space="0" w:color="auto"/>
            <w:left w:val="none" w:sz="0" w:space="0" w:color="auto"/>
            <w:bottom w:val="none" w:sz="0" w:space="0" w:color="auto"/>
            <w:right w:val="none" w:sz="0" w:space="0" w:color="auto"/>
          </w:divBdr>
        </w:div>
        <w:div w:id="2107846869">
          <w:marLeft w:val="274"/>
          <w:marRight w:val="0"/>
          <w:marTop w:val="0"/>
          <w:marBottom w:val="0"/>
          <w:divBdr>
            <w:top w:val="none" w:sz="0" w:space="0" w:color="auto"/>
            <w:left w:val="none" w:sz="0" w:space="0" w:color="auto"/>
            <w:bottom w:val="none" w:sz="0" w:space="0" w:color="auto"/>
            <w:right w:val="none" w:sz="0" w:space="0" w:color="auto"/>
          </w:divBdr>
        </w:div>
      </w:divsChild>
    </w:div>
    <w:div w:id="968701714">
      <w:bodyDiv w:val="1"/>
      <w:marLeft w:val="0"/>
      <w:marRight w:val="0"/>
      <w:marTop w:val="0"/>
      <w:marBottom w:val="0"/>
      <w:divBdr>
        <w:top w:val="none" w:sz="0" w:space="0" w:color="auto"/>
        <w:left w:val="none" w:sz="0" w:space="0" w:color="auto"/>
        <w:bottom w:val="none" w:sz="0" w:space="0" w:color="auto"/>
        <w:right w:val="none" w:sz="0" w:space="0" w:color="auto"/>
      </w:divBdr>
      <w:divsChild>
        <w:div w:id="180290999">
          <w:marLeft w:val="0"/>
          <w:marRight w:val="0"/>
          <w:marTop w:val="0"/>
          <w:marBottom w:val="0"/>
          <w:divBdr>
            <w:top w:val="none" w:sz="0" w:space="0" w:color="auto"/>
            <w:left w:val="none" w:sz="0" w:space="0" w:color="auto"/>
            <w:bottom w:val="none" w:sz="0" w:space="0" w:color="auto"/>
            <w:right w:val="none" w:sz="0" w:space="0" w:color="auto"/>
          </w:divBdr>
          <w:divsChild>
            <w:div w:id="1724406110">
              <w:marLeft w:val="0"/>
              <w:marRight w:val="0"/>
              <w:marTop w:val="0"/>
              <w:marBottom w:val="0"/>
              <w:divBdr>
                <w:top w:val="none" w:sz="0" w:space="0" w:color="auto"/>
                <w:left w:val="none" w:sz="0" w:space="0" w:color="auto"/>
                <w:bottom w:val="none" w:sz="0" w:space="0" w:color="auto"/>
                <w:right w:val="none" w:sz="0" w:space="0" w:color="auto"/>
              </w:divBdr>
              <w:divsChild>
                <w:div w:id="1427577370">
                  <w:marLeft w:val="0"/>
                  <w:marRight w:val="0"/>
                  <w:marTop w:val="0"/>
                  <w:marBottom w:val="0"/>
                  <w:divBdr>
                    <w:top w:val="none" w:sz="0" w:space="0" w:color="auto"/>
                    <w:left w:val="none" w:sz="0" w:space="0" w:color="auto"/>
                    <w:bottom w:val="none" w:sz="0" w:space="0" w:color="auto"/>
                    <w:right w:val="none" w:sz="0" w:space="0" w:color="auto"/>
                  </w:divBdr>
                  <w:divsChild>
                    <w:div w:id="11126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67444">
      <w:bodyDiv w:val="1"/>
      <w:marLeft w:val="0"/>
      <w:marRight w:val="0"/>
      <w:marTop w:val="0"/>
      <w:marBottom w:val="0"/>
      <w:divBdr>
        <w:top w:val="none" w:sz="0" w:space="0" w:color="auto"/>
        <w:left w:val="none" w:sz="0" w:space="0" w:color="auto"/>
        <w:bottom w:val="none" w:sz="0" w:space="0" w:color="auto"/>
        <w:right w:val="none" w:sz="0" w:space="0" w:color="auto"/>
      </w:divBdr>
      <w:divsChild>
        <w:div w:id="847718651">
          <w:marLeft w:val="0"/>
          <w:marRight w:val="0"/>
          <w:marTop w:val="0"/>
          <w:marBottom w:val="0"/>
          <w:divBdr>
            <w:top w:val="none" w:sz="0" w:space="0" w:color="auto"/>
            <w:left w:val="none" w:sz="0" w:space="0" w:color="auto"/>
            <w:bottom w:val="none" w:sz="0" w:space="0" w:color="auto"/>
            <w:right w:val="none" w:sz="0" w:space="0" w:color="auto"/>
          </w:divBdr>
          <w:divsChild>
            <w:div w:id="221411901">
              <w:marLeft w:val="0"/>
              <w:marRight w:val="0"/>
              <w:marTop w:val="0"/>
              <w:marBottom w:val="0"/>
              <w:divBdr>
                <w:top w:val="none" w:sz="0" w:space="0" w:color="auto"/>
                <w:left w:val="none" w:sz="0" w:space="0" w:color="auto"/>
                <w:bottom w:val="none" w:sz="0" w:space="0" w:color="auto"/>
                <w:right w:val="none" w:sz="0" w:space="0" w:color="auto"/>
              </w:divBdr>
              <w:divsChild>
                <w:div w:id="983662321">
                  <w:marLeft w:val="0"/>
                  <w:marRight w:val="0"/>
                  <w:marTop w:val="0"/>
                  <w:marBottom w:val="0"/>
                  <w:divBdr>
                    <w:top w:val="none" w:sz="0" w:space="0" w:color="auto"/>
                    <w:left w:val="none" w:sz="0" w:space="0" w:color="auto"/>
                    <w:bottom w:val="none" w:sz="0" w:space="0" w:color="auto"/>
                    <w:right w:val="none" w:sz="0" w:space="0" w:color="auto"/>
                  </w:divBdr>
                  <w:divsChild>
                    <w:div w:id="10093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220324">
      <w:bodyDiv w:val="1"/>
      <w:marLeft w:val="0"/>
      <w:marRight w:val="0"/>
      <w:marTop w:val="0"/>
      <w:marBottom w:val="0"/>
      <w:divBdr>
        <w:top w:val="none" w:sz="0" w:space="0" w:color="auto"/>
        <w:left w:val="none" w:sz="0" w:space="0" w:color="auto"/>
        <w:bottom w:val="none" w:sz="0" w:space="0" w:color="auto"/>
        <w:right w:val="none" w:sz="0" w:space="0" w:color="auto"/>
      </w:divBdr>
    </w:div>
    <w:div w:id="1018696937">
      <w:bodyDiv w:val="1"/>
      <w:marLeft w:val="0"/>
      <w:marRight w:val="0"/>
      <w:marTop w:val="0"/>
      <w:marBottom w:val="0"/>
      <w:divBdr>
        <w:top w:val="none" w:sz="0" w:space="0" w:color="auto"/>
        <w:left w:val="none" w:sz="0" w:space="0" w:color="auto"/>
        <w:bottom w:val="none" w:sz="0" w:space="0" w:color="auto"/>
        <w:right w:val="none" w:sz="0" w:space="0" w:color="auto"/>
      </w:divBdr>
      <w:divsChild>
        <w:div w:id="170222147">
          <w:marLeft w:val="360"/>
          <w:marRight w:val="0"/>
          <w:marTop w:val="200"/>
          <w:marBottom w:val="0"/>
          <w:divBdr>
            <w:top w:val="none" w:sz="0" w:space="0" w:color="auto"/>
            <w:left w:val="none" w:sz="0" w:space="0" w:color="auto"/>
            <w:bottom w:val="none" w:sz="0" w:space="0" w:color="auto"/>
            <w:right w:val="none" w:sz="0" w:space="0" w:color="auto"/>
          </w:divBdr>
        </w:div>
        <w:div w:id="213662228">
          <w:marLeft w:val="360"/>
          <w:marRight w:val="0"/>
          <w:marTop w:val="200"/>
          <w:marBottom w:val="0"/>
          <w:divBdr>
            <w:top w:val="none" w:sz="0" w:space="0" w:color="auto"/>
            <w:left w:val="none" w:sz="0" w:space="0" w:color="auto"/>
            <w:bottom w:val="none" w:sz="0" w:space="0" w:color="auto"/>
            <w:right w:val="none" w:sz="0" w:space="0" w:color="auto"/>
          </w:divBdr>
        </w:div>
        <w:div w:id="793137362">
          <w:marLeft w:val="360"/>
          <w:marRight w:val="0"/>
          <w:marTop w:val="200"/>
          <w:marBottom w:val="0"/>
          <w:divBdr>
            <w:top w:val="none" w:sz="0" w:space="0" w:color="auto"/>
            <w:left w:val="none" w:sz="0" w:space="0" w:color="auto"/>
            <w:bottom w:val="none" w:sz="0" w:space="0" w:color="auto"/>
            <w:right w:val="none" w:sz="0" w:space="0" w:color="auto"/>
          </w:divBdr>
        </w:div>
        <w:div w:id="1287276170">
          <w:marLeft w:val="360"/>
          <w:marRight w:val="0"/>
          <w:marTop w:val="200"/>
          <w:marBottom w:val="0"/>
          <w:divBdr>
            <w:top w:val="none" w:sz="0" w:space="0" w:color="auto"/>
            <w:left w:val="none" w:sz="0" w:space="0" w:color="auto"/>
            <w:bottom w:val="none" w:sz="0" w:space="0" w:color="auto"/>
            <w:right w:val="none" w:sz="0" w:space="0" w:color="auto"/>
          </w:divBdr>
        </w:div>
        <w:div w:id="1299456493">
          <w:marLeft w:val="360"/>
          <w:marRight w:val="0"/>
          <w:marTop w:val="200"/>
          <w:marBottom w:val="0"/>
          <w:divBdr>
            <w:top w:val="none" w:sz="0" w:space="0" w:color="auto"/>
            <w:left w:val="none" w:sz="0" w:space="0" w:color="auto"/>
            <w:bottom w:val="none" w:sz="0" w:space="0" w:color="auto"/>
            <w:right w:val="none" w:sz="0" w:space="0" w:color="auto"/>
          </w:divBdr>
        </w:div>
        <w:div w:id="1521695779">
          <w:marLeft w:val="547"/>
          <w:marRight w:val="0"/>
          <w:marTop w:val="0"/>
          <w:marBottom w:val="160"/>
          <w:divBdr>
            <w:top w:val="none" w:sz="0" w:space="0" w:color="auto"/>
            <w:left w:val="none" w:sz="0" w:space="0" w:color="auto"/>
            <w:bottom w:val="none" w:sz="0" w:space="0" w:color="auto"/>
            <w:right w:val="none" w:sz="0" w:space="0" w:color="auto"/>
          </w:divBdr>
        </w:div>
        <w:div w:id="1853907443">
          <w:marLeft w:val="547"/>
          <w:marRight w:val="0"/>
          <w:marTop w:val="0"/>
          <w:marBottom w:val="160"/>
          <w:divBdr>
            <w:top w:val="none" w:sz="0" w:space="0" w:color="auto"/>
            <w:left w:val="none" w:sz="0" w:space="0" w:color="auto"/>
            <w:bottom w:val="none" w:sz="0" w:space="0" w:color="auto"/>
            <w:right w:val="none" w:sz="0" w:space="0" w:color="auto"/>
          </w:divBdr>
        </w:div>
        <w:div w:id="2067600507">
          <w:marLeft w:val="360"/>
          <w:marRight w:val="0"/>
          <w:marTop w:val="200"/>
          <w:marBottom w:val="0"/>
          <w:divBdr>
            <w:top w:val="none" w:sz="0" w:space="0" w:color="auto"/>
            <w:left w:val="none" w:sz="0" w:space="0" w:color="auto"/>
            <w:bottom w:val="none" w:sz="0" w:space="0" w:color="auto"/>
            <w:right w:val="none" w:sz="0" w:space="0" w:color="auto"/>
          </w:divBdr>
        </w:div>
      </w:divsChild>
    </w:div>
    <w:div w:id="1030183970">
      <w:bodyDiv w:val="1"/>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sChild>
            <w:div w:id="1485004430">
              <w:marLeft w:val="0"/>
              <w:marRight w:val="0"/>
              <w:marTop w:val="0"/>
              <w:marBottom w:val="0"/>
              <w:divBdr>
                <w:top w:val="none" w:sz="0" w:space="0" w:color="auto"/>
                <w:left w:val="none" w:sz="0" w:space="0" w:color="auto"/>
                <w:bottom w:val="none" w:sz="0" w:space="0" w:color="auto"/>
                <w:right w:val="none" w:sz="0" w:space="0" w:color="auto"/>
              </w:divBdr>
              <w:divsChild>
                <w:div w:id="54470317">
                  <w:marLeft w:val="0"/>
                  <w:marRight w:val="0"/>
                  <w:marTop w:val="0"/>
                  <w:marBottom w:val="0"/>
                  <w:divBdr>
                    <w:top w:val="none" w:sz="0" w:space="0" w:color="auto"/>
                    <w:left w:val="none" w:sz="0" w:space="0" w:color="auto"/>
                    <w:bottom w:val="none" w:sz="0" w:space="0" w:color="auto"/>
                    <w:right w:val="none" w:sz="0" w:space="0" w:color="auto"/>
                  </w:divBdr>
                  <w:divsChild>
                    <w:div w:id="20024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596892">
      <w:bodyDiv w:val="1"/>
      <w:marLeft w:val="0"/>
      <w:marRight w:val="0"/>
      <w:marTop w:val="0"/>
      <w:marBottom w:val="0"/>
      <w:divBdr>
        <w:top w:val="none" w:sz="0" w:space="0" w:color="auto"/>
        <w:left w:val="none" w:sz="0" w:space="0" w:color="auto"/>
        <w:bottom w:val="none" w:sz="0" w:space="0" w:color="auto"/>
        <w:right w:val="none" w:sz="0" w:space="0" w:color="auto"/>
      </w:divBdr>
    </w:div>
    <w:div w:id="1048602863">
      <w:bodyDiv w:val="1"/>
      <w:marLeft w:val="0"/>
      <w:marRight w:val="0"/>
      <w:marTop w:val="0"/>
      <w:marBottom w:val="0"/>
      <w:divBdr>
        <w:top w:val="none" w:sz="0" w:space="0" w:color="auto"/>
        <w:left w:val="none" w:sz="0" w:space="0" w:color="auto"/>
        <w:bottom w:val="none" w:sz="0" w:space="0" w:color="auto"/>
        <w:right w:val="none" w:sz="0" w:space="0" w:color="auto"/>
      </w:divBdr>
    </w:div>
    <w:div w:id="1057970031">
      <w:bodyDiv w:val="1"/>
      <w:marLeft w:val="0"/>
      <w:marRight w:val="0"/>
      <w:marTop w:val="0"/>
      <w:marBottom w:val="0"/>
      <w:divBdr>
        <w:top w:val="none" w:sz="0" w:space="0" w:color="auto"/>
        <w:left w:val="none" w:sz="0" w:space="0" w:color="auto"/>
        <w:bottom w:val="none" w:sz="0" w:space="0" w:color="auto"/>
        <w:right w:val="none" w:sz="0" w:space="0" w:color="auto"/>
      </w:divBdr>
    </w:div>
    <w:div w:id="1077091019">
      <w:bodyDiv w:val="1"/>
      <w:marLeft w:val="0"/>
      <w:marRight w:val="0"/>
      <w:marTop w:val="0"/>
      <w:marBottom w:val="0"/>
      <w:divBdr>
        <w:top w:val="none" w:sz="0" w:space="0" w:color="auto"/>
        <w:left w:val="none" w:sz="0" w:space="0" w:color="auto"/>
        <w:bottom w:val="none" w:sz="0" w:space="0" w:color="auto"/>
        <w:right w:val="none" w:sz="0" w:space="0" w:color="auto"/>
      </w:divBdr>
      <w:divsChild>
        <w:div w:id="2071341594">
          <w:marLeft w:val="0"/>
          <w:marRight w:val="0"/>
          <w:marTop w:val="0"/>
          <w:marBottom w:val="0"/>
          <w:divBdr>
            <w:top w:val="none" w:sz="0" w:space="0" w:color="auto"/>
            <w:left w:val="none" w:sz="0" w:space="0" w:color="auto"/>
            <w:bottom w:val="none" w:sz="0" w:space="0" w:color="auto"/>
            <w:right w:val="none" w:sz="0" w:space="0" w:color="auto"/>
          </w:divBdr>
          <w:divsChild>
            <w:div w:id="538129758">
              <w:marLeft w:val="0"/>
              <w:marRight w:val="0"/>
              <w:marTop w:val="0"/>
              <w:marBottom w:val="0"/>
              <w:divBdr>
                <w:top w:val="none" w:sz="0" w:space="0" w:color="auto"/>
                <w:left w:val="none" w:sz="0" w:space="0" w:color="auto"/>
                <w:bottom w:val="none" w:sz="0" w:space="0" w:color="auto"/>
                <w:right w:val="none" w:sz="0" w:space="0" w:color="auto"/>
              </w:divBdr>
              <w:divsChild>
                <w:div w:id="12408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22716">
      <w:bodyDiv w:val="1"/>
      <w:marLeft w:val="0"/>
      <w:marRight w:val="0"/>
      <w:marTop w:val="0"/>
      <w:marBottom w:val="0"/>
      <w:divBdr>
        <w:top w:val="none" w:sz="0" w:space="0" w:color="auto"/>
        <w:left w:val="none" w:sz="0" w:space="0" w:color="auto"/>
        <w:bottom w:val="none" w:sz="0" w:space="0" w:color="auto"/>
        <w:right w:val="none" w:sz="0" w:space="0" w:color="auto"/>
      </w:divBdr>
    </w:div>
    <w:div w:id="1082068823">
      <w:bodyDiv w:val="1"/>
      <w:marLeft w:val="0"/>
      <w:marRight w:val="0"/>
      <w:marTop w:val="0"/>
      <w:marBottom w:val="0"/>
      <w:divBdr>
        <w:top w:val="none" w:sz="0" w:space="0" w:color="auto"/>
        <w:left w:val="none" w:sz="0" w:space="0" w:color="auto"/>
        <w:bottom w:val="none" w:sz="0" w:space="0" w:color="auto"/>
        <w:right w:val="none" w:sz="0" w:space="0" w:color="auto"/>
      </w:divBdr>
      <w:divsChild>
        <w:div w:id="341129729">
          <w:marLeft w:val="0"/>
          <w:marRight w:val="0"/>
          <w:marTop w:val="0"/>
          <w:marBottom w:val="0"/>
          <w:divBdr>
            <w:top w:val="none" w:sz="0" w:space="0" w:color="auto"/>
            <w:left w:val="none" w:sz="0" w:space="0" w:color="auto"/>
            <w:bottom w:val="none" w:sz="0" w:space="0" w:color="auto"/>
            <w:right w:val="none" w:sz="0" w:space="0" w:color="auto"/>
          </w:divBdr>
          <w:divsChild>
            <w:div w:id="729306292">
              <w:marLeft w:val="0"/>
              <w:marRight w:val="0"/>
              <w:marTop w:val="0"/>
              <w:marBottom w:val="0"/>
              <w:divBdr>
                <w:top w:val="none" w:sz="0" w:space="0" w:color="auto"/>
                <w:left w:val="none" w:sz="0" w:space="0" w:color="auto"/>
                <w:bottom w:val="none" w:sz="0" w:space="0" w:color="auto"/>
                <w:right w:val="none" w:sz="0" w:space="0" w:color="auto"/>
              </w:divBdr>
              <w:divsChild>
                <w:div w:id="1837261665">
                  <w:marLeft w:val="0"/>
                  <w:marRight w:val="0"/>
                  <w:marTop w:val="0"/>
                  <w:marBottom w:val="0"/>
                  <w:divBdr>
                    <w:top w:val="none" w:sz="0" w:space="0" w:color="auto"/>
                    <w:left w:val="none" w:sz="0" w:space="0" w:color="auto"/>
                    <w:bottom w:val="none" w:sz="0" w:space="0" w:color="auto"/>
                    <w:right w:val="none" w:sz="0" w:space="0" w:color="auto"/>
                  </w:divBdr>
                  <w:divsChild>
                    <w:div w:id="3430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34690">
      <w:bodyDiv w:val="1"/>
      <w:marLeft w:val="0"/>
      <w:marRight w:val="0"/>
      <w:marTop w:val="0"/>
      <w:marBottom w:val="0"/>
      <w:divBdr>
        <w:top w:val="none" w:sz="0" w:space="0" w:color="auto"/>
        <w:left w:val="none" w:sz="0" w:space="0" w:color="auto"/>
        <w:bottom w:val="none" w:sz="0" w:space="0" w:color="auto"/>
        <w:right w:val="none" w:sz="0" w:space="0" w:color="auto"/>
      </w:divBdr>
    </w:div>
    <w:div w:id="1101611822">
      <w:bodyDiv w:val="1"/>
      <w:marLeft w:val="0"/>
      <w:marRight w:val="0"/>
      <w:marTop w:val="0"/>
      <w:marBottom w:val="0"/>
      <w:divBdr>
        <w:top w:val="none" w:sz="0" w:space="0" w:color="auto"/>
        <w:left w:val="none" w:sz="0" w:space="0" w:color="auto"/>
        <w:bottom w:val="none" w:sz="0" w:space="0" w:color="auto"/>
        <w:right w:val="none" w:sz="0" w:space="0" w:color="auto"/>
      </w:divBdr>
    </w:div>
    <w:div w:id="1120102934">
      <w:bodyDiv w:val="1"/>
      <w:marLeft w:val="0"/>
      <w:marRight w:val="0"/>
      <w:marTop w:val="0"/>
      <w:marBottom w:val="0"/>
      <w:divBdr>
        <w:top w:val="none" w:sz="0" w:space="0" w:color="auto"/>
        <w:left w:val="none" w:sz="0" w:space="0" w:color="auto"/>
        <w:bottom w:val="none" w:sz="0" w:space="0" w:color="auto"/>
        <w:right w:val="none" w:sz="0" w:space="0" w:color="auto"/>
      </w:divBdr>
    </w:div>
    <w:div w:id="1125656125">
      <w:bodyDiv w:val="1"/>
      <w:marLeft w:val="0"/>
      <w:marRight w:val="0"/>
      <w:marTop w:val="0"/>
      <w:marBottom w:val="0"/>
      <w:divBdr>
        <w:top w:val="none" w:sz="0" w:space="0" w:color="auto"/>
        <w:left w:val="none" w:sz="0" w:space="0" w:color="auto"/>
        <w:bottom w:val="none" w:sz="0" w:space="0" w:color="auto"/>
        <w:right w:val="none" w:sz="0" w:space="0" w:color="auto"/>
      </w:divBdr>
      <w:divsChild>
        <w:div w:id="1497261128">
          <w:marLeft w:val="0"/>
          <w:marRight w:val="0"/>
          <w:marTop w:val="0"/>
          <w:marBottom w:val="0"/>
          <w:divBdr>
            <w:top w:val="none" w:sz="0" w:space="0" w:color="auto"/>
            <w:left w:val="none" w:sz="0" w:space="0" w:color="auto"/>
            <w:bottom w:val="none" w:sz="0" w:space="0" w:color="auto"/>
            <w:right w:val="none" w:sz="0" w:space="0" w:color="auto"/>
          </w:divBdr>
          <w:divsChild>
            <w:div w:id="1407728903">
              <w:marLeft w:val="0"/>
              <w:marRight w:val="0"/>
              <w:marTop w:val="0"/>
              <w:marBottom w:val="0"/>
              <w:divBdr>
                <w:top w:val="none" w:sz="0" w:space="0" w:color="auto"/>
                <w:left w:val="none" w:sz="0" w:space="0" w:color="auto"/>
                <w:bottom w:val="none" w:sz="0" w:space="0" w:color="auto"/>
                <w:right w:val="none" w:sz="0" w:space="0" w:color="auto"/>
              </w:divBdr>
              <w:divsChild>
                <w:div w:id="632178225">
                  <w:marLeft w:val="0"/>
                  <w:marRight w:val="0"/>
                  <w:marTop w:val="0"/>
                  <w:marBottom w:val="0"/>
                  <w:divBdr>
                    <w:top w:val="none" w:sz="0" w:space="0" w:color="auto"/>
                    <w:left w:val="none" w:sz="0" w:space="0" w:color="auto"/>
                    <w:bottom w:val="none" w:sz="0" w:space="0" w:color="auto"/>
                    <w:right w:val="none" w:sz="0" w:space="0" w:color="auto"/>
                  </w:divBdr>
                  <w:divsChild>
                    <w:div w:id="2684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825238">
      <w:bodyDiv w:val="1"/>
      <w:marLeft w:val="0"/>
      <w:marRight w:val="0"/>
      <w:marTop w:val="0"/>
      <w:marBottom w:val="0"/>
      <w:divBdr>
        <w:top w:val="none" w:sz="0" w:space="0" w:color="auto"/>
        <w:left w:val="none" w:sz="0" w:space="0" w:color="auto"/>
        <w:bottom w:val="none" w:sz="0" w:space="0" w:color="auto"/>
        <w:right w:val="none" w:sz="0" w:space="0" w:color="auto"/>
      </w:divBdr>
      <w:divsChild>
        <w:div w:id="200746318">
          <w:marLeft w:val="0"/>
          <w:marRight w:val="0"/>
          <w:marTop w:val="0"/>
          <w:marBottom w:val="0"/>
          <w:divBdr>
            <w:top w:val="none" w:sz="0" w:space="0" w:color="auto"/>
            <w:left w:val="none" w:sz="0" w:space="0" w:color="auto"/>
            <w:bottom w:val="none" w:sz="0" w:space="0" w:color="auto"/>
            <w:right w:val="none" w:sz="0" w:space="0" w:color="auto"/>
          </w:divBdr>
          <w:divsChild>
            <w:div w:id="2115203073">
              <w:marLeft w:val="0"/>
              <w:marRight w:val="0"/>
              <w:marTop w:val="0"/>
              <w:marBottom w:val="0"/>
              <w:divBdr>
                <w:top w:val="none" w:sz="0" w:space="0" w:color="auto"/>
                <w:left w:val="none" w:sz="0" w:space="0" w:color="auto"/>
                <w:bottom w:val="none" w:sz="0" w:space="0" w:color="auto"/>
                <w:right w:val="none" w:sz="0" w:space="0" w:color="auto"/>
              </w:divBdr>
              <w:divsChild>
                <w:div w:id="848640938">
                  <w:marLeft w:val="0"/>
                  <w:marRight w:val="0"/>
                  <w:marTop w:val="0"/>
                  <w:marBottom w:val="0"/>
                  <w:divBdr>
                    <w:top w:val="none" w:sz="0" w:space="0" w:color="auto"/>
                    <w:left w:val="none" w:sz="0" w:space="0" w:color="auto"/>
                    <w:bottom w:val="none" w:sz="0" w:space="0" w:color="auto"/>
                    <w:right w:val="none" w:sz="0" w:space="0" w:color="auto"/>
                  </w:divBdr>
                  <w:divsChild>
                    <w:div w:id="211034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259136">
      <w:bodyDiv w:val="1"/>
      <w:marLeft w:val="0"/>
      <w:marRight w:val="0"/>
      <w:marTop w:val="0"/>
      <w:marBottom w:val="0"/>
      <w:divBdr>
        <w:top w:val="none" w:sz="0" w:space="0" w:color="auto"/>
        <w:left w:val="none" w:sz="0" w:space="0" w:color="auto"/>
        <w:bottom w:val="none" w:sz="0" w:space="0" w:color="auto"/>
        <w:right w:val="none" w:sz="0" w:space="0" w:color="auto"/>
      </w:divBdr>
    </w:div>
    <w:div w:id="1144003039">
      <w:bodyDiv w:val="1"/>
      <w:marLeft w:val="0"/>
      <w:marRight w:val="0"/>
      <w:marTop w:val="0"/>
      <w:marBottom w:val="0"/>
      <w:divBdr>
        <w:top w:val="none" w:sz="0" w:space="0" w:color="auto"/>
        <w:left w:val="none" w:sz="0" w:space="0" w:color="auto"/>
        <w:bottom w:val="none" w:sz="0" w:space="0" w:color="auto"/>
        <w:right w:val="none" w:sz="0" w:space="0" w:color="auto"/>
      </w:divBdr>
      <w:divsChild>
        <w:div w:id="642470302">
          <w:marLeft w:val="0"/>
          <w:marRight w:val="0"/>
          <w:marTop w:val="0"/>
          <w:marBottom w:val="0"/>
          <w:divBdr>
            <w:top w:val="none" w:sz="0" w:space="0" w:color="auto"/>
            <w:left w:val="none" w:sz="0" w:space="0" w:color="auto"/>
            <w:bottom w:val="none" w:sz="0" w:space="0" w:color="auto"/>
            <w:right w:val="none" w:sz="0" w:space="0" w:color="auto"/>
          </w:divBdr>
          <w:divsChild>
            <w:div w:id="1521312569">
              <w:marLeft w:val="0"/>
              <w:marRight w:val="0"/>
              <w:marTop w:val="0"/>
              <w:marBottom w:val="0"/>
              <w:divBdr>
                <w:top w:val="none" w:sz="0" w:space="0" w:color="auto"/>
                <w:left w:val="none" w:sz="0" w:space="0" w:color="auto"/>
                <w:bottom w:val="none" w:sz="0" w:space="0" w:color="auto"/>
                <w:right w:val="none" w:sz="0" w:space="0" w:color="auto"/>
              </w:divBdr>
              <w:divsChild>
                <w:div w:id="984892570">
                  <w:marLeft w:val="0"/>
                  <w:marRight w:val="0"/>
                  <w:marTop w:val="0"/>
                  <w:marBottom w:val="0"/>
                  <w:divBdr>
                    <w:top w:val="none" w:sz="0" w:space="0" w:color="auto"/>
                    <w:left w:val="none" w:sz="0" w:space="0" w:color="auto"/>
                    <w:bottom w:val="none" w:sz="0" w:space="0" w:color="auto"/>
                    <w:right w:val="none" w:sz="0" w:space="0" w:color="auto"/>
                  </w:divBdr>
                  <w:divsChild>
                    <w:div w:id="9300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66488">
      <w:bodyDiv w:val="1"/>
      <w:marLeft w:val="0"/>
      <w:marRight w:val="0"/>
      <w:marTop w:val="0"/>
      <w:marBottom w:val="0"/>
      <w:divBdr>
        <w:top w:val="none" w:sz="0" w:space="0" w:color="auto"/>
        <w:left w:val="none" w:sz="0" w:space="0" w:color="auto"/>
        <w:bottom w:val="none" w:sz="0" w:space="0" w:color="auto"/>
        <w:right w:val="none" w:sz="0" w:space="0" w:color="auto"/>
      </w:divBdr>
    </w:div>
    <w:div w:id="1169372343">
      <w:bodyDiv w:val="1"/>
      <w:marLeft w:val="0"/>
      <w:marRight w:val="0"/>
      <w:marTop w:val="0"/>
      <w:marBottom w:val="0"/>
      <w:divBdr>
        <w:top w:val="none" w:sz="0" w:space="0" w:color="auto"/>
        <w:left w:val="none" w:sz="0" w:space="0" w:color="auto"/>
        <w:bottom w:val="none" w:sz="0" w:space="0" w:color="auto"/>
        <w:right w:val="none" w:sz="0" w:space="0" w:color="auto"/>
      </w:divBdr>
      <w:divsChild>
        <w:div w:id="1921862947">
          <w:marLeft w:val="0"/>
          <w:marRight w:val="0"/>
          <w:marTop w:val="0"/>
          <w:marBottom w:val="0"/>
          <w:divBdr>
            <w:top w:val="none" w:sz="0" w:space="0" w:color="auto"/>
            <w:left w:val="none" w:sz="0" w:space="0" w:color="auto"/>
            <w:bottom w:val="none" w:sz="0" w:space="0" w:color="auto"/>
            <w:right w:val="none" w:sz="0" w:space="0" w:color="auto"/>
          </w:divBdr>
          <w:divsChild>
            <w:div w:id="448666722">
              <w:marLeft w:val="0"/>
              <w:marRight w:val="0"/>
              <w:marTop w:val="0"/>
              <w:marBottom w:val="0"/>
              <w:divBdr>
                <w:top w:val="none" w:sz="0" w:space="0" w:color="auto"/>
                <w:left w:val="none" w:sz="0" w:space="0" w:color="auto"/>
                <w:bottom w:val="none" w:sz="0" w:space="0" w:color="auto"/>
                <w:right w:val="none" w:sz="0" w:space="0" w:color="auto"/>
              </w:divBdr>
              <w:divsChild>
                <w:div w:id="2016034384">
                  <w:marLeft w:val="0"/>
                  <w:marRight w:val="0"/>
                  <w:marTop w:val="0"/>
                  <w:marBottom w:val="0"/>
                  <w:divBdr>
                    <w:top w:val="none" w:sz="0" w:space="0" w:color="auto"/>
                    <w:left w:val="none" w:sz="0" w:space="0" w:color="auto"/>
                    <w:bottom w:val="none" w:sz="0" w:space="0" w:color="auto"/>
                    <w:right w:val="none" w:sz="0" w:space="0" w:color="auto"/>
                  </w:divBdr>
                  <w:divsChild>
                    <w:div w:id="109952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77693">
      <w:bodyDiv w:val="1"/>
      <w:marLeft w:val="0"/>
      <w:marRight w:val="0"/>
      <w:marTop w:val="0"/>
      <w:marBottom w:val="0"/>
      <w:divBdr>
        <w:top w:val="none" w:sz="0" w:space="0" w:color="auto"/>
        <w:left w:val="none" w:sz="0" w:space="0" w:color="auto"/>
        <w:bottom w:val="none" w:sz="0" w:space="0" w:color="auto"/>
        <w:right w:val="none" w:sz="0" w:space="0" w:color="auto"/>
      </w:divBdr>
      <w:divsChild>
        <w:div w:id="252512157">
          <w:marLeft w:val="0"/>
          <w:marRight w:val="0"/>
          <w:marTop w:val="0"/>
          <w:marBottom w:val="0"/>
          <w:divBdr>
            <w:top w:val="none" w:sz="0" w:space="0" w:color="auto"/>
            <w:left w:val="none" w:sz="0" w:space="0" w:color="auto"/>
            <w:bottom w:val="none" w:sz="0" w:space="0" w:color="auto"/>
            <w:right w:val="none" w:sz="0" w:space="0" w:color="auto"/>
          </w:divBdr>
          <w:divsChild>
            <w:div w:id="30881179">
              <w:marLeft w:val="0"/>
              <w:marRight w:val="0"/>
              <w:marTop w:val="0"/>
              <w:marBottom w:val="0"/>
              <w:divBdr>
                <w:top w:val="none" w:sz="0" w:space="0" w:color="auto"/>
                <w:left w:val="none" w:sz="0" w:space="0" w:color="auto"/>
                <w:bottom w:val="none" w:sz="0" w:space="0" w:color="auto"/>
                <w:right w:val="none" w:sz="0" w:space="0" w:color="auto"/>
              </w:divBdr>
            </w:div>
            <w:div w:id="37827910">
              <w:marLeft w:val="0"/>
              <w:marRight w:val="0"/>
              <w:marTop w:val="0"/>
              <w:marBottom w:val="0"/>
              <w:divBdr>
                <w:top w:val="none" w:sz="0" w:space="0" w:color="auto"/>
                <w:left w:val="none" w:sz="0" w:space="0" w:color="auto"/>
                <w:bottom w:val="none" w:sz="0" w:space="0" w:color="auto"/>
                <w:right w:val="none" w:sz="0" w:space="0" w:color="auto"/>
              </w:divBdr>
            </w:div>
            <w:div w:id="155533249">
              <w:marLeft w:val="0"/>
              <w:marRight w:val="0"/>
              <w:marTop w:val="0"/>
              <w:marBottom w:val="0"/>
              <w:divBdr>
                <w:top w:val="none" w:sz="0" w:space="0" w:color="auto"/>
                <w:left w:val="none" w:sz="0" w:space="0" w:color="auto"/>
                <w:bottom w:val="none" w:sz="0" w:space="0" w:color="auto"/>
                <w:right w:val="none" w:sz="0" w:space="0" w:color="auto"/>
              </w:divBdr>
            </w:div>
            <w:div w:id="703285671">
              <w:marLeft w:val="0"/>
              <w:marRight w:val="0"/>
              <w:marTop w:val="0"/>
              <w:marBottom w:val="0"/>
              <w:divBdr>
                <w:top w:val="none" w:sz="0" w:space="0" w:color="auto"/>
                <w:left w:val="none" w:sz="0" w:space="0" w:color="auto"/>
                <w:bottom w:val="none" w:sz="0" w:space="0" w:color="auto"/>
                <w:right w:val="none" w:sz="0" w:space="0" w:color="auto"/>
              </w:divBdr>
            </w:div>
            <w:div w:id="901788594">
              <w:marLeft w:val="0"/>
              <w:marRight w:val="0"/>
              <w:marTop w:val="0"/>
              <w:marBottom w:val="0"/>
              <w:divBdr>
                <w:top w:val="none" w:sz="0" w:space="0" w:color="auto"/>
                <w:left w:val="none" w:sz="0" w:space="0" w:color="auto"/>
                <w:bottom w:val="none" w:sz="0" w:space="0" w:color="auto"/>
                <w:right w:val="none" w:sz="0" w:space="0" w:color="auto"/>
              </w:divBdr>
            </w:div>
            <w:div w:id="942542108">
              <w:marLeft w:val="0"/>
              <w:marRight w:val="0"/>
              <w:marTop w:val="0"/>
              <w:marBottom w:val="0"/>
              <w:divBdr>
                <w:top w:val="none" w:sz="0" w:space="0" w:color="auto"/>
                <w:left w:val="none" w:sz="0" w:space="0" w:color="auto"/>
                <w:bottom w:val="none" w:sz="0" w:space="0" w:color="auto"/>
                <w:right w:val="none" w:sz="0" w:space="0" w:color="auto"/>
              </w:divBdr>
            </w:div>
            <w:div w:id="995381152">
              <w:marLeft w:val="0"/>
              <w:marRight w:val="0"/>
              <w:marTop w:val="0"/>
              <w:marBottom w:val="0"/>
              <w:divBdr>
                <w:top w:val="none" w:sz="0" w:space="0" w:color="auto"/>
                <w:left w:val="none" w:sz="0" w:space="0" w:color="auto"/>
                <w:bottom w:val="none" w:sz="0" w:space="0" w:color="auto"/>
                <w:right w:val="none" w:sz="0" w:space="0" w:color="auto"/>
              </w:divBdr>
            </w:div>
            <w:div w:id="1032805427">
              <w:marLeft w:val="0"/>
              <w:marRight w:val="0"/>
              <w:marTop w:val="0"/>
              <w:marBottom w:val="0"/>
              <w:divBdr>
                <w:top w:val="none" w:sz="0" w:space="0" w:color="auto"/>
                <w:left w:val="none" w:sz="0" w:space="0" w:color="auto"/>
                <w:bottom w:val="none" w:sz="0" w:space="0" w:color="auto"/>
                <w:right w:val="none" w:sz="0" w:space="0" w:color="auto"/>
              </w:divBdr>
            </w:div>
            <w:div w:id="1126122255">
              <w:marLeft w:val="0"/>
              <w:marRight w:val="0"/>
              <w:marTop w:val="0"/>
              <w:marBottom w:val="0"/>
              <w:divBdr>
                <w:top w:val="none" w:sz="0" w:space="0" w:color="auto"/>
                <w:left w:val="none" w:sz="0" w:space="0" w:color="auto"/>
                <w:bottom w:val="none" w:sz="0" w:space="0" w:color="auto"/>
                <w:right w:val="none" w:sz="0" w:space="0" w:color="auto"/>
              </w:divBdr>
            </w:div>
            <w:div w:id="1223981880">
              <w:marLeft w:val="0"/>
              <w:marRight w:val="0"/>
              <w:marTop w:val="0"/>
              <w:marBottom w:val="0"/>
              <w:divBdr>
                <w:top w:val="none" w:sz="0" w:space="0" w:color="auto"/>
                <w:left w:val="none" w:sz="0" w:space="0" w:color="auto"/>
                <w:bottom w:val="none" w:sz="0" w:space="0" w:color="auto"/>
                <w:right w:val="none" w:sz="0" w:space="0" w:color="auto"/>
              </w:divBdr>
            </w:div>
            <w:div w:id="1312251893">
              <w:marLeft w:val="0"/>
              <w:marRight w:val="0"/>
              <w:marTop w:val="0"/>
              <w:marBottom w:val="0"/>
              <w:divBdr>
                <w:top w:val="none" w:sz="0" w:space="0" w:color="auto"/>
                <w:left w:val="none" w:sz="0" w:space="0" w:color="auto"/>
                <w:bottom w:val="none" w:sz="0" w:space="0" w:color="auto"/>
                <w:right w:val="none" w:sz="0" w:space="0" w:color="auto"/>
              </w:divBdr>
            </w:div>
            <w:div w:id="1346790713">
              <w:marLeft w:val="0"/>
              <w:marRight w:val="0"/>
              <w:marTop w:val="0"/>
              <w:marBottom w:val="0"/>
              <w:divBdr>
                <w:top w:val="none" w:sz="0" w:space="0" w:color="auto"/>
                <w:left w:val="none" w:sz="0" w:space="0" w:color="auto"/>
                <w:bottom w:val="none" w:sz="0" w:space="0" w:color="auto"/>
                <w:right w:val="none" w:sz="0" w:space="0" w:color="auto"/>
              </w:divBdr>
            </w:div>
            <w:div w:id="1384981398">
              <w:marLeft w:val="0"/>
              <w:marRight w:val="0"/>
              <w:marTop w:val="0"/>
              <w:marBottom w:val="0"/>
              <w:divBdr>
                <w:top w:val="none" w:sz="0" w:space="0" w:color="auto"/>
                <w:left w:val="none" w:sz="0" w:space="0" w:color="auto"/>
                <w:bottom w:val="none" w:sz="0" w:space="0" w:color="auto"/>
                <w:right w:val="none" w:sz="0" w:space="0" w:color="auto"/>
              </w:divBdr>
            </w:div>
            <w:div w:id="1600681163">
              <w:marLeft w:val="0"/>
              <w:marRight w:val="0"/>
              <w:marTop w:val="0"/>
              <w:marBottom w:val="0"/>
              <w:divBdr>
                <w:top w:val="none" w:sz="0" w:space="0" w:color="auto"/>
                <w:left w:val="none" w:sz="0" w:space="0" w:color="auto"/>
                <w:bottom w:val="none" w:sz="0" w:space="0" w:color="auto"/>
                <w:right w:val="none" w:sz="0" w:space="0" w:color="auto"/>
              </w:divBdr>
            </w:div>
            <w:div w:id="1843887671">
              <w:marLeft w:val="0"/>
              <w:marRight w:val="0"/>
              <w:marTop w:val="0"/>
              <w:marBottom w:val="0"/>
              <w:divBdr>
                <w:top w:val="none" w:sz="0" w:space="0" w:color="auto"/>
                <w:left w:val="none" w:sz="0" w:space="0" w:color="auto"/>
                <w:bottom w:val="none" w:sz="0" w:space="0" w:color="auto"/>
                <w:right w:val="none" w:sz="0" w:space="0" w:color="auto"/>
              </w:divBdr>
            </w:div>
            <w:div w:id="1993487724">
              <w:marLeft w:val="0"/>
              <w:marRight w:val="0"/>
              <w:marTop w:val="0"/>
              <w:marBottom w:val="0"/>
              <w:divBdr>
                <w:top w:val="none" w:sz="0" w:space="0" w:color="auto"/>
                <w:left w:val="none" w:sz="0" w:space="0" w:color="auto"/>
                <w:bottom w:val="none" w:sz="0" w:space="0" w:color="auto"/>
                <w:right w:val="none" w:sz="0" w:space="0" w:color="auto"/>
              </w:divBdr>
            </w:div>
            <w:div w:id="2052145302">
              <w:marLeft w:val="0"/>
              <w:marRight w:val="0"/>
              <w:marTop w:val="0"/>
              <w:marBottom w:val="0"/>
              <w:divBdr>
                <w:top w:val="none" w:sz="0" w:space="0" w:color="auto"/>
                <w:left w:val="none" w:sz="0" w:space="0" w:color="auto"/>
                <w:bottom w:val="none" w:sz="0" w:space="0" w:color="auto"/>
                <w:right w:val="none" w:sz="0" w:space="0" w:color="auto"/>
              </w:divBdr>
            </w:div>
          </w:divsChild>
        </w:div>
        <w:div w:id="754666246">
          <w:marLeft w:val="0"/>
          <w:marRight w:val="0"/>
          <w:marTop w:val="0"/>
          <w:marBottom w:val="0"/>
          <w:divBdr>
            <w:top w:val="none" w:sz="0" w:space="0" w:color="auto"/>
            <w:left w:val="none" w:sz="0" w:space="0" w:color="auto"/>
            <w:bottom w:val="none" w:sz="0" w:space="0" w:color="auto"/>
            <w:right w:val="none" w:sz="0" w:space="0" w:color="auto"/>
          </w:divBdr>
          <w:divsChild>
            <w:div w:id="15498891">
              <w:marLeft w:val="0"/>
              <w:marRight w:val="0"/>
              <w:marTop w:val="0"/>
              <w:marBottom w:val="0"/>
              <w:divBdr>
                <w:top w:val="none" w:sz="0" w:space="0" w:color="auto"/>
                <w:left w:val="none" w:sz="0" w:space="0" w:color="auto"/>
                <w:bottom w:val="none" w:sz="0" w:space="0" w:color="auto"/>
                <w:right w:val="none" w:sz="0" w:space="0" w:color="auto"/>
              </w:divBdr>
            </w:div>
            <w:div w:id="222258951">
              <w:marLeft w:val="0"/>
              <w:marRight w:val="0"/>
              <w:marTop w:val="0"/>
              <w:marBottom w:val="0"/>
              <w:divBdr>
                <w:top w:val="none" w:sz="0" w:space="0" w:color="auto"/>
                <w:left w:val="none" w:sz="0" w:space="0" w:color="auto"/>
                <w:bottom w:val="none" w:sz="0" w:space="0" w:color="auto"/>
                <w:right w:val="none" w:sz="0" w:space="0" w:color="auto"/>
              </w:divBdr>
            </w:div>
            <w:div w:id="342785214">
              <w:marLeft w:val="0"/>
              <w:marRight w:val="0"/>
              <w:marTop w:val="0"/>
              <w:marBottom w:val="0"/>
              <w:divBdr>
                <w:top w:val="none" w:sz="0" w:space="0" w:color="auto"/>
                <w:left w:val="none" w:sz="0" w:space="0" w:color="auto"/>
                <w:bottom w:val="none" w:sz="0" w:space="0" w:color="auto"/>
                <w:right w:val="none" w:sz="0" w:space="0" w:color="auto"/>
              </w:divBdr>
            </w:div>
            <w:div w:id="559826166">
              <w:marLeft w:val="0"/>
              <w:marRight w:val="0"/>
              <w:marTop w:val="0"/>
              <w:marBottom w:val="0"/>
              <w:divBdr>
                <w:top w:val="none" w:sz="0" w:space="0" w:color="auto"/>
                <w:left w:val="none" w:sz="0" w:space="0" w:color="auto"/>
                <w:bottom w:val="none" w:sz="0" w:space="0" w:color="auto"/>
                <w:right w:val="none" w:sz="0" w:space="0" w:color="auto"/>
              </w:divBdr>
            </w:div>
            <w:div w:id="570654320">
              <w:marLeft w:val="0"/>
              <w:marRight w:val="0"/>
              <w:marTop w:val="0"/>
              <w:marBottom w:val="0"/>
              <w:divBdr>
                <w:top w:val="none" w:sz="0" w:space="0" w:color="auto"/>
                <w:left w:val="none" w:sz="0" w:space="0" w:color="auto"/>
                <w:bottom w:val="none" w:sz="0" w:space="0" w:color="auto"/>
                <w:right w:val="none" w:sz="0" w:space="0" w:color="auto"/>
              </w:divBdr>
            </w:div>
            <w:div w:id="588120951">
              <w:marLeft w:val="0"/>
              <w:marRight w:val="0"/>
              <w:marTop w:val="0"/>
              <w:marBottom w:val="0"/>
              <w:divBdr>
                <w:top w:val="none" w:sz="0" w:space="0" w:color="auto"/>
                <w:left w:val="none" w:sz="0" w:space="0" w:color="auto"/>
                <w:bottom w:val="none" w:sz="0" w:space="0" w:color="auto"/>
                <w:right w:val="none" w:sz="0" w:space="0" w:color="auto"/>
              </w:divBdr>
            </w:div>
            <w:div w:id="678586583">
              <w:marLeft w:val="0"/>
              <w:marRight w:val="0"/>
              <w:marTop w:val="0"/>
              <w:marBottom w:val="0"/>
              <w:divBdr>
                <w:top w:val="none" w:sz="0" w:space="0" w:color="auto"/>
                <w:left w:val="none" w:sz="0" w:space="0" w:color="auto"/>
                <w:bottom w:val="none" w:sz="0" w:space="0" w:color="auto"/>
                <w:right w:val="none" w:sz="0" w:space="0" w:color="auto"/>
              </w:divBdr>
            </w:div>
            <w:div w:id="774400359">
              <w:marLeft w:val="0"/>
              <w:marRight w:val="0"/>
              <w:marTop w:val="0"/>
              <w:marBottom w:val="0"/>
              <w:divBdr>
                <w:top w:val="none" w:sz="0" w:space="0" w:color="auto"/>
                <w:left w:val="none" w:sz="0" w:space="0" w:color="auto"/>
                <w:bottom w:val="none" w:sz="0" w:space="0" w:color="auto"/>
                <w:right w:val="none" w:sz="0" w:space="0" w:color="auto"/>
              </w:divBdr>
            </w:div>
            <w:div w:id="839546441">
              <w:marLeft w:val="0"/>
              <w:marRight w:val="0"/>
              <w:marTop w:val="0"/>
              <w:marBottom w:val="0"/>
              <w:divBdr>
                <w:top w:val="none" w:sz="0" w:space="0" w:color="auto"/>
                <w:left w:val="none" w:sz="0" w:space="0" w:color="auto"/>
                <w:bottom w:val="none" w:sz="0" w:space="0" w:color="auto"/>
                <w:right w:val="none" w:sz="0" w:space="0" w:color="auto"/>
              </w:divBdr>
            </w:div>
            <w:div w:id="921765633">
              <w:marLeft w:val="0"/>
              <w:marRight w:val="0"/>
              <w:marTop w:val="0"/>
              <w:marBottom w:val="0"/>
              <w:divBdr>
                <w:top w:val="none" w:sz="0" w:space="0" w:color="auto"/>
                <w:left w:val="none" w:sz="0" w:space="0" w:color="auto"/>
                <w:bottom w:val="none" w:sz="0" w:space="0" w:color="auto"/>
                <w:right w:val="none" w:sz="0" w:space="0" w:color="auto"/>
              </w:divBdr>
            </w:div>
            <w:div w:id="951981711">
              <w:marLeft w:val="0"/>
              <w:marRight w:val="0"/>
              <w:marTop w:val="0"/>
              <w:marBottom w:val="0"/>
              <w:divBdr>
                <w:top w:val="none" w:sz="0" w:space="0" w:color="auto"/>
                <w:left w:val="none" w:sz="0" w:space="0" w:color="auto"/>
                <w:bottom w:val="none" w:sz="0" w:space="0" w:color="auto"/>
                <w:right w:val="none" w:sz="0" w:space="0" w:color="auto"/>
              </w:divBdr>
            </w:div>
            <w:div w:id="955793954">
              <w:marLeft w:val="0"/>
              <w:marRight w:val="0"/>
              <w:marTop w:val="0"/>
              <w:marBottom w:val="0"/>
              <w:divBdr>
                <w:top w:val="none" w:sz="0" w:space="0" w:color="auto"/>
                <w:left w:val="none" w:sz="0" w:space="0" w:color="auto"/>
                <w:bottom w:val="none" w:sz="0" w:space="0" w:color="auto"/>
                <w:right w:val="none" w:sz="0" w:space="0" w:color="auto"/>
              </w:divBdr>
            </w:div>
            <w:div w:id="1102843636">
              <w:marLeft w:val="0"/>
              <w:marRight w:val="0"/>
              <w:marTop w:val="0"/>
              <w:marBottom w:val="0"/>
              <w:divBdr>
                <w:top w:val="none" w:sz="0" w:space="0" w:color="auto"/>
                <w:left w:val="none" w:sz="0" w:space="0" w:color="auto"/>
                <w:bottom w:val="none" w:sz="0" w:space="0" w:color="auto"/>
                <w:right w:val="none" w:sz="0" w:space="0" w:color="auto"/>
              </w:divBdr>
            </w:div>
            <w:div w:id="1125735405">
              <w:marLeft w:val="0"/>
              <w:marRight w:val="0"/>
              <w:marTop w:val="0"/>
              <w:marBottom w:val="0"/>
              <w:divBdr>
                <w:top w:val="none" w:sz="0" w:space="0" w:color="auto"/>
                <w:left w:val="none" w:sz="0" w:space="0" w:color="auto"/>
                <w:bottom w:val="none" w:sz="0" w:space="0" w:color="auto"/>
                <w:right w:val="none" w:sz="0" w:space="0" w:color="auto"/>
              </w:divBdr>
            </w:div>
            <w:div w:id="1163397082">
              <w:marLeft w:val="0"/>
              <w:marRight w:val="0"/>
              <w:marTop w:val="0"/>
              <w:marBottom w:val="0"/>
              <w:divBdr>
                <w:top w:val="none" w:sz="0" w:space="0" w:color="auto"/>
                <w:left w:val="none" w:sz="0" w:space="0" w:color="auto"/>
                <w:bottom w:val="none" w:sz="0" w:space="0" w:color="auto"/>
                <w:right w:val="none" w:sz="0" w:space="0" w:color="auto"/>
              </w:divBdr>
            </w:div>
            <w:div w:id="1284921468">
              <w:marLeft w:val="0"/>
              <w:marRight w:val="0"/>
              <w:marTop w:val="0"/>
              <w:marBottom w:val="0"/>
              <w:divBdr>
                <w:top w:val="none" w:sz="0" w:space="0" w:color="auto"/>
                <w:left w:val="none" w:sz="0" w:space="0" w:color="auto"/>
                <w:bottom w:val="none" w:sz="0" w:space="0" w:color="auto"/>
                <w:right w:val="none" w:sz="0" w:space="0" w:color="auto"/>
              </w:divBdr>
            </w:div>
            <w:div w:id="1316104205">
              <w:marLeft w:val="0"/>
              <w:marRight w:val="0"/>
              <w:marTop w:val="0"/>
              <w:marBottom w:val="0"/>
              <w:divBdr>
                <w:top w:val="none" w:sz="0" w:space="0" w:color="auto"/>
                <w:left w:val="none" w:sz="0" w:space="0" w:color="auto"/>
                <w:bottom w:val="none" w:sz="0" w:space="0" w:color="auto"/>
                <w:right w:val="none" w:sz="0" w:space="0" w:color="auto"/>
              </w:divBdr>
            </w:div>
            <w:div w:id="2045444969">
              <w:marLeft w:val="0"/>
              <w:marRight w:val="0"/>
              <w:marTop w:val="0"/>
              <w:marBottom w:val="0"/>
              <w:divBdr>
                <w:top w:val="none" w:sz="0" w:space="0" w:color="auto"/>
                <w:left w:val="none" w:sz="0" w:space="0" w:color="auto"/>
                <w:bottom w:val="none" w:sz="0" w:space="0" w:color="auto"/>
                <w:right w:val="none" w:sz="0" w:space="0" w:color="auto"/>
              </w:divBdr>
            </w:div>
            <w:div w:id="20571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099">
      <w:bodyDiv w:val="1"/>
      <w:marLeft w:val="0"/>
      <w:marRight w:val="0"/>
      <w:marTop w:val="0"/>
      <w:marBottom w:val="0"/>
      <w:divBdr>
        <w:top w:val="none" w:sz="0" w:space="0" w:color="auto"/>
        <w:left w:val="none" w:sz="0" w:space="0" w:color="auto"/>
        <w:bottom w:val="none" w:sz="0" w:space="0" w:color="auto"/>
        <w:right w:val="none" w:sz="0" w:space="0" w:color="auto"/>
      </w:divBdr>
      <w:divsChild>
        <w:div w:id="462963955">
          <w:marLeft w:val="0"/>
          <w:marRight w:val="0"/>
          <w:marTop w:val="0"/>
          <w:marBottom w:val="0"/>
          <w:divBdr>
            <w:top w:val="none" w:sz="0" w:space="0" w:color="auto"/>
            <w:left w:val="none" w:sz="0" w:space="0" w:color="auto"/>
            <w:bottom w:val="none" w:sz="0" w:space="0" w:color="auto"/>
            <w:right w:val="none" w:sz="0" w:space="0" w:color="auto"/>
          </w:divBdr>
          <w:divsChild>
            <w:div w:id="1936399699">
              <w:marLeft w:val="0"/>
              <w:marRight w:val="0"/>
              <w:marTop w:val="0"/>
              <w:marBottom w:val="0"/>
              <w:divBdr>
                <w:top w:val="none" w:sz="0" w:space="0" w:color="auto"/>
                <w:left w:val="none" w:sz="0" w:space="0" w:color="auto"/>
                <w:bottom w:val="none" w:sz="0" w:space="0" w:color="auto"/>
                <w:right w:val="none" w:sz="0" w:space="0" w:color="auto"/>
              </w:divBdr>
              <w:divsChild>
                <w:div w:id="488402478">
                  <w:marLeft w:val="0"/>
                  <w:marRight w:val="0"/>
                  <w:marTop w:val="0"/>
                  <w:marBottom w:val="0"/>
                  <w:divBdr>
                    <w:top w:val="none" w:sz="0" w:space="0" w:color="auto"/>
                    <w:left w:val="none" w:sz="0" w:space="0" w:color="auto"/>
                    <w:bottom w:val="none" w:sz="0" w:space="0" w:color="auto"/>
                    <w:right w:val="none" w:sz="0" w:space="0" w:color="auto"/>
                  </w:divBdr>
                  <w:divsChild>
                    <w:div w:id="18382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74731">
      <w:bodyDiv w:val="1"/>
      <w:marLeft w:val="0"/>
      <w:marRight w:val="0"/>
      <w:marTop w:val="0"/>
      <w:marBottom w:val="0"/>
      <w:divBdr>
        <w:top w:val="none" w:sz="0" w:space="0" w:color="auto"/>
        <w:left w:val="none" w:sz="0" w:space="0" w:color="auto"/>
        <w:bottom w:val="none" w:sz="0" w:space="0" w:color="auto"/>
        <w:right w:val="none" w:sz="0" w:space="0" w:color="auto"/>
      </w:divBdr>
      <w:divsChild>
        <w:div w:id="512691673">
          <w:marLeft w:val="0"/>
          <w:marRight w:val="0"/>
          <w:marTop w:val="0"/>
          <w:marBottom w:val="0"/>
          <w:divBdr>
            <w:top w:val="none" w:sz="0" w:space="0" w:color="auto"/>
            <w:left w:val="none" w:sz="0" w:space="0" w:color="auto"/>
            <w:bottom w:val="none" w:sz="0" w:space="0" w:color="auto"/>
            <w:right w:val="none" w:sz="0" w:space="0" w:color="auto"/>
          </w:divBdr>
          <w:divsChild>
            <w:div w:id="1304434270">
              <w:marLeft w:val="0"/>
              <w:marRight w:val="0"/>
              <w:marTop w:val="0"/>
              <w:marBottom w:val="0"/>
              <w:divBdr>
                <w:top w:val="none" w:sz="0" w:space="0" w:color="auto"/>
                <w:left w:val="none" w:sz="0" w:space="0" w:color="auto"/>
                <w:bottom w:val="none" w:sz="0" w:space="0" w:color="auto"/>
                <w:right w:val="none" w:sz="0" w:space="0" w:color="auto"/>
              </w:divBdr>
              <w:divsChild>
                <w:div w:id="809052148">
                  <w:marLeft w:val="0"/>
                  <w:marRight w:val="0"/>
                  <w:marTop w:val="0"/>
                  <w:marBottom w:val="0"/>
                  <w:divBdr>
                    <w:top w:val="none" w:sz="0" w:space="0" w:color="auto"/>
                    <w:left w:val="none" w:sz="0" w:space="0" w:color="auto"/>
                    <w:bottom w:val="none" w:sz="0" w:space="0" w:color="auto"/>
                    <w:right w:val="none" w:sz="0" w:space="0" w:color="auto"/>
                  </w:divBdr>
                  <w:divsChild>
                    <w:div w:id="18527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1440">
      <w:bodyDiv w:val="1"/>
      <w:marLeft w:val="0"/>
      <w:marRight w:val="0"/>
      <w:marTop w:val="0"/>
      <w:marBottom w:val="0"/>
      <w:divBdr>
        <w:top w:val="none" w:sz="0" w:space="0" w:color="auto"/>
        <w:left w:val="none" w:sz="0" w:space="0" w:color="auto"/>
        <w:bottom w:val="none" w:sz="0" w:space="0" w:color="auto"/>
        <w:right w:val="none" w:sz="0" w:space="0" w:color="auto"/>
      </w:divBdr>
    </w:div>
    <w:div w:id="1252936652">
      <w:bodyDiv w:val="1"/>
      <w:marLeft w:val="0"/>
      <w:marRight w:val="0"/>
      <w:marTop w:val="0"/>
      <w:marBottom w:val="0"/>
      <w:divBdr>
        <w:top w:val="none" w:sz="0" w:space="0" w:color="auto"/>
        <w:left w:val="none" w:sz="0" w:space="0" w:color="auto"/>
        <w:bottom w:val="none" w:sz="0" w:space="0" w:color="auto"/>
        <w:right w:val="none" w:sz="0" w:space="0" w:color="auto"/>
      </w:divBdr>
      <w:divsChild>
        <w:div w:id="1609657640">
          <w:marLeft w:val="0"/>
          <w:marRight w:val="0"/>
          <w:marTop w:val="0"/>
          <w:marBottom w:val="0"/>
          <w:divBdr>
            <w:top w:val="none" w:sz="0" w:space="0" w:color="auto"/>
            <w:left w:val="none" w:sz="0" w:space="0" w:color="auto"/>
            <w:bottom w:val="none" w:sz="0" w:space="0" w:color="auto"/>
            <w:right w:val="none" w:sz="0" w:space="0" w:color="auto"/>
          </w:divBdr>
          <w:divsChild>
            <w:div w:id="555120524">
              <w:marLeft w:val="0"/>
              <w:marRight w:val="0"/>
              <w:marTop w:val="0"/>
              <w:marBottom w:val="0"/>
              <w:divBdr>
                <w:top w:val="none" w:sz="0" w:space="0" w:color="auto"/>
                <w:left w:val="none" w:sz="0" w:space="0" w:color="auto"/>
                <w:bottom w:val="none" w:sz="0" w:space="0" w:color="auto"/>
                <w:right w:val="none" w:sz="0" w:space="0" w:color="auto"/>
              </w:divBdr>
              <w:divsChild>
                <w:div w:id="1062145493">
                  <w:marLeft w:val="0"/>
                  <w:marRight w:val="0"/>
                  <w:marTop w:val="0"/>
                  <w:marBottom w:val="0"/>
                  <w:divBdr>
                    <w:top w:val="none" w:sz="0" w:space="0" w:color="auto"/>
                    <w:left w:val="none" w:sz="0" w:space="0" w:color="auto"/>
                    <w:bottom w:val="none" w:sz="0" w:space="0" w:color="auto"/>
                    <w:right w:val="none" w:sz="0" w:space="0" w:color="auto"/>
                  </w:divBdr>
                  <w:divsChild>
                    <w:div w:id="10209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628645">
      <w:bodyDiv w:val="1"/>
      <w:marLeft w:val="0"/>
      <w:marRight w:val="0"/>
      <w:marTop w:val="0"/>
      <w:marBottom w:val="0"/>
      <w:divBdr>
        <w:top w:val="none" w:sz="0" w:space="0" w:color="auto"/>
        <w:left w:val="none" w:sz="0" w:space="0" w:color="auto"/>
        <w:bottom w:val="none" w:sz="0" w:space="0" w:color="auto"/>
        <w:right w:val="none" w:sz="0" w:space="0" w:color="auto"/>
      </w:divBdr>
      <w:divsChild>
        <w:div w:id="904023768">
          <w:marLeft w:val="0"/>
          <w:marRight w:val="0"/>
          <w:marTop w:val="0"/>
          <w:marBottom w:val="0"/>
          <w:divBdr>
            <w:top w:val="none" w:sz="0" w:space="0" w:color="auto"/>
            <w:left w:val="none" w:sz="0" w:space="0" w:color="auto"/>
            <w:bottom w:val="none" w:sz="0" w:space="0" w:color="auto"/>
            <w:right w:val="none" w:sz="0" w:space="0" w:color="auto"/>
          </w:divBdr>
          <w:divsChild>
            <w:div w:id="1125586590">
              <w:marLeft w:val="0"/>
              <w:marRight w:val="0"/>
              <w:marTop w:val="0"/>
              <w:marBottom w:val="0"/>
              <w:divBdr>
                <w:top w:val="none" w:sz="0" w:space="0" w:color="auto"/>
                <w:left w:val="none" w:sz="0" w:space="0" w:color="auto"/>
                <w:bottom w:val="none" w:sz="0" w:space="0" w:color="auto"/>
                <w:right w:val="none" w:sz="0" w:space="0" w:color="auto"/>
              </w:divBdr>
              <w:divsChild>
                <w:div w:id="14900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15592">
      <w:bodyDiv w:val="1"/>
      <w:marLeft w:val="0"/>
      <w:marRight w:val="0"/>
      <w:marTop w:val="0"/>
      <w:marBottom w:val="0"/>
      <w:divBdr>
        <w:top w:val="none" w:sz="0" w:space="0" w:color="auto"/>
        <w:left w:val="none" w:sz="0" w:space="0" w:color="auto"/>
        <w:bottom w:val="none" w:sz="0" w:space="0" w:color="auto"/>
        <w:right w:val="none" w:sz="0" w:space="0" w:color="auto"/>
      </w:divBdr>
    </w:div>
    <w:div w:id="1290017252">
      <w:bodyDiv w:val="1"/>
      <w:marLeft w:val="0"/>
      <w:marRight w:val="0"/>
      <w:marTop w:val="0"/>
      <w:marBottom w:val="0"/>
      <w:divBdr>
        <w:top w:val="none" w:sz="0" w:space="0" w:color="auto"/>
        <w:left w:val="none" w:sz="0" w:space="0" w:color="auto"/>
        <w:bottom w:val="none" w:sz="0" w:space="0" w:color="auto"/>
        <w:right w:val="none" w:sz="0" w:space="0" w:color="auto"/>
      </w:divBdr>
    </w:div>
    <w:div w:id="1290480599">
      <w:bodyDiv w:val="1"/>
      <w:marLeft w:val="0"/>
      <w:marRight w:val="0"/>
      <w:marTop w:val="0"/>
      <w:marBottom w:val="0"/>
      <w:divBdr>
        <w:top w:val="none" w:sz="0" w:space="0" w:color="auto"/>
        <w:left w:val="none" w:sz="0" w:space="0" w:color="auto"/>
        <w:bottom w:val="none" w:sz="0" w:space="0" w:color="auto"/>
        <w:right w:val="none" w:sz="0" w:space="0" w:color="auto"/>
      </w:divBdr>
    </w:div>
    <w:div w:id="1310592546">
      <w:bodyDiv w:val="1"/>
      <w:marLeft w:val="0"/>
      <w:marRight w:val="0"/>
      <w:marTop w:val="0"/>
      <w:marBottom w:val="0"/>
      <w:divBdr>
        <w:top w:val="none" w:sz="0" w:space="0" w:color="auto"/>
        <w:left w:val="none" w:sz="0" w:space="0" w:color="auto"/>
        <w:bottom w:val="none" w:sz="0" w:space="0" w:color="auto"/>
        <w:right w:val="none" w:sz="0" w:space="0" w:color="auto"/>
      </w:divBdr>
      <w:divsChild>
        <w:div w:id="76680969">
          <w:marLeft w:val="0"/>
          <w:marRight w:val="0"/>
          <w:marTop w:val="0"/>
          <w:marBottom w:val="0"/>
          <w:divBdr>
            <w:top w:val="none" w:sz="0" w:space="0" w:color="auto"/>
            <w:left w:val="none" w:sz="0" w:space="0" w:color="auto"/>
            <w:bottom w:val="none" w:sz="0" w:space="0" w:color="auto"/>
            <w:right w:val="none" w:sz="0" w:space="0" w:color="auto"/>
          </w:divBdr>
          <w:divsChild>
            <w:div w:id="1223253689">
              <w:marLeft w:val="0"/>
              <w:marRight w:val="0"/>
              <w:marTop w:val="0"/>
              <w:marBottom w:val="0"/>
              <w:divBdr>
                <w:top w:val="none" w:sz="0" w:space="0" w:color="auto"/>
                <w:left w:val="none" w:sz="0" w:space="0" w:color="auto"/>
                <w:bottom w:val="none" w:sz="0" w:space="0" w:color="auto"/>
                <w:right w:val="none" w:sz="0" w:space="0" w:color="auto"/>
              </w:divBdr>
              <w:divsChild>
                <w:div w:id="1654480484">
                  <w:marLeft w:val="0"/>
                  <w:marRight w:val="0"/>
                  <w:marTop w:val="0"/>
                  <w:marBottom w:val="0"/>
                  <w:divBdr>
                    <w:top w:val="none" w:sz="0" w:space="0" w:color="auto"/>
                    <w:left w:val="none" w:sz="0" w:space="0" w:color="auto"/>
                    <w:bottom w:val="none" w:sz="0" w:space="0" w:color="auto"/>
                    <w:right w:val="none" w:sz="0" w:space="0" w:color="auto"/>
                  </w:divBdr>
                  <w:divsChild>
                    <w:div w:id="156559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90533">
      <w:bodyDiv w:val="1"/>
      <w:marLeft w:val="0"/>
      <w:marRight w:val="0"/>
      <w:marTop w:val="0"/>
      <w:marBottom w:val="0"/>
      <w:divBdr>
        <w:top w:val="none" w:sz="0" w:space="0" w:color="auto"/>
        <w:left w:val="none" w:sz="0" w:space="0" w:color="auto"/>
        <w:bottom w:val="none" w:sz="0" w:space="0" w:color="auto"/>
        <w:right w:val="none" w:sz="0" w:space="0" w:color="auto"/>
      </w:divBdr>
      <w:divsChild>
        <w:div w:id="1607350198">
          <w:marLeft w:val="0"/>
          <w:marRight w:val="0"/>
          <w:marTop w:val="180"/>
          <w:marBottom w:val="0"/>
          <w:divBdr>
            <w:top w:val="none" w:sz="0" w:space="0" w:color="auto"/>
            <w:left w:val="none" w:sz="0" w:space="0" w:color="auto"/>
            <w:bottom w:val="none" w:sz="0" w:space="0" w:color="auto"/>
            <w:right w:val="none" w:sz="0" w:space="0" w:color="auto"/>
          </w:divBdr>
        </w:div>
      </w:divsChild>
    </w:div>
    <w:div w:id="1351763646">
      <w:bodyDiv w:val="1"/>
      <w:marLeft w:val="0"/>
      <w:marRight w:val="0"/>
      <w:marTop w:val="0"/>
      <w:marBottom w:val="0"/>
      <w:divBdr>
        <w:top w:val="none" w:sz="0" w:space="0" w:color="auto"/>
        <w:left w:val="none" w:sz="0" w:space="0" w:color="auto"/>
        <w:bottom w:val="none" w:sz="0" w:space="0" w:color="auto"/>
        <w:right w:val="none" w:sz="0" w:space="0" w:color="auto"/>
      </w:divBdr>
      <w:divsChild>
        <w:div w:id="1907101856">
          <w:marLeft w:val="360"/>
          <w:marRight w:val="0"/>
          <w:marTop w:val="200"/>
          <w:marBottom w:val="0"/>
          <w:divBdr>
            <w:top w:val="none" w:sz="0" w:space="0" w:color="auto"/>
            <w:left w:val="none" w:sz="0" w:space="0" w:color="auto"/>
            <w:bottom w:val="none" w:sz="0" w:space="0" w:color="auto"/>
            <w:right w:val="none" w:sz="0" w:space="0" w:color="auto"/>
          </w:divBdr>
        </w:div>
      </w:divsChild>
    </w:div>
    <w:div w:id="1359891357">
      <w:bodyDiv w:val="1"/>
      <w:marLeft w:val="0"/>
      <w:marRight w:val="0"/>
      <w:marTop w:val="0"/>
      <w:marBottom w:val="0"/>
      <w:divBdr>
        <w:top w:val="none" w:sz="0" w:space="0" w:color="auto"/>
        <w:left w:val="none" w:sz="0" w:space="0" w:color="auto"/>
        <w:bottom w:val="none" w:sz="0" w:space="0" w:color="auto"/>
        <w:right w:val="none" w:sz="0" w:space="0" w:color="auto"/>
      </w:divBdr>
    </w:div>
    <w:div w:id="1364601263">
      <w:bodyDiv w:val="1"/>
      <w:marLeft w:val="0"/>
      <w:marRight w:val="0"/>
      <w:marTop w:val="0"/>
      <w:marBottom w:val="0"/>
      <w:divBdr>
        <w:top w:val="none" w:sz="0" w:space="0" w:color="auto"/>
        <w:left w:val="none" w:sz="0" w:space="0" w:color="auto"/>
        <w:bottom w:val="none" w:sz="0" w:space="0" w:color="auto"/>
        <w:right w:val="none" w:sz="0" w:space="0" w:color="auto"/>
      </w:divBdr>
      <w:divsChild>
        <w:div w:id="1426877893">
          <w:marLeft w:val="0"/>
          <w:marRight w:val="0"/>
          <w:marTop w:val="0"/>
          <w:marBottom w:val="0"/>
          <w:divBdr>
            <w:top w:val="none" w:sz="0" w:space="0" w:color="auto"/>
            <w:left w:val="none" w:sz="0" w:space="0" w:color="auto"/>
            <w:bottom w:val="none" w:sz="0" w:space="0" w:color="auto"/>
            <w:right w:val="none" w:sz="0" w:space="0" w:color="auto"/>
          </w:divBdr>
          <w:divsChild>
            <w:div w:id="1225527990">
              <w:marLeft w:val="0"/>
              <w:marRight w:val="0"/>
              <w:marTop w:val="0"/>
              <w:marBottom w:val="0"/>
              <w:divBdr>
                <w:top w:val="none" w:sz="0" w:space="0" w:color="auto"/>
                <w:left w:val="none" w:sz="0" w:space="0" w:color="auto"/>
                <w:bottom w:val="none" w:sz="0" w:space="0" w:color="auto"/>
                <w:right w:val="none" w:sz="0" w:space="0" w:color="auto"/>
              </w:divBdr>
              <w:divsChild>
                <w:div w:id="1127550902">
                  <w:marLeft w:val="0"/>
                  <w:marRight w:val="0"/>
                  <w:marTop w:val="0"/>
                  <w:marBottom w:val="0"/>
                  <w:divBdr>
                    <w:top w:val="none" w:sz="0" w:space="0" w:color="auto"/>
                    <w:left w:val="none" w:sz="0" w:space="0" w:color="auto"/>
                    <w:bottom w:val="none" w:sz="0" w:space="0" w:color="auto"/>
                    <w:right w:val="none" w:sz="0" w:space="0" w:color="auto"/>
                  </w:divBdr>
                  <w:divsChild>
                    <w:div w:id="601954951">
                      <w:marLeft w:val="0"/>
                      <w:marRight w:val="0"/>
                      <w:marTop w:val="0"/>
                      <w:marBottom w:val="0"/>
                      <w:divBdr>
                        <w:top w:val="none" w:sz="0" w:space="0" w:color="auto"/>
                        <w:left w:val="none" w:sz="0" w:space="0" w:color="auto"/>
                        <w:bottom w:val="none" w:sz="0" w:space="0" w:color="auto"/>
                        <w:right w:val="none" w:sz="0" w:space="0" w:color="auto"/>
                      </w:divBdr>
                      <w:divsChild>
                        <w:div w:id="1468203546">
                          <w:marLeft w:val="0"/>
                          <w:marRight w:val="0"/>
                          <w:marTop w:val="0"/>
                          <w:marBottom w:val="0"/>
                          <w:divBdr>
                            <w:top w:val="none" w:sz="0" w:space="0" w:color="auto"/>
                            <w:left w:val="none" w:sz="0" w:space="0" w:color="auto"/>
                            <w:bottom w:val="none" w:sz="0" w:space="0" w:color="auto"/>
                            <w:right w:val="none" w:sz="0" w:space="0" w:color="auto"/>
                          </w:divBdr>
                          <w:divsChild>
                            <w:div w:id="4691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674914">
      <w:bodyDiv w:val="1"/>
      <w:marLeft w:val="0"/>
      <w:marRight w:val="0"/>
      <w:marTop w:val="0"/>
      <w:marBottom w:val="0"/>
      <w:divBdr>
        <w:top w:val="none" w:sz="0" w:space="0" w:color="auto"/>
        <w:left w:val="none" w:sz="0" w:space="0" w:color="auto"/>
        <w:bottom w:val="none" w:sz="0" w:space="0" w:color="auto"/>
        <w:right w:val="none" w:sz="0" w:space="0" w:color="auto"/>
      </w:divBdr>
    </w:div>
    <w:div w:id="1366758087">
      <w:bodyDiv w:val="1"/>
      <w:marLeft w:val="0"/>
      <w:marRight w:val="0"/>
      <w:marTop w:val="0"/>
      <w:marBottom w:val="0"/>
      <w:divBdr>
        <w:top w:val="none" w:sz="0" w:space="0" w:color="auto"/>
        <w:left w:val="none" w:sz="0" w:space="0" w:color="auto"/>
        <w:bottom w:val="none" w:sz="0" w:space="0" w:color="auto"/>
        <w:right w:val="none" w:sz="0" w:space="0" w:color="auto"/>
      </w:divBdr>
    </w:div>
    <w:div w:id="1385911613">
      <w:bodyDiv w:val="1"/>
      <w:marLeft w:val="0"/>
      <w:marRight w:val="0"/>
      <w:marTop w:val="0"/>
      <w:marBottom w:val="0"/>
      <w:divBdr>
        <w:top w:val="none" w:sz="0" w:space="0" w:color="auto"/>
        <w:left w:val="none" w:sz="0" w:space="0" w:color="auto"/>
        <w:bottom w:val="none" w:sz="0" w:space="0" w:color="auto"/>
        <w:right w:val="none" w:sz="0" w:space="0" w:color="auto"/>
      </w:divBdr>
    </w:div>
    <w:div w:id="1386758709">
      <w:bodyDiv w:val="1"/>
      <w:marLeft w:val="0"/>
      <w:marRight w:val="0"/>
      <w:marTop w:val="0"/>
      <w:marBottom w:val="0"/>
      <w:divBdr>
        <w:top w:val="none" w:sz="0" w:space="0" w:color="auto"/>
        <w:left w:val="none" w:sz="0" w:space="0" w:color="auto"/>
        <w:bottom w:val="none" w:sz="0" w:space="0" w:color="auto"/>
        <w:right w:val="none" w:sz="0" w:space="0" w:color="auto"/>
      </w:divBdr>
      <w:divsChild>
        <w:div w:id="1965114291">
          <w:marLeft w:val="0"/>
          <w:marRight w:val="0"/>
          <w:marTop w:val="0"/>
          <w:marBottom w:val="0"/>
          <w:divBdr>
            <w:top w:val="none" w:sz="0" w:space="0" w:color="auto"/>
            <w:left w:val="none" w:sz="0" w:space="0" w:color="auto"/>
            <w:bottom w:val="none" w:sz="0" w:space="0" w:color="auto"/>
            <w:right w:val="none" w:sz="0" w:space="0" w:color="auto"/>
          </w:divBdr>
          <w:divsChild>
            <w:div w:id="2074967455">
              <w:marLeft w:val="0"/>
              <w:marRight w:val="0"/>
              <w:marTop w:val="0"/>
              <w:marBottom w:val="0"/>
              <w:divBdr>
                <w:top w:val="none" w:sz="0" w:space="0" w:color="auto"/>
                <w:left w:val="none" w:sz="0" w:space="0" w:color="auto"/>
                <w:bottom w:val="none" w:sz="0" w:space="0" w:color="auto"/>
                <w:right w:val="none" w:sz="0" w:space="0" w:color="auto"/>
              </w:divBdr>
              <w:divsChild>
                <w:div w:id="61828540">
                  <w:marLeft w:val="0"/>
                  <w:marRight w:val="0"/>
                  <w:marTop w:val="0"/>
                  <w:marBottom w:val="0"/>
                  <w:divBdr>
                    <w:top w:val="none" w:sz="0" w:space="0" w:color="auto"/>
                    <w:left w:val="none" w:sz="0" w:space="0" w:color="auto"/>
                    <w:bottom w:val="none" w:sz="0" w:space="0" w:color="auto"/>
                    <w:right w:val="none" w:sz="0" w:space="0" w:color="auto"/>
                  </w:divBdr>
                  <w:divsChild>
                    <w:div w:id="733086827">
                      <w:marLeft w:val="0"/>
                      <w:marRight w:val="0"/>
                      <w:marTop w:val="0"/>
                      <w:marBottom w:val="0"/>
                      <w:divBdr>
                        <w:top w:val="none" w:sz="0" w:space="0" w:color="auto"/>
                        <w:left w:val="none" w:sz="0" w:space="0" w:color="auto"/>
                        <w:bottom w:val="none" w:sz="0" w:space="0" w:color="auto"/>
                        <w:right w:val="none" w:sz="0" w:space="0" w:color="auto"/>
                      </w:divBdr>
                    </w:div>
                  </w:divsChild>
                </w:div>
                <w:div w:id="67534027">
                  <w:marLeft w:val="0"/>
                  <w:marRight w:val="0"/>
                  <w:marTop w:val="0"/>
                  <w:marBottom w:val="0"/>
                  <w:divBdr>
                    <w:top w:val="none" w:sz="0" w:space="0" w:color="auto"/>
                    <w:left w:val="none" w:sz="0" w:space="0" w:color="auto"/>
                    <w:bottom w:val="none" w:sz="0" w:space="0" w:color="auto"/>
                    <w:right w:val="none" w:sz="0" w:space="0" w:color="auto"/>
                  </w:divBdr>
                  <w:divsChild>
                    <w:div w:id="1212352432">
                      <w:marLeft w:val="0"/>
                      <w:marRight w:val="0"/>
                      <w:marTop w:val="0"/>
                      <w:marBottom w:val="0"/>
                      <w:divBdr>
                        <w:top w:val="none" w:sz="0" w:space="0" w:color="auto"/>
                        <w:left w:val="none" w:sz="0" w:space="0" w:color="auto"/>
                        <w:bottom w:val="none" w:sz="0" w:space="0" w:color="auto"/>
                        <w:right w:val="none" w:sz="0" w:space="0" w:color="auto"/>
                      </w:divBdr>
                    </w:div>
                  </w:divsChild>
                </w:div>
                <w:div w:id="70547161">
                  <w:marLeft w:val="0"/>
                  <w:marRight w:val="0"/>
                  <w:marTop w:val="0"/>
                  <w:marBottom w:val="0"/>
                  <w:divBdr>
                    <w:top w:val="none" w:sz="0" w:space="0" w:color="auto"/>
                    <w:left w:val="none" w:sz="0" w:space="0" w:color="auto"/>
                    <w:bottom w:val="none" w:sz="0" w:space="0" w:color="auto"/>
                    <w:right w:val="none" w:sz="0" w:space="0" w:color="auto"/>
                  </w:divBdr>
                  <w:divsChild>
                    <w:div w:id="1693065021">
                      <w:marLeft w:val="0"/>
                      <w:marRight w:val="0"/>
                      <w:marTop w:val="0"/>
                      <w:marBottom w:val="0"/>
                      <w:divBdr>
                        <w:top w:val="none" w:sz="0" w:space="0" w:color="auto"/>
                        <w:left w:val="none" w:sz="0" w:space="0" w:color="auto"/>
                        <w:bottom w:val="none" w:sz="0" w:space="0" w:color="auto"/>
                        <w:right w:val="none" w:sz="0" w:space="0" w:color="auto"/>
                      </w:divBdr>
                    </w:div>
                  </w:divsChild>
                </w:div>
                <w:div w:id="70929407">
                  <w:marLeft w:val="0"/>
                  <w:marRight w:val="0"/>
                  <w:marTop w:val="0"/>
                  <w:marBottom w:val="0"/>
                  <w:divBdr>
                    <w:top w:val="none" w:sz="0" w:space="0" w:color="auto"/>
                    <w:left w:val="none" w:sz="0" w:space="0" w:color="auto"/>
                    <w:bottom w:val="none" w:sz="0" w:space="0" w:color="auto"/>
                    <w:right w:val="none" w:sz="0" w:space="0" w:color="auto"/>
                  </w:divBdr>
                  <w:divsChild>
                    <w:div w:id="629476189">
                      <w:marLeft w:val="0"/>
                      <w:marRight w:val="0"/>
                      <w:marTop w:val="0"/>
                      <w:marBottom w:val="0"/>
                      <w:divBdr>
                        <w:top w:val="none" w:sz="0" w:space="0" w:color="auto"/>
                        <w:left w:val="none" w:sz="0" w:space="0" w:color="auto"/>
                        <w:bottom w:val="none" w:sz="0" w:space="0" w:color="auto"/>
                        <w:right w:val="none" w:sz="0" w:space="0" w:color="auto"/>
                      </w:divBdr>
                    </w:div>
                  </w:divsChild>
                </w:div>
                <w:div w:id="86192494">
                  <w:marLeft w:val="0"/>
                  <w:marRight w:val="0"/>
                  <w:marTop w:val="0"/>
                  <w:marBottom w:val="0"/>
                  <w:divBdr>
                    <w:top w:val="none" w:sz="0" w:space="0" w:color="auto"/>
                    <w:left w:val="none" w:sz="0" w:space="0" w:color="auto"/>
                    <w:bottom w:val="none" w:sz="0" w:space="0" w:color="auto"/>
                    <w:right w:val="none" w:sz="0" w:space="0" w:color="auto"/>
                  </w:divBdr>
                  <w:divsChild>
                    <w:div w:id="1729721362">
                      <w:marLeft w:val="0"/>
                      <w:marRight w:val="0"/>
                      <w:marTop w:val="0"/>
                      <w:marBottom w:val="0"/>
                      <w:divBdr>
                        <w:top w:val="none" w:sz="0" w:space="0" w:color="auto"/>
                        <w:left w:val="none" w:sz="0" w:space="0" w:color="auto"/>
                        <w:bottom w:val="none" w:sz="0" w:space="0" w:color="auto"/>
                        <w:right w:val="none" w:sz="0" w:space="0" w:color="auto"/>
                      </w:divBdr>
                    </w:div>
                  </w:divsChild>
                </w:div>
                <w:div w:id="92096349">
                  <w:marLeft w:val="0"/>
                  <w:marRight w:val="0"/>
                  <w:marTop w:val="0"/>
                  <w:marBottom w:val="0"/>
                  <w:divBdr>
                    <w:top w:val="none" w:sz="0" w:space="0" w:color="auto"/>
                    <w:left w:val="none" w:sz="0" w:space="0" w:color="auto"/>
                    <w:bottom w:val="none" w:sz="0" w:space="0" w:color="auto"/>
                    <w:right w:val="none" w:sz="0" w:space="0" w:color="auto"/>
                  </w:divBdr>
                  <w:divsChild>
                    <w:div w:id="590700601">
                      <w:marLeft w:val="0"/>
                      <w:marRight w:val="0"/>
                      <w:marTop w:val="0"/>
                      <w:marBottom w:val="0"/>
                      <w:divBdr>
                        <w:top w:val="none" w:sz="0" w:space="0" w:color="auto"/>
                        <w:left w:val="none" w:sz="0" w:space="0" w:color="auto"/>
                        <w:bottom w:val="none" w:sz="0" w:space="0" w:color="auto"/>
                        <w:right w:val="none" w:sz="0" w:space="0" w:color="auto"/>
                      </w:divBdr>
                    </w:div>
                  </w:divsChild>
                </w:div>
                <w:div w:id="100954014">
                  <w:marLeft w:val="0"/>
                  <w:marRight w:val="0"/>
                  <w:marTop w:val="0"/>
                  <w:marBottom w:val="0"/>
                  <w:divBdr>
                    <w:top w:val="none" w:sz="0" w:space="0" w:color="auto"/>
                    <w:left w:val="none" w:sz="0" w:space="0" w:color="auto"/>
                    <w:bottom w:val="none" w:sz="0" w:space="0" w:color="auto"/>
                    <w:right w:val="none" w:sz="0" w:space="0" w:color="auto"/>
                  </w:divBdr>
                  <w:divsChild>
                    <w:div w:id="2036613758">
                      <w:marLeft w:val="0"/>
                      <w:marRight w:val="0"/>
                      <w:marTop w:val="0"/>
                      <w:marBottom w:val="0"/>
                      <w:divBdr>
                        <w:top w:val="none" w:sz="0" w:space="0" w:color="auto"/>
                        <w:left w:val="none" w:sz="0" w:space="0" w:color="auto"/>
                        <w:bottom w:val="none" w:sz="0" w:space="0" w:color="auto"/>
                        <w:right w:val="none" w:sz="0" w:space="0" w:color="auto"/>
                      </w:divBdr>
                    </w:div>
                  </w:divsChild>
                </w:div>
                <w:div w:id="115680789">
                  <w:marLeft w:val="0"/>
                  <w:marRight w:val="0"/>
                  <w:marTop w:val="0"/>
                  <w:marBottom w:val="0"/>
                  <w:divBdr>
                    <w:top w:val="none" w:sz="0" w:space="0" w:color="auto"/>
                    <w:left w:val="none" w:sz="0" w:space="0" w:color="auto"/>
                    <w:bottom w:val="none" w:sz="0" w:space="0" w:color="auto"/>
                    <w:right w:val="none" w:sz="0" w:space="0" w:color="auto"/>
                  </w:divBdr>
                  <w:divsChild>
                    <w:div w:id="242377768">
                      <w:marLeft w:val="0"/>
                      <w:marRight w:val="0"/>
                      <w:marTop w:val="0"/>
                      <w:marBottom w:val="0"/>
                      <w:divBdr>
                        <w:top w:val="none" w:sz="0" w:space="0" w:color="auto"/>
                        <w:left w:val="none" w:sz="0" w:space="0" w:color="auto"/>
                        <w:bottom w:val="none" w:sz="0" w:space="0" w:color="auto"/>
                        <w:right w:val="none" w:sz="0" w:space="0" w:color="auto"/>
                      </w:divBdr>
                    </w:div>
                  </w:divsChild>
                </w:div>
                <w:div w:id="147287851">
                  <w:marLeft w:val="0"/>
                  <w:marRight w:val="0"/>
                  <w:marTop w:val="0"/>
                  <w:marBottom w:val="0"/>
                  <w:divBdr>
                    <w:top w:val="none" w:sz="0" w:space="0" w:color="auto"/>
                    <w:left w:val="none" w:sz="0" w:space="0" w:color="auto"/>
                    <w:bottom w:val="none" w:sz="0" w:space="0" w:color="auto"/>
                    <w:right w:val="none" w:sz="0" w:space="0" w:color="auto"/>
                  </w:divBdr>
                  <w:divsChild>
                    <w:div w:id="780300359">
                      <w:marLeft w:val="0"/>
                      <w:marRight w:val="0"/>
                      <w:marTop w:val="0"/>
                      <w:marBottom w:val="0"/>
                      <w:divBdr>
                        <w:top w:val="none" w:sz="0" w:space="0" w:color="auto"/>
                        <w:left w:val="none" w:sz="0" w:space="0" w:color="auto"/>
                        <w:bottom w:val="none" w:sz="0" w:space="0" w:color="auto"/>
                        <w:right w:val="none" w:sz="0" w:space="0" w:color="auto"/>
                      </w:divBdr>
                    </w:div>
                  </w:divsChild>
                </w:div>
                <w:div w:id="150416169">
                  <w:marLeft w:val="0"/>
                  <w:marRight w:val="0"/>
                  <w:marTop w:val="0"/>
                  <w:marBottom w:val="0"/>
                  <w:divBdr>
                    <w:top w:val="none" w:sz="0" w:space="0" w:color="auto"/>
                    <w:left w:val="none" w:sz="0" w:space="0" w:color="auto"/>
                    <w:bottom w:val="none" w:sz="0" w:space="0" w:color="auto"/>
                    <w:right w:val="none" w:sz="0" w:space="0" w:color="auto"/>
                  </w:divBdr>
                  <w:divsChild>
                    <w:div w:id="1057120523">
                      <w:marLeft w:val="0"/>
                      <w:marRight w:val="0"/>
                      <w:marTop w:val="0"/>
                      <w:marBottom w:val="0"/>
                      <w:divBdr>
                        <w:top w:val="none" w:sz="0" w:space="0" w:color="auto"/>
                        <w:left w:val="none" w:sz="0" w:space="0" w:color="auto"/>
                        <w:bottom w:val="none" w:sz="0" w:space="0" w:color="auto"/>
                        <w:right w:val="none" w:sz="0" w:space="0" w:color="auto"/>
                      </w:divBdr>
                    </w:div>
                  </w:divsChild>
                </w:div>
                <w:div w:id="230359847">
                  <w:marLeft w:val="0"/>
                  <w:marRight w:val="0"/>
                  <w:marTop w:val="0"/>
                  <w:marBottom w:val="0"/>
                  <w:divBdr>
                    <w:top w:val="none" w:sz="0" w:space="0" w:color="auto"/>
                    <w:left w:val="none" w:sz="0" w:space="0" w:color="auto"/>
                    <w:bottom w:val="none" w:sz="0" w:space="0" w:color="auto"/>
                    <w:right w:val="none" w:sz="0" w:space="0" w:color="auto"/>
                  </w:divBdr>
                  <w:divsChild>
                    <w:div w:id="742067872">
                      <w:marLeft w:val="0"/>
                      <w:marRight w:val="0"/>
                      <w:marTop w:val="0"/>
                      <w:marBottom w:val="0"/>
                      <w:divBdr>
                        <w:top w:val="none" w:sz="0" w:space="0" w:color="auto"/>
                        <w:left w:val="none" w:sz="0" w:space="0" w:color="auto"/>
                        <w:bottom w:val="none" w:sz="0" w:space="0" w:color="auto"/>
                        <w:right w:val="none" w:sz="0" w:space="0" w:color="auto"/>
                      </w:divBdr>
                    </w:div>
                  </w:divsChild>
                </w:div>
                <w:div w:id="244192646">
                  <w:marLeft w:val="0"/>
                  <w:marRight w:val="0"/>
                  <w:marTop w:val="0"/>
                  <w:marBottom w:val="0"/>
                  <w:divBdr>
                    <w:top w:val="none" w:sz="0" w:space="0" w:color="auto"/>
                    <w:left w:val="none" w:sz="0" w:space="0" w:color="auto"/>
                    <w:bottom w:val="none" w:sz="0" w:space="0" w:color="auto"/>
                    <w:right w:val="none" w:sz="0" w:space="0" w:color="auto"/>
                  </w:divBdr>
                  <w:divsChild>
                    <w:div w:id="1734695562">
                      <w:marLeft w:val="0"/>
                      <w:marRight w:val="0"/>
                      <w:marTop w:val="0"/>
                      <w:marBottom w:val="0"/>
                      <w:divBdr>
                        <w:top w:val="none" w:sz="0" w:space="0" w:color="auto"/>
                        <w:left w:val="none" w:sz="0" w:space="0" w:color="auto"/>
                        <w:bottom w:val="none" w:sz="0" w:space="0" w:color="auto"/>
                        <w:right w:val="none" w:sz="0" w:space="0" w:color="auto"/>
                      </w:divBdr>
                    </w:div>
                  </w:divsChild>
                </w:div>
                <w:div w:id="267012372">
                  <w:marLeft w:val="0"/>
                  <w:marRight w:val="0"/>
                  <w:marTop w:val="0"/>
                  <w:marBottom w:val="0"/>
                  <w:divBdr>
                    <w:top w:val="none" w:sz="0" w:space="0" w:color="auto"/>
                    <w:left w:val="none" w:sz="0" w:space="0" w:color="auto"/>
                    <w:bottom w:val="none" w:sz="0" w:space="0" w:color="auto"/>
                    <w:right w:val="none" w:sz="0" w:space="0" w:color="auto"/>
                  </w:divBdr>
                  <w:divsChild>
                    <w:div w:id="345376268">
                      <w:marLeft w:val="0"/>
                      <w:marRight w:val="0"/>
                      <w:marTop w:val="0"/>
                      <w:marBottom w:val="0"/>
                      <w:divBdr>
                        <w:top w:val="none" w:sz="0" w:space="0" w:color="auto"/>
                        <w:left w:val="none" w:sz="0" w:space="0" w:color="auto"/>
                        <w:bottom w:val="none" w:sz="0" w:space="0" w:color="auto"/>
                        <w:right w:val="none" w:sz="0" w:space="0" w:color="auto"/>
                      </w:divBdr>
                    </w:div>
                  </w:divsChild>
                </w:div>
                <w:div w:id="326594346">
                  <w:marLeft w:val="0"/>
                  <w:marRight w:val="0"/>
                  <w:marTop w:val="0"/>
                  <w:marBottom w:val="0"/>
                  <w:divBdr>
                    <w:top w:val="none" w:sz="0" w:space="0" w:color="auto"/>
                    <w:left w:val="none" w:sz="0" w:space="0" w:color="auto"/>
                    <w:bottom w:val="none" w:sz="0" w:space="0" w:color="auto"/>
                    <w:right w:val="none" w:sz="0" w:space="0" w:color="auto"/>
                  </w:divBdr>
                  <w:divsChild>
                    <w:div w:id="59642698">
                      <w:marLeft w:val="0"/>
                      <w:marRight w:val="0"/>
                      <w:marTop w:val="0"/>
                      <w:marBottom w:val="0"/>
                      <w:divBdr>
                        <w:top w:val="none" w:sz="0" w:space="0" w:color="auto"/>
                        <w:left w:val="none" w:sz="0" w:space="0" w:color="auto"/>
                        <w:bottom w:val="none" w:sz="0" w:space="0" w:color="auto"/>
                        <w:right w:val="none" w:sz="0" w:space="0" w:color="auto"/>
                      </w:divBdr>
                    </w:div>
                  </w:divsChild>
                </w:div>
                <w:div w:id="357047558">
                  <w:marLeft w:val="0"/>
                  <w:marRight w:val="0"/>
                  <w:marTop w:val="0"/>
                  <w:marBottom w:val="0"/>
                  <w:divBdr>
                    <w:top w:val="none" w:sz="0" w:space="0" w:color="auto"/>
                    <w:left w:val="none" w:sz="0" w:space="0" w:color="auto"/>
                    <w:bottom w:val="none" w:sz="0" w:space="0" w:color="auto"/>
                    <w:right w:val="none" w:sz="0" w:space="0" w:color="auto"/>
                  </w:divBdr>
                  <w:divsChild>
                    <w:div w:id="1526823902">
                      <w:marLeft w:val="0"/>
                      <w:marRight w:val="0"/>
                      <w:marTop w:val="0"/>
                      <w:marBottom w:val="0"/>
                      <w:divBdr>
                        <w:top w:val="none" w:sz="0" w:space="0" w:color="auto"/>
                        <w:left w:val="none" w:sz="0" w:space="0" w:color="auto"/>
                        <w:bottom w:val="none" w:sz="0" w:space="0" w:color="auto"/>
                        <w:right w:val="none" w:sz="0" w:space="0" w:color="auto"/>
                      </w:divBdr>
                    </w:div>
                  </w:divsChild>
                </w:div>
                <w:div w:id="392775553">
                  <w:marLeft w:val="0"/>
                  <w:marRight w:val="0"/>
                  <w:marTop w:val="0"/>
                  <w:marBottom w:val="0"/>
                  <w:divBdr>
                    <w:top w:val="none" w:sz="0" w:space="0" w:color="auto"/>
                    <w:left w:val="none" w:sz="0" w:space="0" w:color="auto"/>
                    <w:bottom w:val="none" w:sz="0" w:space="0" w:color="auto"/>
                    <w:right w:val="none" w:sz="0" w:space="0" w:color="auto"/>
                  </w:divBdr>
                  <w:divsChild>
                    <w:div w:id="668489007">
                      <w:marLeft w:val="0"/>
                      <w:marRight w:val="0"/>
                      <w:marTop w:val="0"/>
                      <w:marBottom w:val="0"/>
                      <w:divBdr>
                        <w:top w:val="none" w:sz="0" w:space="0" w:color="auto"/>
                        <w:left w:val="none" w:sz="0" w:space="0" w:color="auto"/>
                        <w:bottom w:val="none" w:sz="0" w:space="0" w:color="auto"/>
                        <w:right w:val="none" w:sz="0" w:space="0" w:color="auto"/>
                      </w:divBdr>
                    </w:div>
                  </w:divsChild>
                </w:div>
                <w:div w:id="412748764">
                  <w:marLeft w:val="0"/>
                  <w:marRight w:val="0"/>
                  <w:marTop w:val="0"/>
                  <w:marBottom w:val="0"/>
                  <w:divBdr>
                    <w:top w:val="none" w:sz="0" w:space="0" w:color="auto"/>
                    <w:left w:val="none" w:sz="0" w:space="0" w:color="auto"/>
                    <w:bottom w:val="none" w:sz="0" w:space="0" w:color="auto"/>
                    <w:right w:val="none" w:sz="0" w:space="0" w:color="auto"/>
                  </w:divBdr>
                  <w:divsChild>
                    <w:div w:id="2100176843">
                      <w:marLeft w:val="0"/>
                      <w:marRight w:val="0"/>
                      <w:marTop w:val="0"/>
                      <w:marBottom w:val="0"/>
                      <w:divBdr>
                        <w:top w:val="none" w:sz="0" w:space="0" w:color="auto"/>
                        <w:left w:val="none" w:sz="0" w:space="0" w:color="auto"/>
                        <w:bottom w:val="none" w:sz="0" w:space="0" w:color="auto"/>
                        <w:right w:val="none" w:sz="0" w:space="0" w:color="auto"/>
                      </w:divBdr>
                    </w:div>
                  </w:divsChild>
                </w:div>
                <w:div w:id="484975905">
                  <w:marLeft w:val="0"/>
                  <w:marRight w:val="0"/>
                  <w:marTop w:val="0"/>
                  <w:marBottom w:val="0"/>
                  <w:divBdr>
                    <w:top w:val="none" w:sz="0" w:space="0" w:color="auto"/>
                    <w:left w:val="none" w:sz="0" w:space="0" w:color="auto"/>
                    <w:bottom w:val="none" w:sz="0" w:space="0" w:color="auto"/>
                    <w:right w:val="none" w:sz="0" w:space="0" w:color="auto"/>
                  </w:divBdr>
                  <w:divsChild>
                    <w:div w:id="1383628296">
                      <w:marLeft w:val="0"/>
                      <w:marRight w:val="0"/>
                      <w:marTop w:val="0"/>
                      <w:marBottom w:val="0"/>
                      <w:divBdr>
                        <w:top w:val="none" w:sz="0" w:space="0" w:color="auto"/>
                        <w:left w:val="none" w:sz="0" w:space="0" w:color="auto"/>
                        <w:bottom w:val="none" w:sz="0" w:space="0" w:color="auto"/>
                        <w:right w:val="none" w:sz="0" w:space="0" w:color="auto"/>
                      </w:divBdr>
                    </w:div>
                  </w:divsChild>
                </w:div>
                <w:div w:id="554972693">
                  <w:marLeft w:val="0"/>
                  <w:marRight w:val="0"/>
                  <w:marTop w:val="0"/>
                  <w:marBottom w:val="0"/>
                  <w:divBdr>
                    <w:top w:val="none" w:sz="0" w:space="0" w:color="auto"/>
                    <w:left w:val="none" w:sz="0" w:space="0" w:color="auto"/>
                    <w:bottom w:val="none" w:sz="0" w:space="0" w:color="auto"/>
                    <w:right w:val="none" w:sz="0" w:space="0" w:color="auto"/>
                  </w:divBdr>
                  <w:divsChild>
                    <w:div w:id="428697575">
                      <w:marLeft w:val="0"/>
                      <w:marRight w:val="0"/>
                      <w:marTop w:val="0"/>
                      <w:marBottom w:val="0"/>
                      <w:divBdr>
                        <w:top w:val="none" w:sz="0" w:space="0" w:color="auto"/>
                        <w:left w:val="none" w:sz="0" w:space="0" w:color="auto"/>
                        <w:bottom w:val="none" w:sz="0" w:space="0" w:color="auto"/>
                        <w:right w:val="none" w:sz="0" w:space="0" w:color="auto"/>
                      </w:divBdr>
                    </w:div>
                  </w:divsChild>
                </w:div>
                <w:div w:id="599728570">
                  <w:marLeft w:val="0"/>
                  <w:marRight w:val="0"/>
                  <w:marTop w:val="0"/>
                  <w:marBottom w:val="0"/>
                  <w:divBdr>
                    <w:top w:val="none" w:sz="0" w:space="0" w:color="auto"/>
                    <w:left w:val="none" w:sz="0" w:space="0" w:color="auto"/>
                    <w:bottom w:val="none" w:sz="0" w:space="0" w:color="auto"/>
                    <w:right w:val="none" w:sz="0" w:space="0" w:color="auto"/>
                  </w:divBdr>
                  <w:divsChild>
                    <w:div w:id="59326015">
                      <w:marLeft w:val="0"/>
                      <w:marRight w:val="0"/>
                      <w:marTop w:val="0"/>
                      <w:marBottom w:val="0"/>
                      <w:divBdr>
                        <w:top w:val="none" w:sz="0" w:space="0" w:color="auto"/>
                        <w:left w:val="none" w:sz="0" w:space="0" w:color="auto"/>
                        <w:bottom w:val="none" w:sz="0" w:space="0" w:color="auto"/>
                        <w:right w:val="none" w:sz="0" w:space="0" w:color="auto"/>
                      </w:divBdr>
                    </w:div>
                  </w:divsChild>
                </w:div>
                <w:div w:id="611716283">
                  <w:marLeft w:val="0"/>
                  <w:marRight w:val="0"/>
                  <w:marTop w:val="0"/>
                  <w:marBottom w:val="0"/>
                  <w:divBdr>
                    <w:top w:val="none" w:sz="0" w:space="0" w:color="auto"/>
                    <w:left w:val="none" w:sz="0" w:space="0" w:color="auto"/>
                    <w:bottom w:val="none" w:sz="0" w:space="0" w:color="auto"/>
                    <w:right w:val="none" w:sz="0" w:space="0" w:color="auto"/>
                  </w:divBdr>
                  <w:divsChild>
                    <w:div w:id="1954050334">
                      <w:marLeft w:val="0"/>
                      <w:marRight w:val="0"/>
                      <w:marTop w:val="0"/>
                      <w:marBottom w:val="0"/>
                      <w:divBdr>
                        <w:top w:val="none" w:sz="0" w:space="0" w:color="auto"/>
                        <w:left w:val="none" w:sz="0" w:space="0" w:color="auto"/>
                        <w:bottom w:val="none" w:sz="0" w:space="0" w:color="auto"/>
                        <w:right w:val="none" w:sz="0" w:space="0" w:color="auto"/>
                      </w:divBdr>
                    </w:div>
                  </w:divsChild>
                </w:div>
                <w:div w:id="646937156">
                  <w:marLeft w:val="0"/>
                  <w:marRight w:val="0"/>
                  <w:marTop w:val="0"/>
                  <w:marBottom w:val="0"/>
                  <w:divBdr>
                    <w:top w:val="none" w:sz="0" w:space="0" w:color="auto"/>
                    <w:left w:val="none" w:sz="0" w:space="0" w:color="auto"/>
                    <w:bottom w:val="none" w:sz="0" w:space="0" w:color="auto"/>
                    <w:right w:val="none" w:sz="0" w:space="0" w:color="auto"/>
                  </w:divBdr>
                  <w:divsChild>
                    <w:div w:id="903101148">
                      <w:marLeft w:val="0"/>
                      <w:marRight w:val="0"/>
                      <w:marTop w:val="0"/>
                      <w:marBottom w:val="0"/>
                      <w:divBdr>
                        <w:top w:val="none" w:sz="0" w:space="0" w:color="auto"/>
                        <w:left w:val="none" w:sz="0" w:space="0" w:color="auto"/>
                        <w:bottom w:val="none" w:sz="0" w:space="0" w:color="auto"/>
                        <w:right w:val="none" w:sz="0" w:space="0" w:color="auto"/>
                      </w:divBdr>
                    </w:div>
                  </w:divsChild>
                </w:div>
                <w:div w:id="800463200">
                  <w:marLeft w:val="0"/>
                  <w:marRight w:val="0"/>
                  <w:marTop w:val="0"/>
                  <w:marBottom w:val="0"/>
                  <w:divBdr>
                    <w:top w:val="none" w:sz="0" w:space="0" w:color="auto"/>
                    <w:left w:val="none" w:sz="0" w:space="0" w:color="auto"/>
                    <w:bottom w:val="none" w:sz="0" w:space="0" w:color="auto"/>
                    <w:right w:val="none" w:sz="0" w:space="0" w:color="auto"/>
                  </w:divBdr>
                  <w:divsChild>
                    <w:div w:id="22051773">
                      <w:marLeft w:val="0"/>
                      <w:marRight w:val="0"/>
                      <w:marTop w:val="0"/>
                      <w:marBottom w:val="0"/>
                      <w:divBdr>
                        <w:top w:val="none" w:sz="0" w:space="0" w:color="auto"/>
                        <w:left w:val="none" w:sz="0" w:space="0" w:color="auto"/>
                        <w:bottom w:val="none" w:sz="0" w:space="0" w:color="auto"/>
                        <w:right w:val="none" w:sz="0" w:space="0" w:color="auto"/>
                      </w:divBdr>
                    </w:div>
                  </w:divsChild>
                </w:div>
                <w:div w:id="867641661">
                  <w:marLeft w:val="0"/>
                  <w:marRight w:val="0"/>
                  <w:marTop w:val="0"/>
                  <w:marBottom w:val="0"/>
                  <w:divBdr>
                    <w:top w:val="none" w:sz="0" w:space="0" w:color="auto"/>
                    <w:left w:val="none" w:sz="0" w:space="0" w:color="auto"/>
                    <w:bottom w:val="none" w:sz="0" w:space="0" w:color="auto"/>
                    <w:right w:val="none" w:sz="0" w:space="0" w:color="auto"/>
                  </w:divBdr>
                  <w:divsChild>
                    <w:div w:id="1374577786">
                      <w:marLeft w:val="0"/>
                      <w:marRight w:val="0"/>
                      <w:marTop w:val="0"/>
                      <w:marBottom w:val="0"/>
                      <w:divBdr>
                        <w:top w:val="none" w:sz="0" w:space="0" w:color="auto"/>
                        <w:left w:val="none" w:sz="0" w:space="0" w:color="auto"/>
                        <w:bottom w:val="none" w:sz="0" w:space="0" w:color="auto"/>
                        <w:right w:val="none" w:sz="0" w:space="0" w:color="auto"/>
                      </w:divBdr>
                    </w:div>
                  </w:divsChild>
                </w:div>
                <w:div w:id="876091455">
                  <w:marLeft w:val="0"/>
                  <w:marRight w:val="0"/>
                  <w:marTop w:val="0"/>
                  <w:marBottom w:val="0"/>
                  <w:divBdr>
                    <w:top w:val="none" w:sz="0" w:space="0" w:color="auto"/>
                    <w:left w:val="none" w:sz="0" w:space="0" w:color="auto"/>
                    <w:bottom w:val="none" w:sz="0" w:space="0" w:color="auto"/>
                    <w:right w:val="none" w:sz="0" w:space="0" w:color="auto"/>
                  </w:divBdr>
                  <w:divsChild>
                    <w:div w:id="631253350">
                      <w:marLeft w:val="0"/>
                      <w:marRight w:val="0"/>
                      <w:marTop w:val="0"/>
                      <w:marBottom w:val="0"/>
                      <w:divBdr>
                        <w:top w:val="none" w:sz="0" w:space="0" w:color="auto"/>
                        <w:left w:val="none" w:sz="0" w:space="0" w:color="auto"/>
                        <w:bottom w:val="none" w:sz="0" w:space="0" w:color="auto"/>
                        <w:right w:val="none" w:sz="0" w:space="0" w:color="auto"/>
                      </w:divBdr>
                    </w:div>
                  </w:divsChild>
                </w:div>
                <w:div w:id="885793465">
                  <w:marLeft w:val="0"/>
                  <w:marRight w:val="0"/>
                  <w:marTop w:val="0"/>
                  <w:marBottom w:val="0"/>
                  <w:divBdr>
                    <w:top w:val="none" w:sz="0" w:space="0" w:color="auto"/>
                    <w:left w:val="none" w:sz="0" w:space="0" w:color="auto"/>
                    <w:bottom w:val="none" w:sz="0" w:space="0" w:color="auto"/>
                    <w:right w:val="none" w:sz="0" w:space="0" w:color="auto"/>
                  </w:divBdr>
                  <w:divsChild>
                    <w:div w:id="1594775302">
                      <w:marLeft w:val="0"/>
                      <w:marRight w:val="0"/>
                      <w:marTop w:val="0"/>
                      <w:marBottom w:val="0"/>
                      <w:divBdr>
                        <w:top w:val="none" w:sz="0" w:space="0" w:color="auto"/>
                        <w:left w:val="none" w:sz="0" w:space="0" w:color="auto"/>
                        <w:bottom w:val="none" w:sz="0" w:space="0" w:color="auto"/>
                        <w:right w:val="none" w:sz="0" w:space="0" w:color="auto"/>
                      </w:divBdr>
                    </w:div>
                  </w:divsChild>
                </w:div>
                <w:div w:id="915017301">
                  <w:marLeft w:val="0"/>
                  <w:marRight w:val="0"/>
                  <w:marTop w:val="0"/>
                  <w:marBottom w:val="0"/>
                  <w:divBdr>
                    <w:top w:val="none" w:sz="0" w:space="0" w:color="auto"/>
                    <w:left w:val="none" w:sz="0" w:space="0" w:color="auto"/>
                    <w:bottom w:val="none" w:sz="0" w:space="0" w:color="auto"/>
                    <w:right w:val="none" w:sz="0" w:space="0" w:color="auto"/>
                  </w:divBdr>
                  <w:divsChild>
                    <w:div w:id="1634167433">
                      <w:marLeft w:val="0"/>
                      <w:marRight w:val="0"/>
                      <w:marTop w:val="0"/>
                      <w:marBottom w:val="0"/>
                      <w:divBdr>
                        <w:top w:val="none" w:sz="0" w:space="0" w:color="auto"/>
                        <w:left w:val="none" w:sz="0" w:space="0" w:color="auto"/>
                        <w:bottom w:val="none" w:sz="0" w:space="0" w:color="auto"/>
                        <w:right w:val="none" w:sz="0" w:space="0" w:color="auto"/>
                      </w:divBdr>
                    </w:div>
                  </w:divsChild>
                </w:div>
                <w:div w:id="931167075">
                  <w:marLeft w:val="0"/>
                  <w:marRight w:val="0"/>
                  <w:marTop w:val="0"/>
                  <w:marBottom w:val="0"/>
                  <w:divBdr>
                    <w:top w:val="none" w:sz="0" w:space="0" w:color="auto"/>
                    <w:left w:val="none" w:sz="0" w:space="0" w:color="auto"/>
                    <w:bottom w:val="none" w:sz="0" w:space="0" w:color="auto"/>
                    <w:right w:val="none" w:sz="0" w:space="0" w:color="auto"/>
                  </w:divBdr>
                  <w:divsChild>
                    <w:div w:id="1239291120">
                      <w:marLeft w:val="0"/>
                      <w:marRight w:val="0"/>
                      <w:marTop w:val="0"/>
                      <w:marBottom w:val="0"/>
                      <w:divBdr>
                        <w:top w:val="none" w:sz="0" w:space="0" w:color="auto"/>
                        <w:left w:val="none" w:sz="0" w:space="0" w:color="auto"/>
                        <w:bottom w:val="none" w:sz="0" w:space="0" w:color="auto"/>
                        <w:right w:val="none" w:sz="0" w:space="0" w:color="auto"/>
                      </w:divBdr>
                    </w:div>
                  </w:divsChild>
                </w:div>
                <w:div w:id="935938019">
                  <w:marLeft w:val="0"/>
                  <w:marRight w:val="0"/>
                  <w:marTop w:val="0"/>
                  <w:marBottom w:val="0"/>
                  <w:divBdr>
                    <w:top w:val="none" w:sz="0" w:space="0" w:color="auto"/>
                    <w:left w:val="none" w:sz="0" w:space="0" w:color="auto"/>
                    <w:bottom w:val="none" w:sz="0" w:space="0" w:color="auto"/>
                    <w:right w:val="none" w:sz="0" w:space="0" w:color="auto"/>
                  </w:divBdr>
                  <w:divsChild>
                    <w:div w:id="835152962">
                      <w:marLeft w:val="0"/>
                      <w:marRight w:val="0"/>
                      <w:marTop w:val="0"/>
                      <w:marBottom w:val="0"/>
                      <w:divBdr>
                        <w:top w:val="none" w:sz="0" w:space="0" w:color="auto"/>
                        <w:left w:val="none" w:sz="0" w:space="0" w:color="auto"/>
                        <w:bottom w:val="none" w:sz="0" w:space="0" w:color="auto"/>
                        <w:right w:val="none" w:sz="0" w:space="0" w:color="auto"/>
                      </w:divBdr>
                    </w:div>
                  </w:divsChild>
                </w:div>
                <w:div w:id="938106345">
                  <w:marLeft w:val="0"/>
                  <w:marRight w:val="0"/>
                  <w:marTop w:val="0"/>
                  <w:marBottom w:val="0"/>
                  <w:divBdr>
                    <w:top w:val="none" w:sz="0" w:space="0" w:color="auto"/>
                    <w:left w:val="none" w:sz="0" w:space="0" w:color="auto"/>
                    <w:bottom w:val="none" w:sz="0" w:space="0" w:color="auto"/>
                    <w:right w:val="none" w:sz="0" w:space="0" w:color="auto"/>
                  </w:divBdr>
                  <w:divsChild>
                    <w:div w:id="720206728">
                      <w:marLeft w:val="0"/>
                      <w:marRight w:val="0"/>
                      <w:marTop w:val="0"/>
                      <w:marBottom w:val="0"/>
                      <w:divBdr>
                        <w:top w:val="none" w:sz="0" w:space="0" w:color="auto"/>
                        <w:left w:val="none" w:sz="0" w:space="0" w:color="auto"/>
                        <w:bottom w:val="none" w:sz="0" w:space="0" w:color="auto"/>
                        <w:right w:val="none" w:sz="0" w:space="0" w:color="auto"/>
                      </w:divBdr>
                    </w:div>
                  </w:divsChild>
                </w:div>
                <w:div w:id="940186385">
                  <w:marLeft w:val="0"/>
                  <w:marRight w:val="0"/>
                  <w:marTop w:val="0"/>
                  <w:marBottom w:val="0"/>
                  <w:divBdr>
                    <w:top w:val="none" w:sz="0" w:space="0" w:color="auto"/>
                    <w:left w:val="none" w:sz="0" w:space="0" w:color="auto"/>
                    <w:bottom w:val="none" w:sz="0" w:space="0" w:color="auto"/>
                    <w:right w:val="none" w:sz="0" w:space="0" w:color="auto"/>
                  </w:divBdr>
                  <w:divsChild>
                    <w:div w:id="208105892">
                      <w:marLeft w:val="0"/>
                      <w:marRight w:val="0"/>
                      <w:marTop w:val="0"/>
                      <w:marBottom w:val="0"/>
                      <w:divBdr>
                        <w:top w:val="none" w:sz="0" w:space="0" w:color="auto"/>
                        <w:left w:val="none" w:sz="0" w:space="0" w:color="auto"/>
                        <w:bottom w:val="none" w:sz="0" w:space="0" w:color="auto"/>
                        <w:right w:val="none" w:sz="0" w:space="0" w:color="auto"/>
                      </w:divBdr>
                    </w:div>
                  </w:divsChild>
                </w:div>
                <w:div w:id="951059830">
                  <w:marLeft w:val="0"/>
                  <w:marRight w:val="0"/>
                  <w:marTop w:val="0"/>
                  <w:marBottom w:val="0"/>
                  <w:divBdr>
                    <w:top w:val="none" w:sz="0" w:space="0" w:color="auto"/>
                    <w:left w:val="none" w:sz="0" w:space="0" w:color="auto"/>
                    <w:bottom w:val="none" w:sz="0" w:space="0" w:color="auto"/>
                    <w:right w:val="none" w:sz="0" w:space="0" w:color="auto"/>
                  </w:divBdr>
                  <w:divsChild>
                    <w:div w:id="1503351018">
                      <w:marLeft w:val="0"/>
                      <w:marRight w:val="0"/>
                      <w:marTop w:val="0"/>
                      <w:marBottom w:val="0"/>
                      <w:divBdr>
                        <w:top w:val="none" w:sz="0" w:space="0" w:color="auto"/>
                        <w:left w:val="none" w:sz="0" w:space="0" w:color="auto"/>
                        <w:bottom w:val="none" w:sz="0" w:space="0" w:color="auto"/>
                        <w:right w:val="none" w:sz="0" w:space="0" w:color="auto"/>
                      </w:divBdr>
                    </w:div>
                  </w:divsChild>
                </w:div>
                <w:div w:id="961351158">
                  <w:marLeft w:val="0"/>
                  <w:marRight w:val="0"/>
                  <w:marTop w:val="0"/>
                  <w:marBottom w:val="0"/>
                  <w:divBdr>
                    <w:top w:val="none" w:sz="0" w:space="0" w:color="auto"/>
                    <w:left w:val="none" w:sz="0" w:space="0" w:color="auto"/>
                    <w:bottom w:val="none" w:sz="0" w:space="0" w:color="auto"/>
                    <w:right w:val="none" w:sz="0" w:space="0" w:color="auto"/>
                  </w:divBdr>
                  <w:divsChild>
                    <w:div w:id="274099446">
                      <w:marLeft w:val="0"/>
                      <w:marRight w:val="0"/>
                      <w:marTop w:val="0"/>
                      <w:marBottom w:val="0"/>
                      <w:divBdr>
                        <w:top w:val="none" w:sz="0" w:space="0" w:color="auto"/>
                        <w:left w:val="none" w:sz="0" w:space="0" w:color="auto"/>
                        <w:bottom w:val="none" w:sz="0" w:space="0" w:color="auto"/>
                        <w:right w:val="none" w:sz="0" w:space="0" w:color="auto"/>
                      </w:divBdr>
                    </w:div>
                  </w:divsChild>
                </w:div>
                <w:div w:id="984578326">
                  <w:marLeft w:val="0"/>
                  <w:marRight w:val="0"/>
                  <w:marTop w:val="0"/>
                  <w:marBottom w:val="0"/>
                  <w:divBdr>
                    <w:top w:val="none" w:sz="0" w:space="0" w:color="auto"/>
                    <w:left w:val="none" w:sz="0" w:space="0" w:color="auto"/>
                    <w:bottom w:val="none" w:sz="0" w:space="0" w:color="auto"/>
                    <w:right w:val="none" w:sz="0" w:space="0" w:color="auto"/>
                  </w:divBdr>
                  <w:divsChild>
                    <w:div w:id="717557549">
                      <w:marLeft w:val="0"/>
                      <w:marRight w:val="0"/>
                      <w:marTop w:val="0"/>
                      <w:marBottom w:val="0"/>
                      <w:divBdr>
                        <w:top w:val="none" w:sz="0" w:space="0" w:color="auto"/>
                        <w:left w:val="none" w:sz="0" w:space="0" w:color="auto"/>
                        <w:bottom w:val="none" w:sz="0" w:space="0" w:color="auto"/>
                        <w:right w:val="none" w:sz="0" w:space="0" w:color="auto"/>
                      </w:divBdr>
                    </w:div>
                  </w:divsChild>
                </w:div>
                <w:div w:id="989403247">
                  <w:marLeft w:val="0"/>
                  <w:marRight w:val="0"/>
                  <w:marTop w:val="0"/>
                  <w:marBottom w:val="0"/>
                  <w:divBdr>
                    <w:top w:val="none" w:sz="0" w:space="0" w:color="auto"/>
                    <w:left w:val="none" w:sz="0" w:space="0" w:color="auto"/>
                    <w:bottom w:val="none" w:sz="0" w:space="0" w:color="auto"/>
                    <w:right w:val="none" w:sz="0" w:space="0" w:color="auto"/>
                  </w:divBdr>
                  <w:divsChild>
                    <w:div w:id="642084583">
                      <w:marLeft w:val="0"/>
                      <w:marRight w:val="0"/>
                      <w:marTop w:val="0"/>
                      <w:marBottom w:val="0"/>
                      <w:divBdr>
                        <w:top w:val="none" w:sz="0" w:space="0" w:color="auto"/>
                        <w:left w:val="none" w:sz="0" w:space="0" w:color="auto"/>
                        <w:bottom w:val="none" w:sz="0" w:space="0" w:color="auto"/>
                        <w:right w:val="none" w:sz="0" w:space="0" w:color="auto"/>
                      </w:divBdr>
                    </w:div>
                  </w:divsChild>
                </w:div>
                <w:div w:id="1008604765">
                  <w:marLeft w:val="0"/>
                  <w:marRight w:val="0"/>
                  <w:marTop w:val="0"/>
                  <w:marBottom w:val="0"/>
                  <w:divBdr>
                    <w:top w:val="none" w:sz="0" w:space="0" w:color="auto"/>
                    <w:left w:val="none" w:sz="0" w:space="0" w:color="auto"/>
                    <w:bottom w:val="none" w:sz="0" w:space="0" w:color="auto"/>
                    <w:right w:val="none" w:sz="0" w:space="0" w:color="auto"/>
                  </w:divBdr>
                  <w:divsChild>
                    <w:div w:id="1235240302">
                      <w:marLeft w:val="0"/>
                      <w:marRight w:val="0"/>
                      <w:marTop w:val="0"/>
                      <w:marBottom w:val="0"/>
                      <w:divBdr>
                        <w:top w:val="none" w:sz="0" w:space="0" w:color="auto"/>
                        <w:left w:val="none" w:sz="0" w:space="0" w:color="auto"/>
                        <w:bottom w:val="none" w:sz="0" w:space="0" w:color="auto"/>
                        <w:right w:val="none" w:sz="0" w:space="0" w:color="auto"/>
                      </w:divBdr>
                    </w:div>
                  </w:divsChild>
                </w:div>
                <w:div w:id="1012490551">
                  <w:marLeft w:val="0"/>
                  <w:marRight w:val="0"/>
                  <w:marTop w:val="0"/>
                  <w:marBottom w:val="0"/>
                  <w:divBdr>
                    <w:top w:val="none" w:sz="0" w:space="0" w:color="auto"/>
                    <w:left w:val="none" w:sz="0" w:space="0" w:color="auto"/>
                    <w:bottom w:val="none" w:sz="0" w:space="0" w:color="auto"/>
                    <w:right w:val="none" w:sz="0" w:space="0" w:color="auto"/>
                  </w:divBdr>
                  <w:divsChild>
                    <w:div w:id="1788161058">
                      <w:marLeft w:val="0"/>
                      <w:marRight w:val="0"/>
                      <w:marTop w:val="0"/>
                      <w:marBottom w:val="0"/>
                      <w:divBdr>
                        <w:top w:val="none" w:sz="0" w:space="0" w:color="auto"/>
                        <w:left w:val="none" w:sz="0" w:space="0" w:color="auto"/>
                        <w:bottom w:val="none" w:sz="0" w:space="0" w:color="auto"/>
                        <w:right w:val="none" w:sz="0" w:space="0" w:color="auto"/>
                      </w:divBdr>
                    </w:div>
                  </w:divsChild>
                </w:div>
                <w:div w:id="1013724474">
                  <w:marLeft w:val="0"/>
                  <w:marRight w:val="0"/>
                  <w:marTop w:val="0"/>
                  <w:marBottom w:val="0"/>
                  <w:divBdr>
                    <w:top w:val="none" w:sz="0" w:space="0" w:color="auto"/>
                    <w:left w:val="none" w:sz="0" w:space="0" w:color="auto"/>
                    <w:bottom w:val="none" w:sz="0" w:space="0" w:color="auto"/>
                    <w:right w:val="none" w:sz="0" w:space="0" w:color="auto"/>
                  </w:divBdr>
                  <w:divsChild>
                    <w:div w:id="160585722">
                      <w:marLeft w:val="0"/>
                      <w:marRight w:val="0"/>
                      <w:marTop w:val="0"/>
                      <w:marBottom w:val="0"/>
                      <w:divBdr>
                        <w:top w:val="none" w:sz="0" w:space="0" w:color="auto"/>
                        <w:left w:val="none" w:sz="0" w:space="0" w:color="auto"/>
                        <w:bottom w:val="none" w:sz="0" w:space="0" w:color="auto"/>
                        <w:right w:val="none" w:sz="0" w:space="0" w:color="auto"/>
                      </w:divBdr>
                    </w:div>
                  </w:divsChild>
                </w:div>
                <w:div w:id="1039546501">
                  <w:marLeft w:val="0"/>
                  <w:marRight w:val="0"/>
                  <w:marTop w:val="0"/>
                  <w:marBottom w:val="0"/>
                  <w:divBdr>
                    <w:top w:val="none" w:sz="0" w:space="0" w:color="auto"/>
                    <w:left w:val="none" w:sz="0" w:space="0" w:color="auto"/>
                    <w:bottom w:val="none" w:sz="0" w:space="0" w:color="auto"/>
                    <w:right w:val="none" w:sz="0" w:space="0" w:color="auto"/>
                  </w:divBdr>
                  <w:divsChild>
                    <w:div w:id="2088113815">
                      <w:marLeft w:val="0"/>
                      <w:marRight w:val="0"/>
                      <w:marTop w:val="0"/>
                      <w:marBottom w:val="0"/>
                      <w:divBdr>
                        <w:top w:val="none" w:sz="0" w:space="0" w:color="auto"/>
                        <w:left w:val="none" w:sz="0" w:space="0" w:color="auto"/>
                        <w:bottom w:val="none" w:sz="0" w:space="0" w:color="auto"/>
                        <w:right w:val="none" w:sz="0" w:space="0" w:color="auto"/>
                      </w:divBdr>
                    </w:div>
                  </w:divsChild>
                </w:div>
                <w:div w:id="1060985659">
                  <w:marLeft w:val="0"/>
                  <w:marRight w:val="0"/>
                  <w:marTop w:val="0"/>
                  <w:marBottom w:val="0"/>
                  <w:divBdr>
                    <w:top w:val="none" w:sz="0" w:space="0" w:color="auto"/>
                    <w:left w:val="none" w:sz="0" w:space="0" w:color="auto"/>
                    <w:bottom w:val="none" w:sz="0" w:space="0" w:color="auto"/>
                    <w:right w:val="none" w:sz="0" w:space="0" w:color="auto"/>
                  </w:divBdr>
                  <w:divsChild>
                    <w:div w:id="1716155218">
                      <w:marLeft w:val="0"/>
                      <w:marRight w:val="0"/>
                      <w:marTop w:val="0"/>
                      <w:marBottom w:val="0"/>
                      <w:divBdr>
                        <w:top w:val="none" w:sz="0" w:space="0" w:color="auto"/>
                        <w:left w:val="none" w:sz="0" w:space="0" w:color="auto"/>
                        <w:bottom w:val="none" w:sz="0" w:space="0" w:color="auto"/>
                        <w:right w:val="none" w:sz="0" w:space="0" w:color="auto"/>
                      </w:divBdr>
                    </w:div>
                  </w:divsChild>
                </w:div>
                <w:div w:id="1133671220">
                  <w:marLeft w:val="0"/>
                  <w:marRight w:val="0"/>
                  <w:marTop w:val="0"/>
                  <w:marBottom w:val="0"/>
                  <w:divBdr>
                    <w:top w:val="none" w:sz="0" w:space="0" w:color="auto"/>
                    <w:left w:val="none" w:sz="0" w:space="0" w:color="auto"/>
                    <w:bottom w:val="none" w:sz="0" w:space="0" w:color="auto"/>
                    <w:right w:val="none" w:sz="0" w:space="0" w:color="auto"/>
                  </w:divBdr>
                  <w:divsChild>
                    <w:div w:id="1758860585">
                      <w:marLeft w:val="0"/>
                      <w:marRight w:val="0"/>
                      <w:marTop w:val="0"/>
                      <w:marBottom w:val="0"/>
                      <w:divBdr>
                        <w:top w:val="none" w:sz="0" w:space="0" w:color="auto"/>
                        <w:left w:val="none" w:sz="0" w:space="0" w:color="auto"/>
                        <w:bottom w:val="none" w:sz="0" w:space="0" w:color="auto"/>
                        <w:right w:val="none" w:sz="0" w:space="0" w:color="auto"/>
                      </w:divBdr>
                    </w:div>
                  </w:divsChild>
                </w:div>
                <w:div w:id="1166017192">
                  <w:marLeft w:val="0"/>
                  <w:marRight w:val="0"/>
                  <w:marTop w:val="0"/>
                  <w:marBottom w:val="0"/>
                  <w:divBdr>
                    <w:top w:val="none" w:sz="0" w:space="0" w:color="auto"/>
                    <w:left w:val="none" w:sz="0" w:space="0" w:color="auto"/>
                    <w:bottom w:val="none" w:sz="0" w:space="0" w:color="auto"/>
                    <w:right w:val="none" w:sz="0" w:space="0" w:color="auto"/>
                  </w:divBdr>
                  <w:divsChild>
                    <w:div w:id="1894198377">
                      <w:marLeft w:val="0"/>
                      <w:marRight w:val="0"/>
                      <w:marTop w:val="0"/>
                      <w:marBottom w:val="0"/>
                      <w:divBdr>
                        <w:top w:val="none" w:sz="0" w:space="0" w:color="auto"/>
                        <w:left w:val="none" w:sz="0" w:space="0" w:color="auto"/>
                        <w:bottom w:val="none" w:sz="0" w:space="0" w:color="auto"/>
                        <w:right w:val="none" w:sz="0" w:space="0" w:color="auto"/>
                      </w:divBdr>
                    </w:div>
                  </w:divsChild>
                </w:div>
                <w:div w:id="1269582352">
                  <w:marLeft w:val="0"/>
                  <w:marRight w:val="0"/>
                  <w:marTop w:val="0"/>
                  <w:marBottom w:val="0"/>
                  <w:divBdr>
                    <w:top w:val="none" w:sz="0" w:space="0" w:color="auto"/>
                    <w:left w:val="none" w:sz="0" w:space="0" w:color="auto"/>
                    <w:bottom w:val="none" w:sz="0" w:space="0" w:color="auto"/>
                    <w:right w:val="none" w:sz="0" w:space="0" w:color="auto"/>
                  </w:divBdr>
                  <w:divsChild>
                    <w:div w:id="1210220495">
                      <w:marLeft w:val="0"/>
                      <w:marRight w:val="0"/>
                      <w:marTop w:val="0"/>
                      <w:marBottom w:val="0"/>
                      <w:divBdr>
                        <w:top w:val="none" w:sz="0" w:space="0" w:color="auto"/>
                        <w:left w:val="none" w:sz="0" w:space="0" w:color="auto"/>
                        <w:bottom w:val="none" w:sz="0" w:space="0" w:color="auto"/>
                        <w:right w:val="none" w:sz="0" w:space="0" w:color="auto"/>
                      </w:divBdr>
                    </w:div>
                  </w:divsChild>
                </w:div>
                <w:div w:id="1318534841">
                  <w:marLeft w:val="0"/>
                  <w:marRight w:val="0"/>
                  <w:marTop w:val="0"/>
                  <w:marBottom w:val="0"/>
                  <w:divBdr>
                    <w:top w:val="none" w:sz="0" w:space="0" w:color="auto"/>
                    <w:left w:val="none" w:sz="0" w:space="0" w:color="auto"/>
                    <w:bottom w:val="none" w:sz="0" w:space="0" w:color="auto"/>
                    <w:right w:val="none" w:sz="0" w:space="0" w:color="auto"/>
                  </w:divBdr>
                  <w:divsChild>
                    <w:div w:id="884221903">
                      <w:marLeft w:val="0"/>
                      <w:marRight w:val="0"/>
                      <w:marTop w:val="0"/>
                      <w:marBottom w:val="0"/>
                      <w:divBdr>
                        <w:top w:val="none" w:sz="0" w:space="0" w:color="auto"/>
                        <w:left w:val="none" w:sz="0" w:space="0" w:color="auto"/>
                        <w:bottom w:val="none" w:sz="0" w:space="0" w:color="auto"/>
                        <w:right w:val="none" w:sz="0" w:space="0" w:color="auto"/>
                      </w:divBdr>
                    </w:div>
                  </w:divsChild>
                </w:div>
                <w:div w:id="1330328911">
                  <w:marLeft w:val="0"/>
                  <w:marRight w:val="0"/>
                  <w:marTop w:val="0"/>
                  <w:marBottom w:val="0"/>
                  <w:divBdr>
                    <w:top w:val="none" w:sz="0" w:space="0" w:color="auto"/>
                    <w:left w:val="none" w:sz="0" w:space="0" w:color="auto"/>
                    <w:bottom w:val="none" w:sz="0" w:space="0" w:color="auto"/>
                    <w:right w:val="none" w:sz="0" w:space="0" w:color="auto"/>
                  </w:divBdr>
                  <w:divsChild>
                    <w:div w:id="1813593007">
                      <w:marLeft w:val="0"/>
                      <w:marRight w:val="0"/>
                      <w:marTop w:val="0"/>
                      <w:marBottom w:val="0"/>
                      <w:divBdr>
                        <w:top w:val="none" w:sz="0" w:space="0" w:color="auto"/>
                        <w:left w:val="none" w:sz="0" w:space="0" w:color="auto"/>
                        <w:bottom w:val="none" w:sz="0" w:space="0" w:color="auto"/>
                        <w:right w:val="none" w:sz="0" w:space="0" w:color="auto"/>
                      </w:divBdr>
                    </w:div>
                  </w:divsChild>
                </w:div>
                <w:div w:id="1422723380">
                  <w:marLeft w:val="0"/>
                  <w:marRight w:val="0"/>
                  <w:marTop w:val="0"/>
                  <w:marBottom w:val="0"/>
                  <w:divBdr>
                    <w:top w:val="none" w:sz="0" w:space="0" w:color="auto"/>
                    <w:left w:val="none" w:sz="0" w:space="0" w:color="auto"/>
                    <w:bottom w:val="none" w:sz="0" w:space="0" w:color="auto"/>
                    <w:right w:val="none" w:sz="0" w:space="0" w:color="auto"/>
                  </w:divBdr>
                  <w:divsChild>
                    <w:div w:id="1755318862">
                      <w:marLeft w:val="0"/>
                      <w:marRight w:val="0"/>
                      <w:marTop w:val="0"/>
                      <w:marBottom w:val="0"/>
                      <w:divBdr>
                        <w:top w:val="none" w:sz="0" w:space="0" w:color="auto"/>
                        <w:left w:val="none" w:sz="0" w:space="0" w:color="auto"/>
                        <w:bottom w:val="none" w:sz="0" w:space="0" w:color="auto"/>
                        <w:right w:val="none" w:sz="0" w:space="0" w:color="auto"/>
                      </w:divBdr>
                    </w:div>
                  </w:divsChild>
                </w:div>
                <w:div w:id="1433088414">
                  <w:marLeft w:val="0"/>
                  <w:marRight w:val="0"/>
                  <w:marTop w:val="0"/>
                  <w:marBottom w:val="0"/>
                  <w:divBdr>
                    <w:top w:val="none" w:sz="0" w:space="0" w:color="auto"/>
                    <w:left w:val="none" w:sz="0" w:space="0" w:color="auto"/>
                    <w:bottom w:val="none" w:sz="0" w:space="0" w:color="auto"/>
                    <w:right w:val="none" w:sz="0" w:space="0" w:color="auto"/>
                  </w:divBdr>
                  <w:divsChild>
                    <w:div w:id="286591446">
                      <w:marLeft w:val="0"/>
                      <w:marRight w:val="0"/>
                      <w:marTop w:val="0"/>
                      <w:marBottom w:val="0"/>
                      <w:divBdr>
                        <w:top w:val="none" w:sz="0" w:space="0" w:color="auto"/>
                        <w:left w:val="none" w:sz="0" w:space="0" w:color="auto"/>
                        <w:bottom w:val="none" w:sz="0" w:space="0" w:color="auto"/>
                        <w:right w:val="none" w:sz="0" w:space="0" w:color="auto"/>
                      </w:divBdr>
                    </w:div>
                  </w:divsChild>
                </w:div>
                <w:div w:id="1448701004">
                  <w:marLeft w:val="0"/>
                  <w:marRight w:val="0"/>
                  <w:marTop w:val="0"/>
                  <w:marBottom w:val="0"/>
                  <w:divBdr>
                    <w:top w:val="none" w:sz="0" w:space="0" w:color="auto"/>
                    <w:left w:val="none" w:sz="0" w:space="0" w:color="auto"/>
                    <w:bottom w:val="none" w:sz="0" w:space="0" w:color="auto"/>
                    <w:right w:val="none" w:sz="0" w:space="0" w:color="auto"/>
                  </w:divBdr>
                  <w:divsChild>
                    <w:div w:id="430131774">
                      <w:marLeft w:val="0"/>
                      <w:marRight w:val="0"/>
                      <w:marTop w:val="0"/>
                      <w:marBottom w:val="0"/>
                      <w:divBdr>
                        <w:top w:val="none" w:sz="0" w:space="0" w:color="auto"/>
                        <w:left w:val="none" w:sz="0" w:space="0" w:color="auto"/>
                        <w:bottom w:val="none" w:sz="0" w:space="0" w:color="auto"/>
                        <w:right w:val="none" w:sz="0" w:space="0" w:color="auto"/>
                      </w:divBdr>
                    </w:div>
                  </w:divsChild>
                </w:div>
                <w:div w:id="1465738619">
                  <w:marLeft w:val="0"/>
                  <w:marRight w:val="0"/>
                  <w:marTop w:val="0"/>
                  <w:marBottom w:val="0"/>
                  <w:divBdr>
                    <w:top w:val="none" w:sz="0" w:space="0" w:color="auto"/>
                    <w:left w:val="none" w:sz="0" w:space="0" w:color="auto"/>
                    <w:bottom w:val="none" w:sz="0" w:space="0" w:color="auto"/>
                    <w:right w:val="none" w:sz="0" w:space="0" w:color="auto"/>
                  </w:divBdr>
                  <w:divsChild>
                    <w:div w:id="169411556">
                      <w:marLeft w:val="0"/>
                      <w:marRight w:val="0"/>
                      <w:marTop w:val="0"/>
                      <w:marBottom w:val="0"/>
                      <w:divBdr>
                        <w:top w:val="none" w:sz="0" w:space="0" w:color="auto"/>
                        <w:left w:val="none" w:sz="0" w:space="0" w:color="auto"/>
                        <w:bottom w:val="none" w:sz="0" w:space="0" w:color="auto"/>
                        <w:right w:val="none" w:sz="0" w:space="0" w:color="auto"/>
                      </w:divBdr>
                    </w:div>
                  </w:divsChild>
                </w:div>
                <w:div w:id="1520854910">
                  <w:marLeft w:val="0"/>
                  <w:marRight w:val="0"/>
                  <w:marTop w:val="0"/>
                  <w:marBottom w:val="0"/>
                  <w:divBdr>
                    <w:top w:val="none" w:sz="0" w:space="0" w:color="auto"/>
                    <w:left w:val="none" w:sz="0" w:space="0" w:color="auto"/>
                    <w:bottom w:val="none" w:sz="0" w:space="0" w:color="auto"/>
                    <w:right w:val="none" w:sz="0" w:space="0" w:color="auto"/>
                  </w:divBdr>
                  <w:divsChild>
                    <w:div w:id="1254511534">
                      <w:marLeft w:val="0"/>
                      <w:marRight w:val="0"/>
                      <w:marTop w:val="0"/>
                      <w:marBottom w:val="0"/>
                      <w:divBdr>
                        <w:top w:val="none" w:sz="0" w:space="0" w:color="auto"/>
                        <w:left w:val="none" w:sz="0" w:space="0" w:color="auto"/>
                        <w:bottom w:val="none" w:sz="0" w:space="0" w:color="auto"/>
                        <w:right w:val="none" w:sz="0" w:space="0" w:color="auto"/>
                      </w:divBdr>
                    </w:div>
                  </w:divsChild>
                </w:div>
                <w:div w:id="1608005544">
                  <w:marLeft w:val="0"/>
                  <w:marRight w:val="0"/>
                  <w:marTop w:val="0"/>
                  <w:marBottom w:val="0"/>
                  <w:divBdr>
                    <w:top w:val="none" w:sz="0" w:space="0" w:color="auto"/>
                    <w:left w:val="none" w:sz="0" w:space="0" w:color="auto"/>
                    <w:bottom w:val="none" w:sz="0" w:space="0" w:color="auto"/>
                    <w:right w:val="none" w:sz="0" w:space="0" w:color="auto"/>
                  </w:divBdr>
                  <w:divsChild>
                    <w:div w:id="1591811246">
                      <w:marLeft w:val="0"/>
                      <w:marRight w:val="0"/>
                      <w:marTop w:val="0"/>
                      <w:marBottom w:val="0"/>
                      <w:divBdr>
                        <w:top w:val="none" w:sz="0" w:space="0" w:color="auto"/>
                        <w:left w:val="none" w:sz="0" w:space="0" w:color="auto"/>
                        <w:bottom w:val="none" w:sz="0" w:space="0" w:color="auto"/>
                        <w:right w:val="none" w:sz="0" w:space="0" w:color="auto"/>
                      </w:divBdr>
                    </w:div>
                  </w:divsChild>
                </w:div>
                <w:div w:id="1627538167">
                  <w:marLeft w:val="0"/>
                  <w:marRight w:val="0"/>
                  <w:marTop w:val="0"/>
                  <w:marBottom w:val="0"/>
                  <w:divBdr>
                    <w:top w:val="none" w:sz="0" w:space="0" w:color="auto"/>
                    <w:left w:val="none" w:sz="0" w:space="0" w:color="auto"/>
                    <w:bottom w:val="none" w:sz="0" w:space="0" w:color="auto"/>
                    <w:right w:val="none" w:sz="0" w:space="0" w:color="auto"/>
                  </w:divBdr>
                  <w:divsChild>
                    <w:div w:id="1136216435">
                      <w:marLeft w:val="0"/>
                      <w:marRight w:val="0"/>
                      <w:marTop w:val="0"/>
                      <w:marBottom w:val="0"/>
                      <w:divBdr>
                        <w:top w:val="none" w:sz="0" w:space="0" w:color="auto"/>
                        <w:left w:val="none" w:sz="0" w:space="0" w:color="auto"/>
                        <w:bottom w:val="none" w:sz="0" w:space="0" w:color="auto"/>
                        <w:right w:val="none" w:sz="0" w:space="0" w:color="auto"/>
                      </w:divBdr>
                    </w:div>
                  </w:divsChild>
                </w:div>
                <w:div w:id="1656495535">
                  <w:marLeft w:val="0"/>
                  <w:marRight w:val="0"/>
                  <w:marTop w:val="0"/>
                  <w:marBottom w:val="0"/>
                  <w:divBdr>
                    <w:top w:val="none" w:sz="0" w:space="0" w:color="auto"/>
                    <w:left w:val="none" w:sz="0" w:space="0" w:color="auto"/>
                    <w:bottom w:val="none" w:sz="0" w:space="0" w:color="auto"/>
                    <w:right w:val="none" w:sz="0" w:space="0" w:color="auto"/>
                  </w:divBdr>
                  <w:divsChild>
                    <w:div w:id="731655901">
                      <w:marLeft w:val="0"/>
                      <w:marRight w:val="0"/>
                      <w:marTop w:val="0"/>
                      <w:marBottom w:val="0"/>
                      <w:divBdr>
                        <w:top w:val="none" w:sz="0" w:space="0" w:color="auto"/>
                        <w:left w:val="none" w:sz="0" w:space="0" w:color="auto"/>
                        <w:bottom w:val="none" w:sz="0" w:space="0" w:color="auto"/>
                        <w:right w:val="none" w:sz="0" w:space="0" w:color="auto"/>
                      </w:divBdr>
                    </w:div>
                  </w:divsChild>
                </w:div>
                <w:div w:id="1707674680">
                  <w:marLeft w:val="0"/>
                  <w:marRight w:val="0"/>
                  <w:marTop w:val="0"/>
                  <w:marBottom w:val="0"/>
                  <w:divBdr>
                    <w:top w:val="none" w:sz="0" w:space="0" w:color="auto"/>
                    <w:left w:val="none" w:sz="0" w:space="0" w:color="auto"/>
                    <w:bottom w:val="none" w:sz="0" w:space="0" w:color="auto"/>
                    <w:right w:val="none" w:sz="0" w:space="0" w:color="auto"/>
                  </w:divBdr>
                  <w:divsChild>
                    <w:div w:id="1289505283">
                      <w:marLeft w:val="0"/>
                      <w:marRight w:val="0"/>
                      <w:marTop w:val="0"/>
                      <w:marBottom w:val="0"/>
                      <w:divBdr>
                        <w:top w:val="none" w:sz="0" w:space="0" w:color="auto"/>
                        <w:left w:val="none" w:sz="0" w:space="0" w:color="auto"/>
                        <w:bottom w:val="none" w:sz="0" w:space="0" w:color="auto"/>
                        <w:right w:val="none" w:sz="0" w:space="0" w:color="auto"/>
                      </w:divBdr>
                    </w:div>
                  </w:divsChild>
                </w:div>
                <w:div w:id="1722943840">
                  <w:marLeft w:val="0"/>
                  <w:marRight w:val="0"/>
                  <w:marTop w:val="0"/>
                  <w:marBottom w:val="0"/>
                  <w:divBdr>
                    <w:top w:val="none" w:sz="0" w:space="0" w:color="auto"/>
                    <w:left w:val="none" w:sz="0" w:space="0" w:color="auto"/>
                    <w:bottom w:val="none" w:sz="0" w:space="0" w:color="auto"/>
                    <w:right w:val="none" w:sz="0" w:space="0" w:color="auto"/>
                  </w:divBdr>
                  <w:divsChild>
                    <w:div w:id="1327127221">
                      <w:marLeft w:val="0"/>
                      <w:marRight w:val="0"/>
                      <w:marTop w:val="0"/>
                      <w:marBottom w:val="0"/>
                      <w:divBdr>
                        <w:top w:val="none" w:sz="0" w:space="0" w:color="auto"/>
                        <w:left w:val="none" w:sz="0" w:space="0" w:color="auto"/>
                        <w:bottom w:val="none" w:sz="0" w:space="0" w:color="auto"/>
                        <w:right w:val="none" w:sz="0" w:space="0" w:color="auto"/>
                      </w:divBdr>
                    </w:div>
                  </w:divsChild>
                </w:div>
                <w:div w:id="1728451072">
                  <w:marLeft w:val="0"/>
                  <w:marRight w:val="0"/>
                  <w:marTop w:val="0"/>
                  <w:marBottom w:val="0"/>
                  <w:divBdr>
                    <w:top w:val="none" w:sz="0" w:space="0" w:color="auto"/>
                    <w:left w:val="none" w:sz="0" w:space="0" w:color="auto"/>
                    <w:bottom w:val="none" w:sz="0" w:space="0" w:color="auto"/>
                    <w:right w:val="none" w:sz="0" w:space="0" w:color="auto"/>
                  </w:divBdr>
                  <w:divsChild>
                    <w:div w:id="232397688">
                      <w:marLeft w:val="0"/>
                      <w:marRight w:val="0"/>
                      <w:marTop w:val="0"/>
                      <w:marBottom w:val="0"/>
                      <w:divBdr>
                        <w:top w:val="none" w:sz="0" w:space="0" w:color="auto"/>
                        <w:left w:val="none" w:sz="0" w:space="0" w:color="auto"/>
                        <w:bottom w:val="none" w:sz="0" w:space="0" w:color="auto"/>
                        <w:right w:val="none" w:sz="0" w:space="0" w:color="auto"/>
                      </w:divBdr>
                    </w:div>
                  </w:divsChild>
                </w:div>
                <w:div w:id="1739791683">
                  <w:marLeft w:val="0"/>
                  <w:marRight w:val="0"/>
                  <w:marTop w:val="0"/>
                  <w:marBottom w:val="0"/>
                  <w:divBdr>
                    <w:top w:val="none" w:sz="0" w:space="0" w:color="auto"/>
                    <w:left w:val="none" w:sz="0" w:space="0" w:color="auto"/>
                    <w:bottom w:val="none" w:sz="0" w:space="0" w:color="auto"/>
                    <w:right w:val="none" w:sz="0" w:space="0" w:color="auto"/>
                  </w:divBdr>
                  <w:divsChild>
                    <w:div w:id="542324919">
                      <w:marLeft w:val="0"/>
                      <w:marRight w:val="0"/>
                      <w:marTop w:val="0"/>
                      <w:marBottom w:val="0"/>
                      <w:divBdr>
                        <w:top w:val="none" w:sz="0" w:space="0" w:color="auto"/>
                        <w:left w:val="none" w:sz="0" w:space="0" w:color="auto"/>
                        <w:bottom w:val="none" w:sz="0" w:space="0" w:color="auto"/>
                        <w:right w:val="none" w:sz="0" w:space="0" w:color="auto"/>
                      </w:divBdr>
                    </w:div>
                  </w:divsChild>
                </w:div>
                <w:div w:id="1755125319">
                  <w:marLeft w:val="0"/>
                  <w:marRight w:val="0"/>
                  <w:marTop w:val="0"/>
                  <w:marBottom w:val="0"/>
                  <w:divBdr>
                    <w:top w:val="none" w:sz="0" w:space="0" w:color="auto"/>
                    <w:left w:val="none" w:sz="0" w:space="0" w:color="auto"/>
                    <w:bottom w:val="none" w:sz="0" w:space="0" w:color="auto"/>
                    <w:right w:val="none" w:sz="0" w:space="0" w:color="auto"/>
                  </w:divBdr>
                  <w:divsChild>
                    <w:div w:id="1179005081">
                      <w:marLeft w:val="0"/>
                      <w:marRight w:val="0"/>
                      <w:marTop w:val="0"/>
                      <w:marBottom w:val="0"/>
                      <w:divBdr>
                        <w:top w:val="none" w:sz="0" w:space="0" w:color="auto"/>
                        <w:left w:val="none" w:sz="0" w:space="0" w:color="auto"/>
                        <w:bottom w:val="none" w:sz="0" w:space="0" w:color="auto"/>
                        <w:right w:val="none" w:sz="0" w:space="0" w:color="auto"/>
                      </w:divBdr>
                    </w:div>
                  </w:divsChild>
                </w:div>
                <w:div w:id="1759252219">
                  <w:marLeft w:val="0"/>
                  <w:marRight w:val="0"/>
                  <w:marTop w:val="0"/>
                  <w:marBottom w:val="0"/>
                  <w:divBdr>
                    <w:top w:val="none" w:sz="0" w:space="0" w:color="auto"/>
                    <w:left w:val="none" w:sz="0" w:space="0" w:color="auto"/>
                    <w:bottom w:val="none" w:sz="0" w:space="0" w:color="auto"/>
                    <w:right w:val="none" w:sz="0" w:space="0" w:color="auto"/>
                  </w:divBdr>
                  <w:divsChild>
                    <w:div w:id="237440420">
                      <w:marLeft w:val="0"/>
                      <w:marRight w:val="0"/>
                      <w:marTop w:val="0"/>
                      <w:marBottom w:val="0"/>
                      <w:divBdr>
                        <w:top w:val="none" w:sz="0" w:space="0" w:color="auto"/>
                        <w:left w:val="none" w:sz="0" w:space="0" w:color="auto"/>
                        <w:bottom w:val="none" w:sz="0" w:space="0" w:color="auto"/>
                        <w:right w:val="none" w:sz="0" w:space="0" w:color="auto"/>
                      </w:divBdr>
                    </w:div>
                  </w:divsChild>
                </w:div>
                <w:div w:id="1824079923">
                  <w:marLeft w:val="0"/>
                  <w:marRight w:val="0"/>
                  <w:marTop w:val="0"/>
                  <w:marBottom w:val="0"/>
                  <w:divBdr>
                    <w:top w:val="none" w:sz="0" w:space="0" w:color="auto"/>
                    <w:left w:val="none" w:sz="0" w:space="0" w:color="auto"/>
                    <w:bottom w:val="none" w:sz="0" w:space="0" w:color="auto"/>
                    <w:right w:val="none" w:sz="0" w:space="0" w:color="auto"/>
                  </w:divBdr>
                  <w:divsChild>
                    <w:div w:id="2047292739">
                      <w:marLeft w:val="0"/>
                      <w:marRight w:val="0"/>
                      <w:marTop w:val="0"/>
                      <w:marBottom w:val="0"/>
                      <w:divBdr>
                        <w:top w:val="none" w:sz="0" w:space="0" w:color="auto"/>
                        <w:left w:val="none" w:sz="0" w:space="0" w:color="auto"/>
                        <w:bottom w:val="none" w:sz="0" w:space="0" w:color="auto"/>
                        <w:right w:val="none" w:sz="0" w:space="0" w:color="auto"/>
                      </w:divBdr>
                    </w:div>
                  </w:divsChild>
                </w:div>
                <w:div w:id="1840341865">
                  <w:marLeft w:val="0"/>
                  <w:marRight w:val="0"/>
                  <w:marTop w:val="0"/>
                  <w:marBottom w:val="0"/>
                  <w:divBdr>
                    <w:top w:val="none" w:sz="0" w:space="0" w:color="auto"/>
                    <w:left w:val="none" w:sz="0" w:space="0" w:color="auto"/>
                    <w:bottom w:val="none" w:sz="0" w:space="0" w:color="auto"/>
                    <w:right w:val="none" w:sz="0" w:space="0" w:color="auto"/>
                  </w:divBdr>
                  <w:divsChild>
                    <w:div w:id="523399289">
                      <w:marLeft w:val="0"/>
                      <w:marRight w:val="0"/>
                      <w:marTop w:val="0"/>
                      <w:marBottom w:val="0"/>
                      <w:divBdr>
                        <w:top w:val="none" w:sz="0" w:space="0" w:color="auto"/>
                        <w:left w:val="none" w:sz="0" w:space="0" w:color="auto"/>
                        <w:bottom w:val="none" w:sz="0" w:space="0" w:color="auto"/>
                        <w:right w:val="none" w:sz="0" w:space="0" w:color="auto"/>
                      </w:divBdr>
                    </w:div>
                  </w:divsChild>
                </w:div>
                <w:div w:id="1921716992">
                  <w:marLeft w:val="0"/>
                  <w:marRight w:val="0"/>
                  <w:marTop w:val="0"/>
                  <w:marBottom w:val="0"/>
                  <w:divBdr>
                    <w:top w:val="none" w:sz="0" w:space="0" w:color="auto"/>
                    <w:left w:val="none" w:sz="0" w:space="0" w:color="auto"/>
                    <w:bottom w:val="none" w:sz="0" w:space="0" w:color="auto"/>
                    <w:right w:val="none" w:sz="0" w:space="0" w:color="auto"/>
                  </w:divBdr>
                  <w:divsChild>
                    <w:div w:id="322053589">
                      <w:marLeft w:val="0"/>
                      <w:marRight w:val="0"/>
                      <w:marTop w:val="0"/>
                      <w:marBottom w:val="0"/>
                      <w:divBdr>
                        <w:top w:val="none" w:sz="0" w:space="0" w:color="auto"/>
                        <w:left w:val="none" w:sz="0" w:space="0" w:color="auto"/>
                        <w:bottom w:val="none" w:sz="0" w:space="0" w:color="auto"/>
                        <w:right w:val="none" w:sz="0" w:space="0" w:color="auto"/>
                      </w:divBdr>
                    </w:div>
                  </w:divsChild>
                </w:div>
                <w:div w:id="1930382018">
                  <w:marLeft w:val="0"/>
                  <w:marRight w:val="0"/>
                  <w:marTop w:val="0"/>
                  <w:marBottom w:val="0"/>
                  <w:divBdr>
                    <w:top w:val="none" w:sz="0" w:space="0" w:color="auto"/>
                    <w:left w:val="none" w:sz="0" w:space="0" w:color="auto"/>
                    <w:bottom w:val="none" w:sz="0" w:space="0" w:color="auto"/>
                    <w:right w:val="none" w:sz="0" w:space="0" w:color="auto"/>
                  </w:divBdr>
                  <w:divsChild>
                    <w:div w:id="114518920">
                      <w:marLeft w:val="0"/>
                      <w:marRight w:val="0"/>
                      <w:marTop w:val="0"/>
                      <w:marBottom w:val="0"/>
                      <w:divBdr>
                        <w:top w:val="none" w:sz="0" w:space="0" w:color="auto"/>
                        <w:left w:val="none" w:sz="0" w:space="0" w:color="auto"/>
                        <w:bottom w:val="none" w:sz="0" w:space="0" w:color="auto"/>
                        <w:right w:val="none" w:sz="0" w:space="0" w:color="auto"/>
                      </w:divBdr>
                    </w:div>
                  </w:divsChild>
                </w:div>
                <w:div w:id="1977562740">
                  <w:marLeft w:val="0"/>
                  <w:marRight w:val="0"/>
                  <w:marTop w:val="0"/>
                  <w:marBottom w:val="0"/>
                  <w:divBdr>
                    <w:top w:val="none" w:sz="0" w:space="0" w:color="auto"/>
                    <w:left w:val="none" w:sz="0" w:space="0" w:color="auto"/>
                    <w:bottom w:val="none" w:sz="0" w:space="0" w:color="auto"/>
                    <w:right w:val="none" w:sz="0" w:space="0" w:color="auto"/>
                  </w:divBdr>
                  <w:divsChild>
                    <w:div w:id="1485587844">
                      <w:marLeft w:val="0"/>
                      <w:marRight w:val="0"/>
                      <w:marTop w:val="0"/>
                      <w:marBottom w:val="0"/>
                      <w:divBdr>
                        <w:top w:val="none" w:sz="0" w:space="0" w:color="auto"/>
                        <w:left w:val="none" w:sz="0" w:space="0" w:color="auto"/>
                        <w:bottom w:val="none" w:sz="0" w:space="0" w:color="auto"/>
                        <w:right w:val="none" w:sz="0" w:space="0" w:color="auto"/>
                      </w:divBdr>
                    </w:div>
                  </w:divsChild>
                </w:div>
                <w:div w:id="1990670022">
                  <w:marLeft w:val="0"/>
                  <w:marRight w:val="0"/>
                  <w:marTop w:val="0"/>
                  <w:marBottom w:val="0"/>
                  <w:divBdr>
                    <w:top w:val="none" w:sz="0" w:space="0" w:color="auto"/>
                    <w:left w:val="none" w:sz="0" w:space="0" w:color="auto"/>
                    <w:bottom w:val="none" w:sz="0" w:space="0" w:color="auto"/>
                    <w:right w:val="none" w:sz="0" w:space="0" w:color="auto"/>
                  </w:divBdr>
                  <w:divsChild>
                    <w:div w:id="1523736796">
                      <w:marLeft w:val="0"/>
                      <w:marRight w:val="0"/>
                      <w:marTop w:val="0"/>
                      <w:marBottom w:val="0"/>
                      <w:divBdr>
                        <w:top w:val="none" w:sz="0" w:space="0" w:color="auto"/>
                        <w:left w:val="none" w:sz="0" w:space="0" w:color="auto"/>
                        <w:bottom w:val="none" w:sz="0" w:space="0" w:color="auto"/>
                        <w:right w:val="none" w:sz="0" w:space="0" w:color="auto"/>
                      </w:divBdr>
                    </w:div>
                  </w:divsChild>
                </w:div>
                <w:div w:id="2075200753">
                  <w:marLeft w:val="0"/>
                  <w:marRight w:val="0"/>
                  <w:marTop w:val="0"/>
                  <w:marBottom w:val="0"/>
                  <w:divBdr>
                    <w:top w:val="none" w:sz="0" w:space="0" w:color="auto"/>
                    <w:left w:val="none" w:sz="0" w:space="0" w:color="auto"/>
                    <w:bottom w:val="none" w:sz="0" w:space="0" w:color="auto"/>
                    <w:right w:val="none" w:sz="0" w:space="0" w:color="auto"/>
                  </w:divBdr>
                  <w:divsChild>
                    <w:div w:id="2144541891">
                      <w:marLeft w:val="0"/>
                      <w:marRight w:val="0"/>
                      <w:marTop w:val="0"/>
                      <w:marBottom w:val="0"/>
                      <w:divBdr>
                        <w:top w:val="none" w:sz="0" w:space="0" w:color="auto"/>
                        <w:left w:val="none" w:sz="0" w:space="0" w:color="auto"/>
                        <w:bottom w:val="none" w:sz="0" w:space="0" w:color="auto"/>
                        <w:right w:val="none" w:sz="0" w:space="0" w:color="auto"/>
                      </w:divBdr>
                    </w:div>
                  </w:divsChild>
                </w:div>
                <w:div w:id="2078094034">
                  <w:marLeft w:val="0"/>
                  <w:marRight w:val="0"/>
                  <w:marTop w:val="0"/>
                  <w:marBottom w:val="0"/>
                  <w:divBdr>
                    <w:top w:val="none" w:sz="0" w:space="0" w:color="auto"/>
                    <w:left w:val="none" w:sz="0" w:space="0" w:color="auto"/>
                    <w:bottom w:val="none" w:sz="0" w:space="0" w:color="auto"/>
                    <w:right w:val="none" w:sz="0" w:space="0" w:color="auto"/>
                  </w:divBdr>
                  <w:divsChild>
                    <w:div w:id="1715232521">
                      <w:marLeft w:val="0"/>
                      <w:marRight w:val="0"/>
                      <w:marTop w:val="0"/>
                      <w:marBottom w:val="0"/>
                      <w:divBdr>
                        <w:top w:val="none" w:sz="0" w:space="0" w:color="auto"/>
                        <w:left w:val="none" w:sz="0" w:space="0" w:color="auto"/>
                        <w:bottom w:val="none" w:sz="0" w:space="0" w:color="auto"/>
                        <w:right w:val="none" w:sz="0" w:space="0" w:color="auto"/>
                      </w:divBdr>
                    </w:div>
                  </w:divsChild>
                </w:div>
                <w:div w:id="2105374131">
                  <w:marLeft w:val="0"/>
                  <w:marRight w:val="0"/>
                  <w:marTop w:val="0"/>
                  <w:marBottom w:val="0"/>
                  <w:divBdr>
                    <w:top w:val="none" w:sz="0" w:space="0" w:color="auto"/>
                    <w:left w:val="none" w:sz="0" w:space="0" w:color="auto"/>
                    <w:bottom w:val="none" w:sz="0" w:space="0" w:color="auto"/>
                    <w:right w:val="none" w:sz="0" w:space="0" w:color="auto"/>
                  </w:divBdr>
                  <w:divsChild>
                    <w:div w:id="690766389">
                      <w:marLeft w:val="0"/>
                      <w:marRight w:val="0"/>
                      <w:marTop w:val="0"/>
                      <w:marBottom w:val="0"/>
                      <w:divBdr>
                        <w:top w:val="none" w:sz="0" w:space="0" w:color="auto"/>
                        <w:left w:val="none" w:sz="0" w:space="0" w:color="auto"/>
                        <w:bottom w:val="none" w:sz="0" w:space="0" w:color="auto"/>
                        <w:right w:val="none" w:sz="0" w:space="0" w:color="auto"/>
                      </w:divBdr>
                    </w:div>
                  </w:divsChild>
                </w:div>
                <w:div w:id="2107918511">
                  <w:marLeft w:val="0"/>
                  <w:marRight w:val="0"/>
                  <w:marTop w:val="0"/>
                  <w:marBottom w:val="0"/>
                  <w:divBdr>
                    <w:top w:val="none" w:sz="0" w:space="0" w:color="auto"/>
                    <w:left w:val="none" w:sz="0" w:space="0" w:color="auto"/>
                    <w:bottom w:val="none" w:sz="0" w:space="0" w:color="auto"/>
                    <w:right w:val="none" w:sz="0" w:space="0" w:color="auto"/>
                  </w:divBdr>
                  <w:divsChild>
                    <w:div w:id="14970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76317">
      <w:bodyDiv w:val="1"/>
      <w:marLeft w:val="0"/>
      <w:marRight w:val="0"/>
      <w:marTop w:val="0"/>
      <w:marBottom w:val="0"/>
      <w:divBdr>
        <w:top w:val="none" w:sz="0" w:space="0" w:color="auto"/>
        <w:left w:val="none" w:sz="0" w:space="0" w:color="auto"/>
        <w:bottom w:val="none" w:sz="0" w:space="0" w:color="auto"/>
        <w:right w:val="none" w:sz="0" w:space="0" w:color="auto"/>
      </w:divBdr>
    </w:div>
    <w:div w:id="1393692227">
      <w:bodyDiv w:val="1"/>
      <w:marLeft w:val="0"/>
      <w:marRight w:val="0"/>
      <w:marTop w:val="0"/>
      <w:marBottom w:val="0"/>
      <w:divBdr>
        <w:top w:val="none" w:sz="0" w:space="0" w:color="auto"/>
        <w:left w:val="none" w:sz="0" w:space="0" w:color="auto"/>
        <w:bottom w:val="none" w:sz="0" w:space="0" w:color="auto"/>
        <w:right w:val="none" w:sz="0" w:space="0" w:color="auto"/>
      </w:divBdr>
      <w:divsChild>
        <w:div w:id="1917742640">
          <w:marLeft w:val="150"/>
          <w:marRight w:val="0"/>
          <w:marTop w:val="150"/>
          <w:marBottom w:val="450"/>
          <w:divBdr>
            <w:top w:val="single" w:sz="18" w:space="0" w:color="868686"/>
            <w:left w:val="single" w:sz="6" w:space="31" w:color="FF671D"/>
            <w:bottom w:val="single" w:sz="18" w:space="0" w:color="868686"/>
            <w:right w:val="none" w:sz="0" w:space="0" w:color="auto"/>
          </w:divBdr>
        </w:div>
      </w:divsChild>
    </w:div>
    <w:div w:id="1398475473">
      <w:bodyDiv w:val="1"/>
      <w:marLeft w:val="0"/>
      <w:marRight w:val="0"/>
      <w:marTop w:val="0"/>
      <w:marBottom w:val="0"/>
      <w:divBdr>
        <w:top w:val="none" w:sz="0" w:space="0" w:color="auto"/>
        <w:left w:val="none" w:sz="0" w:space="0" w:color="auto"/>
        <w:bottom w:val="none" w:sz="0" w:space="0" w:color="auto"/>
        <w:right w:val="none" w:sz="0" w:space="0" w:color="auto"/>
      </w:divBdr>
      <w:divsChild>
        <w:div w:id="762996749">
          <w:marLeft w:val="0"/>
          <w:marRight w:val="0"/>
          <w:marTop w:val="0"/>
          <w:marBottom w:val="0"/>
          <w:divBdr>
            <w:top w:val="none" w:sz="0" w:space="0" w:color="auto"/>
            <w:left w:val="none" w:sz="0" w:space="0" w:color="auto"/>
            <w:bottom w:val="none" w:sz="0" w:space="0" w:color="auto"/>
            <w:right w:val="none" w:sz="0" w:space="0" w:color="auto"/>
          </w:divBdr>
          <w:divsChild>
            <w:div w:id="181280621">
              <w:marLeft w:val="0"/>
              <w:marRight w:val="0"/>
              <w:marTop w:val="0"/>
              <w:marBottom w:val="0"/>
              <w:divBdr>
                <w:top w:val="none" w:sz="0" w:space="0" w:color="auto"/>
                <w:left w:val="none" w:sz="0" w:space="0" w:color="auto"/>
                <w:bottom w:val="none" w:sz="0" w:space="0" w:color="auto"/>
                <w:right w:val="none" w:sz="0" w:space="0" w:color="auto"/>
              </w:divBdr>
              <w:divsChild>
                <w:div w:id="676343585">
                  <w:marLeft w:val="0"/>
                  <w:marRight w:val="0"/>
                  <w:marTop w:val="0"/>
                  <w:marBottom w:val="0"/>
                  <w:divBdr>
                    <w:top w:val="none" w:sz="0" w:space="0" w:color="auto"/>
                    <w:left w:val="none" w:sz="0" w:space="0" w:color="auto"/>
                    <w:bottom w:val="none" w:sz="0" w:space="0" w:color="auto"/>
                    <w:right w:val="none" w:sz="0" w:space="0" w:color="auto"/>
                  </w:divBdr>
                  <w:divsChild>
                    <w:div w:id="74156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2403">
          <w:marLeft w:val="0"/>
          <w:marRight w:val="0"/>
          <w:marTop w:val="0"/>
          <w:marBottom w:val="0"/>
          <w:divBdr>
            <w:top w:val="none" w:sz="0" w:space="0" w:color="auto"/>
            <w:left w:val="none" w:sz="0" w:space="0" w:color="auto"/>
            <w:bottom w:val="none" w:sz="0" w:space="0" w:color="auto"/>
            <w:right w:val="none" w:sz="0" w:space="0" w:color="auto"/>
          </w:divBdr>
          <w:divsChild>
            <w:div w:id="2046830770">
              <w:marLeft w:val="0"/>
              <w:marRight w:val="0"/>
              <w:marTop w:val="0"/>
              <w:marBottom w:val="0"/>
              <w:divBdr>
                <w:top w:val="none" w:sz="0" w:space="0" w:color="auto"/>
                <w:left w:val="none" w:sz="0" w:space="0" w:color="auto"/>
                <w:bottom w:val="none" w:sz="0" w:space="0" w:color="auto"/>
                <w:right w:val="none" w:sz="0" w:space="0" w:color="auto"/>
              </w:divBdr>
              <w:divsChild>
                <w:div w:id="1236893174">
                  <w:marLeft w:val="0"/>
                  <w:marRight w:val="0"/>
                  <w:marTop w:val="0"/>
                  <w:marBottom w:val="0"/>
                  <w:divBdr>
                    <w:top w:val="none" w:sz="0" w:space="0" w:color="auto"/>
                    <w:left w:val="none" w:sz="0" w:space="0" w:color="auto"/>
                    <w:bottom w:val="none" w:sz="0" w:space="0" w:color="auto"/>
                    <w:right w:val="none" w:sz="0" w:space="0" w:color="auto"/>
                  </w:divBdr>
                  <w:divsChild>
                    <w:div w:id="15682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156579">
      <w:bodyDiv w:val="1"/>
      <w:marLeft w:val="0"/>
      <w:marRight w:val="0"/>
      <w:marTop w:val="0"/>
      <w:marBottom w:val="0"/>
      <w:divBdr>
        <w:top w:val="none" w:sz="0" w:space="0" w:color="auto"/>
        <w:left w:val="none" w:sz="0" w:space="0" w:color="auto"/>
        <w:bottom w:val="none" w:sz="0" w:space="0" w:color="auto"/>
        <w:right w:val="none" w:sz="0" w:space="0" w:color="auto"/>
      </w:divBdr>
    </w:div>
    <w:div w:id="1410886521">
      <w:bodyDiv w:val="1"/>
      <w:marLeft w:val="0"/>
      <w:marRight w:val="0"/>
      <w:marTop w:val="0"/>
      <w:marBottom w:val="0"/>
      <w:divBdr>
        <w:top w:val="none" w:sz="0" w:space="0" w:color="auto"/>
        <w:left w:val="none" w:sz="0" w:space="0" w:color="auto"/>
        <w:bottom w:val="none" w:sz="0" w:space="0" w:color="auto"/>
        <w:right w:val="none" w:sz="0" w:space="0" w:color="auto"/>
      </w:divBdr>
      <w:divsChild>
        <w:div w:id="5905766">
          <w:marLeft w:val="360"/>
          <w:marRight w:val="0"/>
          <w:marTop w:val="200"/>
          <w:marBottom w:val="0"/>
          <w:divBdr>
            <w:top w:val="none" w:sz="0" w:space="0" w:color="auto"/>
            <w:left w:val="none" w:sz="0" w:space="0" w:color="auto"/>
            <w:bottom w:val="none" w:sz="0" w:space="0" w:color="auto"/>
            <w:right w:val="none" w:sz="0" w:space="0" w:color="auto"/>
          </w:divBdr>
        </w:div>
        <w:div w:id="1079182410">
          <w:marLeft w:val="360"/>
          <w:marRight w:val="0"/>
          <w:marTop w:val="200"/>
          <w:marBottom w:val="0"/>
          <w:divBdr>
            <w:top w:val="none" w:sz="0" w:space="0" w:color="auto"/>
            <w:left w:val="none" w:sz="0" w:space="0" w:color="auto"/>
            <w:bottom w:val="none" w:sz="0" w:space="0" w:color="auto"/>
            <w:right w:val="none" w:sz="0" w:space="0" w:color="auto"/>
          </w:divBdr>
        </w:div>
        <w:div w:id="1613246633">
          <w:marLeft w:val="360"/>
          <w:marRight w:val="0"/>
          <w:marTop w:val="200"/>
          <w:marBottom w:val="0"/>
          <w:divBdr>
            <w:top w:val="none" w:sz="0" w:space="0" w:color="auto"/>
            <w:left w:val="none" w:sz="0" w:space="0" w:color="auto"/>
            <w:bottom w:val="none" w:sz="0" w:space="0" w:color="auto"/>
            <w:right w:val="none" w:sz="0" w:space="0" w:color="auto"/>
          </w:divBdr>
        </w:div>
      </w:divsChild>
    </w:div>
    <w:div w:id="1415282229">
      <w:bodyDiv w:val="1"/>
      <w:marLeft w:val="0"/>
      <w:marRight w:val="0"/>
      <w:marTop w:val="0"/>
      <w:marBottom w:val="0"/>
      <w:divBdr>
        <w:top w:val="none" w:sz="0" w:space="0" w:color="auto"/>
        <w:left w:val="none" w:sz="0" w:space="0" w:color="auto"/>
        <w:bottom w:val="none" w:sz="0" w:space="0" w:color="auto"/>
        <w:right w:val="none" w:sz="0" w:space="0" w:color="auto"/>
      </w:divBdr>
      <w:divsChild>
        <w:div w:id="1491286129">
          <w:marLeft w:val="0"/>
          <w:marRight w:val="0"/>
          <w:marTop w:val="0"/>
          <w:marBottom w:val="0"/>
          <w:divBdr>
            <w:top w:val="none" w:sz="0" w:space="0" w:color="auto"/>
            <w:left w:val="none" w:sz="0" w:space="0" w:color="auto"/>
            <w:bottom w:val="none" w:sz="0" w:space="0" w:color="auto"/>
            <w:right w:val="none" w:sz="0" w:space="0" w:color="auto"/>
          </w:divBdr>
          <w:divsChild>
            <w:div w:id="666055929">
              <w:marLeft w:val="0"/>
              <w:marRight w:val="0"/>
              <w:marTop w:val="0"/>
              <w:marBottom w:val="0"/>
              <w:divBdr>
                <w:top w:val="none" w:sz="0" w:space="0" w:color="auto"/>
                <w:left w:val="none" w:sz="0" w:space="0" w:color="auto"/>
                <w:bottom w:val="none" w:sz="0" w:space="0" w:color="auto"/>
                <w:right w:val="none" w:sz="0" w:space="0" w:color="auto"/>
              </w:divBdr>
              <w:divsChild>
                <w:div w:id="582375097">
                  <w:marLeft w:val="0"/>
                  <w:marRight w:val="0"/>
                  <w:marTop w:val="0"/>
                  <w:marBottom w:val="0"/>
                  <w:divBdr>
                    <w:top w:val="none" w:sz="0" w:space="0" w:color="auto"/>
                    <w:left w:val="none" w:sz="0" w:space="0" w:color="auto"/>
                    <w:bottom w:val="none" w:sz="0" w:space="0" w:color="auto"/>
                    <w:right w:val="none" w:sz="0" w:space="0" w:color="auto"/>
                  </w:divBdr>
                  <w:divsChild>
                    <w:div w:id="204331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77327">
      <w:bodyDiv w:val="1"/>
      <w:marLeft w:val="0"/>
      <w:marRight w:val="0"/>
      <w:marTop w:val="0"/>
      <w:marBottom w:val="0"/>
      <w:divBdr>
        <w:top w:val="none" w:sz="0" w:space="0" w:color="auto"/>
        <w:left w:val="none" w:sz="0" w:space="0" w:color="auto"/>
        <w:bottom w:val="none" w:sz="0" w:space="0" w:color="auto"/>
        <w:right w:val="none" w:sz="0" w:space="0" w:color="auto"/>
      </w:divBdr>
    </w:div>
    <w:div w:id="1426151330">
      <w:bodyDiv w:val="1"/>
      <w:marLeft w:val="0"/>
      <w:marRight w:val="0"/>
      <w:marTop w:val="0"/>
      <w:marBottom w:val="0"/>
      <w:divBdr>
        <w:top w:val="none" w:sz="0" w:space="0" w:color="auto"/>
        <w:left w:val="none" w:sz="0" w:space="0" w:color="auto"/>
        <w:bottom w:val="none" w:sz="0" w:space="0" w:color="auto"/>
        <w:right w:val="none" w:sz="0" w:space="0" w:color="auto"/>
      </w:divBdr>
    </w:div>
    <w:div w:id="1441071108">
      <w:bodyDiv w:val="1"/>
      <w:marLeft w:val="0"/>
      <w:marRight w:val="0"/>
      <w:marTop w:val="0"/>
      <w:marBottom w:val="0"/>
      <w:divBdr>
        <w:top w:val="none" w:sz="0" w:space="0" w:color="auto"/>
        <w:left w:val="none" w:sz="0" w:space="0" w:color="auto"/>
        <w:bottom w:val="none" w:sz="0" w:space="0" w:color="auto"/>
        <w:right w:val="none" w:sz="0" w:space="0" w:color="auto"/>
      </w:divBdr>
      <w:divsChild>
        <w:div w:id="1468891010">
          <w:marLeft w:val="0"/>
          <w:marRight w:val="0"/>
          <w:marTop w:val="0"/>
          <w:marBottom w:val="0"/>
          <w:divBdr>
            <w:top w:val="none" w:sz="0" w:space="0" w:color="auto"/>
            <w:left w:val="none" w:sz="0" w:space="0" w:color="auto"/>
            <w:bottom w:val="none" w:sz="0" w:space="0" w:color="auto"/>
            <w:right w:val="none" w:sz="0" w:space="0" w:color="auto"/>
          </w:divBdr>
          <w:divsChild>
            <w:div w:id="862285570">
              <w:marLeft w:val="0"/>
              <w:marRight w:val="0"/>
              <w:marTop w:val="0"/>
              <w:marBottom w:val="0"/>
              <w:divBdr>
                <w:top w:val="none" w:sz="0" w:space="0" w:color="auto"/>
                <w:left w:val="none" w:sz="0" w:space="0" w:color="auto"/>
                <w:bottom w:val="none" w:sz="0" w:space="0" w:color="auto"/>
                <w:right w:val="none" w:sz="0" w:space="0" w:color="auto"/>
              </w:divBdr>
              <w:divsChild>
                <w:div w:id="71318888">
                  <w:marLeft w:val="0"/>
                  <w:marRight w:val="0"/>
                  <w:marTop w:val="0"/>
                  <w:marBottom w:val="0"/>
                  <w:divBdr>
                    <w:top w:val="none" w:sz="0" w:space="0" w:color="auto"/>
                    <w:left w:val="none" w:sz="0" w:space="0" w:color="auto"/>
                    <w:bottom w:val="none" w:sz="0" w:space="0" w:color="auto"/>
                    <w:right w:val="none" w:sz="0" w:space="0" w:color="auto"/>
                  </w:divBdr>
                  <w:divsChild>
                    <w:div w:id="1024016187">
                      <w:marLeft w:val="0"/>
                      <w:marRight w:val="0"/>
                      <w:marTop w:val="0"/>
                      <w:marBottom w:val="0"/>
                      <w:divBdr>
                        <w:top w:val="none" w:sz="0" w:space="0" w:color="auto"/>
                        <w:left w:val="none" w:sz="0" w:space="0" w:color="auto"/>
                        <w:bottom w:val="none" w:sz="0" w:space="0" w:color="auto"/>
                        <w:right w:val="none" w:sz="0" w:space="0" w:color="auto"/>
                      </w:divBdr>
                      <w:divsChild>
                        <w:div w:id="87310957">
                          <w:marLeft w:val="0"/>
                          <w:marRight w:val="0"/>
                          <w:marTop w:val="0"/>
                          <w:marBottom w:val="0"/>
                          <w:divBdr>
                            <w:top w:val="none" w:sz="0" w:space="0" w:color="auto"/>
                            <w:left w:val="none" w:sz="0" w:space="0" w:color="auto"/>
                            <w:bottom w:val="none" w:sz="0" w:space="0" w:color="auto"/>
                            <w:right w:val="none" w:sz="0" w:space="0" w:color="auto"/>
                          </w:divBdr>
                        </w:div>
                        <w:div w:id="1973092624">
                          <w:marLeft w:val="0"/>
                          <w:marRight w:val="0"/>
                          <w:marTop w:val="0"/>
                          <w:marBottom w:val="0"/>
                          <w:divBdr>
                            <w:top w:val="none" w:sz="0" w:space="0" w:color="auto"/>
                            <w:left w:val="none" w:sz="0" w:space="0" w:color="auto"/>
                            <w:bottom w:val="none" w:sz="0" w:space="0" w:color="auto"/>
                            <w:right w:val="none" w:sz="0" w:space="0" w:color="auto"/>
                          </w:divBdr>
                          <w:divsChild>
                            <w:div w:id="201556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71182">
                      <w:marLeft w:val="0"/>
                      <w:marRight w:val="0"/>
                      <w:marTop w:val="0"/>
                      <w:marBottom w:val="0"/>
                      <w:divBdr>
                        <w:top w:val="none" w:sz="0" w:space="0" w:color="auto"/>
                        <w:left w:val="none" w:sz="0" w:space="0" w:color="auto"/>
                        <w:bottom w:val="none" w:sz="0" w:space="0" w:color="auto"/>
                        <w:right w:val="none" w:sz="0" w:space="0" w:color="auto"/>
                      </w:divBdr>
                      <w:divsChild>
                        <w:div w:id="1087190867">
                          <w:marLeft w:val="0"/>
                          <w:marRight w:val="0"/>
                          <w:marTop w:val="0"/>
                          <w:marBottom w:val="0"/>
                          <w:divBdr>
                            <w:top w:val="none" w:sz="0" w:space="0" w:color="auto"/>
                            <w:left w:val="none" w:sz="0" w:space="0" w:color="auto"/>
                            <w:bottom w:val="none" w:sz="0" w:space="0" w:color="auto"/>
                            <w:right w:val="none" w:sz="0" w:space="0" w:color="auto"/>
                          </w:divBdr>
                        </w:div>
                        <w:div w:id="133884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4843">
                  <w:marLeft w:val="0"/>
                  <w:marRight w:val="0"/>
                  <w:marTop w:val="0"/>
                  <w:marBottom w:val="0"/>
                  <w:divBdr>
                    <w:top w:val="none" w:sz="0" w:space="0" w:color="auto"/>
                    <w:left w:val="none" w:sz="0" w:space="0" w:color="auto"/>
                    <w:bottom w:val="none" w:sz="0" w:space="0" w:color="auto"/>
                    <w:right w:val="none" w:sz="0" w:space="0" w:color="auto"/>
                  </w:divBdr>
                </w:div>
                <w:div w:id="16707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916">
      <w:bodyDiv w:val="1"/>
      <w:marLeft w:val="0"/>
      <w:marRight w:val="0"/>
      <w:marTop w:val="0"/>
      <w:marBottom w:val="0"/>
      <w:divBdr>
        <w:top w:val="none" w:sz="0" w:space="0" w:color="auto"/>
        <w:left w:val="none" w:sz="0" w:space="0" w:color="auto"/>
        <w:bottom w:val="none" w:sz="0" w:space="0" w:color="auto"/>
        <w:right w:val="none" w:sz="0" w:space="0" w:color="auto"/>
      </w:divBdr>
    </w:div>
    <w:div w:id="1477994459">
      <w:bodyDiv w:val="1"/>
      <w:marLeft w:val="0"/>
      <w:marRight w:val="0"/>
      <w:marTop w:val="0"/>
      <w:marBottom w:val="0"/>
      <w:divBdr>
        <w:top w:val="none" w:sz="0" w:space="0" w:color="auto"/>
        <w:left w:val="none" w:sz="0" w:space="0" w:color="auto"/>
        <w:bottom w:val="none" w:sz="0" w:space="0" w:color="auto"/>
        <w:right w:val="none" w:sz="0" w:space="0" w:color="auto"/>
      </w:divBdr>
    </w:div>
    <w:div w:id="1504248024">
      <w:bodyDiv w:val="1"/>
      <w:marLeft w:val="0"/>
      <w:marRight w:val="0"/>
      <w:marTop w:val="0"/>
      <w:marBottom w:val="0"/>
      <w:divBdr>
        <w:top w:val="none" w:sz="0" w:space="0" w:color="auto"/>
        <w:left w:val="none" w:sz="0" w:space="0" w:color="auto"/>
        <w:bottom w:val="none" w:sz="0" w:space="0" w:color="auto"/>
        <w:right w:val="none" w:sz="0" w:space="0" w:color="auto"/>
      </w:divBdr>
      <w:divsChild>
        <w:div w:id="709375437">
          <w:marLeft w:val="0"/>
          <w:marRight w:val="0"/>
          <w:marTop w:val="0"/>
          <w:marBottom w:val="0"/>
          <w:divBdr>
            <w:top w:val="none" w:sz="0" w:space="0" w:color="auto"/>
            <w:left w:val="none" w:sz="0" w:space="0" w:color="auto"/>
            <w:bottom w:val="none" w:sz="0" w:space="0" w:color="auto"/>
            <w:right w:val="none" w:sz="0" w:space="0" w:color="auto"/>
          </w:divBdr>
          <w:divsChild>
            <w:div w:id="1534227268">
              <w:marLeft w:val="0"/>
              <w:marRight w:val="0"/>
              <w:marTop w:val="0"/>
              <w:marBottom w:val="0"/>
              <w:divBdr>
                <w:top w:val="none" w:sz="0" w:space="0" w:color="auto"/>
                <w:left w:val="none" w:sz="0" w:space="0" w:color="auto"/>
                <w:bottom w:val="none" w:sz="0" w:space="0" w:color="auto"/>
                <w:right w:val="none" w:sz="0" w:space="0" w:color="auto"/>
              </w:divBdr>
              <w:divsChild>
                <w:div w:id="1747413292">
                  <w:marLeft w:val="0"/>
                  <w:marRight w:val="0"/>
                  <w:marTop w:val="0"/>
                  <w:marBottom w:val="0"/>
                  <w:divBdr>
                    <w:top w:val="none" w:sz="0" w:space="0" w:color="auto"/>
                    <w:left w:val="none" w:sz="0" w:space="0" w:color="auto"/>
                    <w:bottom w:val="none" w:sz="0" w:space="0" w:color="auto"/>
                    <w:right w:val="none" w:sz="0" w:space="0" w:color="auto"/>
                  </w:divBdr>
                </w:div>
              </w:divsChild>
            </w:div>
            <w:div w:id="1788965859">
              <w:marLeft w:val="0"/>
              <w:marRight w:val="0"/>
              <w:marTop w:val="0"/>
              <w:marBottom w:val="0"/>
              <w:divBdr>
                <w:top w:val="none" w:sz="0" w:space="0" w:color="auto"/>
                <w:left w:val="none" w:sz="0" w:space="0" w:color="auto"/>
                <w:bottom w:val="none" w:sz="0" w:space="0" w:color="auto"/>
                <w:right w:val="none" w:sz="0" w:space="0" w:color="auto"/>
              </w:divBdr>
              <w:divsChild>
                <w:div w:id="866724369">
                  <w:marLeft w:val="0"/>
                  <w:marRight w:val="0"/>
                  <w:marTop w:val="0"/>
                  <w:marBottom w:val="0"/>
                  <w:divBdr>
                    <w:top w:val="none" w:sz="0" w:space="0" w:color="auto"/>
                    <w:left w:val="none" w:sz="0" w:space="0" w:color="auto"/>
                    <w:bottom w:val="none" w:sz="0" w:space="0" w:color="auto"/>
                    <w:right w:val="none" w:sz="0" w:space="0" w:color="auto"/>
                  </w:divBdr>
                </w:div>
              </w:divsChild>
            </w:div>
            <w:div w:id="1974284704">
              <w:marLeft w:val="0"/>
              <w:marRight w:val="0"/>
              <w:marTop w:val="0"/>
              <w:marBottom w:val="0"/>
              <w:divBdr>
                <w:top w:val="none" w:sz="0" w:space="0" w:color="auto"/>
                <w:left w:val="none" w:sz="0" w:space="0" w:color="auto"/>
                <w:bottom w:val="none" w:sz="0" w:space="0" w:color="auto"/>
                <w:right w:val="none" w:sz="0" w:space="0" w:color="auto"/>
              </w:divBdr>
              <w:divsChild>
                <w:div w:id="13533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116">
          <w:marLeft w:val="0"/>
          <w:marRight w:val="0"/>
          <w:marTop w:val="0"/>
          <w:marBottom w:val="0"/>
          <w:divBdr>
            <w:top w:val="none" w:sz="0" w:space="0" w:color="auto"/>
            <w:left w:val="none" w:sz="0" w:space="0" w:color="auto"/>
            <w:bottom w:val="none" w:sz="0" w:space="0" w:color="auto"/>
            <w:right w:val="none" w:sz="0" w:space="0" w:color="auto"/>
          </w:divBdr>
          <w:divsChild>
            <w:div w:id="58983843">
              <w:marLeft w:val="0"/>
              <w:marRight w:val="0"/>
              <w:marTop w:val="0"/>
              <w:marBottom w:val="0"/>
              <w:divBdr>
                <w:top w:val="none" w:sz="0" w:space="0" w:color="auto"/>
                <w:left w:val="none" w:sz="0" w:space="0" w:color="auto"/>
                <w:bottom w:val="none" w:sz="0" w:space="0" w:color="auto"/>
                <w:right w:val="none" w:sz="0" w:space="0" w:color="auto"/>
              </w:divBdr>
              <w:divsChild>
                <w:div w:id="795950801">
                  <w:marLeft w:val="0"/>
                  <w:marRight w:val="0"/>
                  <w:marTop w:val="0"/>
                  <w:marBottom w:val="0"/>
                  <w:divBdr>
                    <w:top w:val="none" w:sz="0" w:space="0" w:color="auto"/>
                    <w:left w:val="none" w:sz="0" w:space="0" w:color="auto"/>
                    <w:bottom w:val="none" w:sz="0" w:space="0" w:color="auto"/>
                    <w:right w:val="none" w:sz="0" w:space="0" w:color="auto"/>
                  </w:divBdr>
                </w:div>
              </w:divsChild>
            </w:div>
            <w:div w:id="168721184">
              <w:marLeft w:val="0"/>
              <w:marRight w:val="0"/>
              <w:marTop w:val="0"/>
              <w:marBottom w:val="0"/>
              <w:divBdr>
                <w:top w:val="none" w:sz="0" w:space="0" w:color="auto"/>
                <w:left w:val="none" w:sz="0" w:space="0" w:color="auto"/>
                <w:bottom w:val="none" w:sz="0" w:space="0" w:color="auto"/>
                <w:right w:val="none" w:sz="0" w:space="0" w:color="auto"/>
              </w:divBdr>
              <w:divsChild>
                <w:div w:id="1629817894">
                  <w:marLeft w:val="0"/>
                  <w:marRight w:val="0"/>
                  <w:marTop w:val="0"/>
                  <w:marBottom w:val="0"/>
                  <w:divBdr>
                    <w:top w:val="none" w:sz="0" w:space="0" w:color="auto"/>
                    <w:left w:val="none" w:sz="0" w:space="0" w:color="auto"/>
                    <w:bottom w:val="none" w:sz="0" w:space="0" w:color="auto"/>
                    <w:right w:val="none" w:sz="0" w:space="0" w:color="auto"/>
                  </w:divBdr>
                </w:div>
              </w:divsChild>
            </w:div>
            <w:div w:id="601760545">
              <w:marLeft w:val="0"/>
              <w:marRight w:val="0"/>
              <w:marTop w:val="0"/>
              <w:marBottom w:val="0"/>
              <w:divBdr>
                <w:top w:val="none" w:sz="0" w:space="0" w:color="auto"/>
                <w:left w:val="none" w:sz="0" w:space="0" w:color="auto"/>
                <w:bottom w:val="none" w:sz="0" w:space="0" w:color="auto"/>
                <w:right w:val="none" w:sz="0" w:space="0" w:color="auto"/>
              </w:divBdr>
              <w:divsChild>
                <w:div w:id="874274026">
                  <w:marLeft w:val="0"/>
                  <w:marRight w:val="0"/>
                  <w:marTop w:val="0"/>
                  <w:marBottom w:val="0"/>
                  <w:divBdr>
                    <w:top w:val="none" w:sz="0" w:space="0" w:color="auto"/>
                    <w:left w:val="none" w:sz="0" w:space="0" w:color="auto"/>
                    <w:bottom w:val="none" w:sz="0" w:space="0" w:color="auto"/>
                    <w:right w:val="none" w:sz="0" w:space="0" w:color="auto"/>
                  </w:divBdr>
                </w:div>
              </w:divsChild>
            </w:div>
            <w:div w:id="987053136">
              <w:marLeft w:val="0"/>
              <w:marRight w:val="0"/>
              <w:marTop w:val="0"/>
              <w:marBottom w:val="0"/>
              <w:divBdr>
                <w:top w:val="none" w:sz="0" w:space="0" w:color="auto"/>
                <w:left w:val="none" w:sz="0" w:space="0" w:color="auto"/>
                <w:bottom w:val="none" w:sz="0" w:space="0" w:color="auto"/>
                <w:right w:val="none" w:sz="0" w:space="0" w:color="auto"/>
              </w:divBdr>
              <w:divsChild>
                <w:div w:id="448209023">
                  <w:marLeft w:val="0"/>
                  <w:marRight w:val="0"/>
                  <w:marTop w:val="0"/>
                  <w:marBottom w:val="0"/>
                  <w:divBdr>
                    <w:top w:val="none" w:sz="0" w:space="0" w:color="auto"/>
                    <w:left w:val="none" w:sz="0" w:space="0" w:color="auto"/>
                    <w:bottom w:val="none" w:sz="0" w:space="0" w:color="auto"/>
                    <w:right w:val="none" w:sz="0" w:space="0" w:color="auto"/>
                  </w:divBdr>
                </w:div>
              </w:divsChild>
            </w:div>
            <w:div w:id="990064437">
              <w:marLeft w:val="0"/>
              <w:marRight w:val="0"/>
              <w:marTop w:val="0"/>
              <w:marBottom w:val="0"/>
              <w:divBdr>
                <w:top w:val="none" w:sz="0" w:space="0" w:color="auto"/>
                <w:left w:val="none" w:sz="0" w:space="0" w:color="auto"/>
                <w:bottom w:val="none" w:sz="0" w:space="0" w:color="auto"/>
                <w:right w:val="none" w:sz="0" w:space="0" w:color="auto"/>
              </w:divBdr>
              <w:divsChild>
                <w:div w:id="816412195">
                  <w:marLeft w:val="0"/>
                  <w:marRight w:val="0"/>
                  <w:marTop w:val="0"/>
                  <w:marBottom w:val="0"/>
                  <w:divBdr>
                    <w:top w:val="none" w:sz="0" w:space="0" w:color="auto"/>
                    <w:left w:val="none" w:sz="0" w:space="0" w:color="auto"/>
                    <w:bottom w:val="none" w:sz="0" w:space="0" w:color="auto"/>
                    <w:right w:val="none" w:sz="0" w:space="0" w:color="auto"/>
                  </w:divBdr>
                </w:div>
              </w:divsChild>
            </w:div>
            <w:div w:id="1330402960">
              <w:marLeft w:val="0"/>
              <w:marRight w:val="0"/>
              <w:marTop w:val="0"/>
              <w:marBottom w:val="0"/>
              <w:divBdr>
                <w:top w:val="none" w:sz="0" w:space="0" w:color="auto"/>
                <w:left w:val="none" w:sz="0" w:space="0" w:color="auto"/>
                <w:bottom w:val="none" w:sz="0" w:space="0" w:color="auto"/>
                <w:right w:val="none" w:sz="0" w:space="0" w:color="auto"/>
              </w:divBdr>
              <w:divsChild>
                <w:div w:id="1858082242">
                  <w:marLeft w:val="0"/>
                  <w:marRight w:val="0"/>
                  <w:marTop w:val="0"/>
                  <w:marBottom w:val="0"/>
                  <w:divBdr>
                    <w:top w:val="none" w:sz="0" w:space="0" w:color="auto"/>
                    <w:left w:val="none" w:sz="0" w:space="0" w:color="auto"/>
                    <w:bottom w:val="none" w:sz="0" w:space="0" w:color="auto"/>
                    <w:right w:val="none" w:sz="0" w:space="0" w:color="auto"/>
                  </w:divBdr>
                </w:div>
              </w:divsChild>
            </w:div>
            <w:div w:id="1435904711">
              <w:marLeft w:val="0"/>
              <w:marRight w:val="0"/>
              <w:marTop w:val="0"/>
              <w:marBottom w:val="0"/>
              <w:divBdr>
                <w:top w:val="none" w:sz="0" w:space="0" w:color="auto"/>
                <w:left w:val="none" w:sz="0" w:space="0" w:color="auto"/>
                <w:bottom w:val="none" w:sz="0" w:space="0" w:color="auto"/>
                <w:right w:val="none" w:sz="0" w:space="0" w:color="auto"/>
              </w:divBdr>
              <w:divsChild>
                <w:div w:id="10795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5615">
      <w:bodyDiv w:val="1"/>
      <w:marLeft w:val="0"/>
      <w:marRight w:val="0"/>
      <w:marTop w:val="0"/>
      <w:marBottom w:val="0"/>
      <w:divBdr>
        <w:top w:val="none" w:sz="0" w:space="0" w:color="auto"/>
        <w:left w:val="none" w:sz="0" w:space="0" w:color="auto"/>
        <w:bottom w:val="none" w:sz="0" w:space="0" w:color="auto"/>
        <w:right w:val="none" w:sz="0" w:space="0" w:color="auto"/>
      </w:divBdr>
    </w:div>
    <w:div w:id="1526676526">
      <w:bodyDiv w:val="1"/>
      <w:marLeft w:val="0"/>
      <w:marRight w:val="0"/>
      <w:marTop w:val="0"/>
      <w:marBottom w:val="0"/>
      <w:divBdr>
        <w:top w:val="none" w:sz="0" w:space="0" w:color="auto"/>
        <w:left w:val="none" w:sz="0" w:space="0" w:color="auto"/>
        <w:bottom w:val="none" w:sz="0" w:space="0" w:color="auto"/>
        <w:right w:val="none" w:sz="0" w:space="0" w:color="auto"/>
      </w:divBdr>
      <w:divsChild>
        <w:div w:id="1233274036">
          <w:marLeft w:val="0"/>
          <w:marRight w:val="0"/>
          <w:marTop w:val="0"/>
          <w:marBottom w:val="0"/>
          <w:divBdr>
            <w:top w:val="none" w:sz="0" w:space="0" w:color="auto"/>
            <w:left w:val="none" w:sz="0" w:space="0" w:color="auto"/>
            <w:bottom w:val="none" w:sz="0" w:space="0" w:color="auto"/>
            <w:right w:val="none" w:sz="0" w:space="0" w:color="auto"/>
          </w:divBdr>
          <w:divsChild>
            <w:div w:id="1784962453">
              <w:marLeft w:val="0"/>
              <w:marRight w:val="0"/>
              <w:marTop w:val="0"/>
              <w:marBottom w:val="0"/>
              <w:divBdr>
                <w:top w:val="none" w:sz="0" w:space="0" w:color="auto"/>
                <w:left w:val="none" w:sz="0" w:space="0" w:color="auto"/>
                <w:bottom w:val="none" w:sz="0" w:space="0" w:color="auto"/>
                <w:right w:val="none" w:sz="0" w:space="0" w:color="auto"/>
              </w:divBdr>
              <w:divsChild>
                <w:div w:id="1510631894">
                  <w:marLeft w:val="0"/>
                  <w:marRight w:val="0"/>
                  <w:marTop w:val="0"/>
                  <w:marBottom w:val="0"/>
                  <w:divBdr>
                    <w:top w:val="none" w:sz="0" w:space="0" w:color="auto"/>
                    <w:left w:val="none" w:sz="0" w:space="0" w:color="auto"/>
                    <w:bottom w:val="none" w:sz="0" w:space="0" w:color="auto"/>
                    <w:right w:val="none" w:sz="0" w:space="0" w:color="auto"/>
                  </w:divBdr>
                  <w:divsChild>
                    <w:div w:id="19358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200270">
      <w:bodyDiv w:val="1"/>
      <w:marLeft w:val="0"/>
      <w:marRight w:val="0"/>
      <w:marTop w:val="0"/>
      <w:marBottom w:val="0"/>
      <w:divBdr>
        <w:top w:val="none" w:sz="0" w:space="0" w:color="auto"/>
        <w:left w:val="none" w:sz="0" w:space="0" w:color="auto"/>
        <w:bottom w:val="none" w:sz="0" w:space="0" w:color="auto"/>
        <w:right w:val="none" w:sz="0" w:space="0" w:color="auto"/>
      </w:divBdr>
    </w:div>
    <w:div w:id="1545944582">
      <w:bodyDiv w:val="1"/>
      <w:marLeft w:val="0"/>
      <w:marRight w:val="0"/>
      <w:marTop w:val="0"/>
      <w:marBottom w:val="0"/>
      <w:divBdr>
        <w:top w:val="none" w:sz="0" w:space="0" w:color="auto"/>
        <w:left w:val="none" w:sz="0" w:space="0" w:color="auto"/>
        <w:bottom w:val="none" w:sz="0" w:space="0" w:color="auto"/>
        <w:right w:val="none" w:sz="0" w:space="0" w:color="auto"/>
      </w:divBdr>
    </w:div>
    <w:div w:id="1557937683">
      <w:bodyDiv w:val="1"/>
      <w:marLeft w:val="0"/>
      <w:marRight w:val="0"/>
      <w:marTop w:val="0"/>
      <w:marBottom w:val="0"/>
      <w:divBdr>
        <w:top w:val="none" w:sz="0" w:space="0" w:color="auto"/>
        <w:left w:val="none" w:sz="0" w:space="0" w:color="auto"/>
        <w:bottom w:val="none" w:sz="0" w:space="0" w:color="auto"/>
        <w:right w:val="none" w:sz="0" w:space="0" w:color="auto"/>
      </w:divBdr>
    </w:div>
    <w:div w:id="1566913719">
      <w:bodyDiv w:val="1"/>
      <w:marLeft w:val="0"/>
      <w:marRight w:val="0"/>
      <w:marTop w:val="0"/>
      <w:marBottom w:val="0"/>
      <w:divBdr>
        <w:top w:val="none" w:sz="0" w:space="0" w:color="auto"/>
        <w:left w:val="none" w:sz="0" w:space="0" w:color="auto"/>
        <w:bottom w:val="none" w:sz="0" w:space="0" w:color="auto"/>
        <w:right w:val="none" w:sz="0" w:space="0" w:color="auto"/>
      </w:divBdr>
      <w:divsChild>
        <w:div w:id="1626618866">
          <w:marLeft w:val="0"/>
          <w:marRight w:val="0"/>
          <w:marTop w:val="0"/>
          <w:marBottom w:val="0"/>
          <w:divBdr>
            <w:top w:val="none" w:sz="0" w:space="0" w:color="auto"/>
            <w:left w:val="none" w:sz="0" w:space="0" w:color="auto"/>
            <w:bottom w:val="none" w:sz="0" w:space="0" w:color="auto"/>
            <w:right w:val="none" w:sz="0" w:space="0" w:color="auto"/>
          </w:divBdr>
          <w:divsChild>
            <w:div w:id="1985117142">
              <w:marLeft w:val="0"/>
              <w:marRight w:val="0"/>
              <w:marTop w:val="0"/>
              <w:marBottom w:val="0"/>
              <w:divBdr>
                <w:top w:val="none" w:sz="0" w:space="0" w:color="auto"/>
                <w:left w:val="none" w:sz="0" w:space="0" w:color="auto"/>
                <w:bottom w:val="none" w:sz="0" w:space="0" w:color="auto"/>
                <w:right w:val="none" w:sz="0" w:space="0" w:color="auto"/>
              </w:divBdr>
              <w:divsChild>
                <w:div w:id="1492134608">
                  <w:marLeft w:val="0"/>
                  <w:marRight w:val="0"/>
                  <w:marTop w:val="0"/>
                  <w:marBottom w:val="0"/>
                  <w:divBdr>
                    <w:top w:val="none" w:sz="0" w:space="0" w:color="auto"/>
                    <w:left w:val="none" w:sz="0" w:space="0" w:color="auto"/>
                    <w:bottom w:val="none" w:sz="0" w:space="0" w:color="auto"/>
                    <w:right w:val="none" w:sz="0" w:space="0" w:color="auto"/>
                  </w:divBdr>
                  <w:divsChild>
                    <w:div w:id="10673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46181">
      <w:bodyDiv w:val="1"/>
      <w:marLeft w:val="0"/>
      <w:marRight w:val="0"/>
      <w:marTop w:val="0"/>
      <w:marBottom w:val="0"/>
      <w:divBdr>
        <w:top w:val="none" w:sz="0" w:space="0" w:color="auto"/>
        <w:left w:val="none" w:sz="0" w:space="0" w:color="auto"/>
        <w:bottom w:val="none" w:sz="0" w:space="0" w:color="auto"/>
        <w:right w:val="none" w:sz="0" w:space="0" w:color="auto"/>
      </w:divBdr>
    </w:div>
    <w:div w:id="1578856837">
      <w:bodyDiv w:val="1"/>
      <w:marLeft w:val="0"/>
      <w:marRight w:val="0"/>
      <w:marTop w:val="0"/>
      <w:marBottom w:val="0"/>
      <w:divBdr>
        <w:top w:val="none" w:sz="0" w:space="0" w:color="auto"/>
        <w:left w:val="none" w:sz="0" w:space="0" w:color="auto"/>
        <w:bottom w:val="none" w:sz="0" w:space="0" w:color="auto"/>
        <w:right w:val="none" w:sz="0" w:space="0" w:color="auto"/>
      </w:divBdr>
      <w:divsChild>
        <w:div w:id="152571193">
          <w:marLeft w:val="0"/>
          <w:marRight w:val="0"/>
          <w:marTop w:val="0"/>
          <w:marBottom w:val="0"/>
          <w:divBdr>
            <w:top w:val="none" w:sz="0" w:space="0" w:color="auto"/>
            <w:left w:val="none" w:sz="0" w:space="0" w:color="auto"/>
            <w:bottom w:val="none" w:sz="0" w:space="0" w:color="auto"/>
            <w:right w:val="none" w:sz="0" w:space="0" w:color="auto"/>
          </w:divBdr>
          <w:divsChild>
            <w:div w:id="1143230276">
              <w:marLeft w:val="0"/>
              <w:marRight w:val="0"/>
              <w:marTop w:val="0"/>
              <w:marBottom w:val="0"/>
              <w:divBdr>
                <w:top w:val="none" w:sz="0" w:space="0" w:color="auto"/>
                <w:left w:val="none" w:sz="0" w:space="0" w:color="auto"/>
                <w:bottom w:val="none" w:sz="0" w:space="0" w:color="auto"/>
                <w:right w:val="none" w:sz="0" w:space="0" w:color="auto"/>
              </w:divBdr>
            </w:div>
          </w:divsChild>
        </w:div>
        <w:div w:id="257829223">
          <w:marLeft w:val="0"/>
          <w:marRight w:val="0"/>
          <w:marTop w:val="0"/>
          <w:marBottom w:val="0"/>
          <w:divBdr>
            <w:top w:val="none" w:sz="0" w:space="0" w:color="auto"/>
            <w:left w:val="none" w:sz="0" w:space="0" w:color="auto"/>
            <w:bottom w:val="none" w:sz="0" w:space="0" w:color="auto"/>
            <w:right w:val="none" w:sz="0" w:space="0" w:color="auto"/>
          </w:divBdr>
        </w:div>
      </w:divsChild>
    </w:div>
    <w:div w:id="1583295481">
      <w:bodyDiv w:val="1"/>
      <w:marLeft w:val="0"/>
      <w:marRight w:val="0"/>
      <w:marTop w:val="0"/>
      <w:marBottom w:val="0"/>
      <w:divBdr>
        <w:top w:val="none" w:sz="0" w:space="0" w:color="auto"/>
        <w:left w:val="none" w:sz="0" w:space="0" w:color="auto"/>
        <w:bottom w:val="none" w:sz="0" w:space="0" w:color="auto"/>
        <w:right w:val="none" w:sz="0" w:space="0" w:color="auto"/>
      </w:divBdr>
    </w:div>
    <w:div w:id="1593201496">
      <w:bodyDiv w:val="1"/>
      <w:marLeft w:val="0"/>
      <w:marRight w:val="0"/>
      <w:marTop w:val="0"/>
      <w:marBottom w:val="0"/>
      <w:divBdr>
        <w:top w:val="none" w:sz="0" w:space="0" w:color="auto"/>
        <w:left w:val="none" w:sz="0" w:space="0" w:color="auto"/>
        <w:bottom w:val="none" w:sz="0" w:space="0" w:color="auto"/>
        <w:right w:val="none" w:sz="0" w:space="0" w:color="auto"/>
      </w:divBdr>
    </w:div>
    <w:div w:id="1594629589">
      <w:bodyDiv w:val="1"/>
      <w:marLeft w:val="0"/>
      <w:marRight w:val="0"/>
      <w:marTop w:val="0"/>
      <w:marBottom w:val="0"/>
      <w:divBdr>
        <w:top w:val="none" w:sz="0" w:space="0" w:color="auto"/>
        <w:left w:val="none" w:sz="0" w:space="0" w:color="auto"/>
        <w:bottom w:val="none" w:sz="0" w:space="0" w:color="auto"/>
        <w:right w:val="none" w:sz="0" w:space="0" w:color="auto"/>
      </w:divBdr>
      <w:divsChild>
        <w:div w:id="740716704">
          <w:marLeft w:val="0"/>
          <w:marRight w:val="0"/>
          <w:marTop w:val="0"/>
          <w:marBottom w:val="0"/>
          <w:divBdr>
            <w:top w:val="none" w:sz="0" w:space="0" w:color="auto"/>
            <w:left w:val="none" w:sz="0" w:space="0" w:color="auto"/>
            <w:bottom w:val="none" w:sz="0" w:space="0" w:color="auto"/>
            <w:right w:val="none" w:sz="0" w:space="0" w:color="auto"/>
          </w:divBdr>
          <w:divsChild>
            <w:div w:id="1621570575">
              <w:marLeft w:val="0"/>
              <w:marRight w:val="0"/>
              <w:marTop w:val="0"/>
              <w:marBottom w:val="0"/>
              <w:divBdr>
                <w:top w:val="none" w:sz="0" w:space="0" w:color="auto"/>
                <w:left w:val="none" w:sz="0" w:space="0" w:color="auto"/>
                <w:bottom w:val="none" w:sz="0" w:space="0" w:color="auto"/>
                <w:right w:val="none" w:sz="0" w:space="0" w:color="auto"/>
              </w:divBdr>
              <w:divsChild>
                <w:div w:id="1362049584">
                  <w:marLeft w:val="0"/>
                  <w:marRight w:val="0"/>
                  <w:marTop w:val="0"/>
                  <w:marBottom w:val="0"/>
                  <w:divBdr>
                    <w:top w:val="none" w:sz="0" w:space="0" w:color="auto"/>
                    <w:left w:val="none" w:sz="0" w:space="0" w:color="auto"/>
                    <w:bottom w:val="none" w:sz="0" w:space="0" w:color="auto"/>
                    <w:right w:val="none" w:sz="0" w:space="0" w:color="auto"/>
                  </w:divBdr>
                  <w:divsChild>
                    <w:div w:id="8947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874563">
      <w:bodyDiv w:val="1"/>
      <w:marLeft w:val="0"/>
      <w:marRight w:val="0"/>
      <w:marTop w:val="0"/>
      <w:marBottom w:val="0"/>
      <w:divBdr>
        <w:top w:val="none" w:sz="0" w:space="0" w:color="auto"/>
        <w:left w:val="none" w:sz="0" w:space="0" w:color="auto"/>
        <w:bottom w:val="none" w:sz="0" w:space="0" w:color="auto"/>
        <w:right w:val="none" w:sz="0" w:space="0" w:color="auto"/>
      </w:divBdr>
      <w:divsChild>
        <w:div w:id="206798806">
          <w:marLeft w:val="1080"/>
          <w:marRight w:val="0"/>
          <w:marTop w:val="0"/>
          <w:marBottom w:val="0"/>
          <w:divBdr>
            <w:top w:val="none" w:sz="0" w:space="0" w:color="auto"/>
            <w:left w:val="none" w:sz="0" w:space="0" w:color="auto"/>
            <w:bottom w:val="none" w:sz="0" w:space="0" w:color="auto"/>
            <w:right w:val="none" w:sz="0" w:space="0" w:color="auto"/>
          </w:divBdr>
        </w:div>
        <w:div w:id="238444439">
          <w:marLeft w:val="360"/>
          <w:marRight w:val="0"/>
          <w:marTop w:val="0"/>
          <w:marBottom w:val="40"/>
          <w:divBdr>
            <w:top w:val="none" w:sz="0" w:space="0" w:color="auto"/>
            <w:left w:val="none" w:sz="0" w:space="0" w:color="auto"/>
            <w:bottom w:val="none" w:sz="0" w:space="0" w:color="auto"/>
            <w:right w:val="none" w:sz="0" w:space="0" w:color="auto"/>
          </w:divBdr>
        </w:div>
        <w:div w:id="428820293">
          <w:marLeft w:val="360"/>
          <w:marRight w:val="0"/>
          <w:marTop w:val="200"/>
          <w:marBottom w:val="160"/>
          <w:divBdr>
            <w:top w:val="none" w:sz="0" w:space="0" w:color="auto"/>
            <w:left w:val="none" w:sz="0" w:space="0" w:color="auto"/>
            <w:bottom w:val="none" w:sz="0" w:space="0" w:color="auto"/>
            <w:right w:val="none" w:sz="0" w:space="0" w:color="auto"/>
          </w:divBdr>
        </w:div>
        <w:div w:id="506602223">
          <w:marLeft w:val="360"/>
          <w:marRight w:val="0"/>
          <w:marTop w:val="0"/>
          <w:marBottom w:val="40"/>
          <w:divBdr>
            <w:top w:val="none" w:sz="0" w:space="0" w:color="auto"/>
            <w:left w:val="none" w:sz="0" w:space="0" w:color="auto"/>
            <w:bottom w:val="none" w:sz="0" w:space="0" w:color="auto"/>
            <w:right w:val="none" w:sz="0" w:space="0" w:color="auto"/>
          </w:divBdr>
        </w:div>
        <w:div w:id="643629446">
          <w:marLeft w:val="1080"/>
          <w:marRight w:val="0"/>
          <w:marTop w:val="0"/>
          <w:marBottom w:val="0"/>
          <w:divBdr>
            <w:top w:val="none" w:sz="0" w:space="0" w:color="auto"/>
            <w:left w:val="none" w:sz="0" w:space="0" w:color="auto"/>
            <w:bottom w:val="none" w:sz="0" w:space="0" w:color="auto"/>
            <w:right w:val="none" w:sz="0" w:space="0" w:color="auto"/>
          </w:divBdr>
        </w:div>
        <w:div w:id="727074089">
          <w:marLeft w:val="1080"/>
          <w:marRight w:val="0"/>
          <w:marTop w:val="0"/>
          <w:marBottom w:val="0"/>
          <w:divBdr>
            <w:top w:val="none" w:sz="0" w:space="0" w:color="auto"/>
            <w:left w:val="none" w:sz="0" w:space="0" w:color="auto"/>
            <w:bottom w:val="none" w:sz="0" w:space="0" w:color="auto"/>
            <w:right w:val="none" w:sz="0" w:space="0" w:color="auto"/>
          </w:divBdr>
        </w:div>
        <w:div w:id="1601520680">
          <w:marLeft w:val="360"/>
          <w:marRight w:val="0"/>
          <w:marTop w:val="0"/>
          <w:marBottom w:val="40"/>
          <w:divBdr>
            <w:top w:val="none" w:sz="0" w:space="0" w:color="auto"/>
            <w:left w:val="none" w:sz="0" w:space="0" w:color="auto"/>
            <w:bottom w:val="none" w:sz="0" w:space="0" w:color="auto"/>
            <w:right w:val="none" w:sz="0" w:space="0" w:color="auto"/>
          </w:divBdr>
        </w:div>
        <w:div w:id="1658655707">
          <w:marLeft w:val="1080"/>
          <w:marRight w:val="0"/>
          <w:marTop w:val="0"/>
          <w:marBottom w:val="0"/>
          <w:divBdr>
            <w:top w:val="none" w:sz="0" w:space="0" w:color="auto"/>
            <w:left w:val="none" w:sz="0" w:space="0" w:color="auto"/>
            <w:bottom w:val="none" w:sz="0" w:space="0" w:color="auto"/>
            <w:right w:val="none" w:sz="0" w:space="0" w:color="auto"/>
          </w:divBdr>
        </w:div>
        <w:div w:id="1711151374">
          <w:marLeft w:val="1080"/>
          <w:marRight w:val="0"/>
          <w:marTop w:val="0"/>
          <w:marBottom w:val="0"/>
          <w:divBdr>
            <w:top w:val="none" w:sz="0" w:space="0" w:color="auto"/>
            <w:left w:val="none" w:sz="0" w:space="0" w:color="auto"/>
            <w:bottom w:val="none" w:sz="0" w:space="0" w:color="auto"/>
            <w:right w:val="none" w:sz="0" w:space="0" w:color="auto"/>
          </w:divBdr>
        </w:div>
        <w:div w:id="1743983025">
          <w:marLeft w:val="360"/>
          <w:marRight w:val="0"/>
          <w:marTop w:val="200"/>
          <w:marBottom w:val="160"/>
          <w:divBdr>
            <w:top w:val="none" w:sz="0" w:space="0" w:color="auto"/>
            <w:left w:val="none" w:sz="0" w:space="0" w:color="auto"/>
            <w:bottom w:val="none" w:sz="0" w:space="0" w:color="auto"/>
            <w:right w:val="none" w:sz="0" w:space="0" w:color="auto"/>
          </w:divBdr>
        </w:div>
        <w:div w:id="2136558608">
          <w:marLeft w:val="360"/>
          <w:marRight w:val="0"/>
          <w:marTop w:val="0"/>
          <w:marBottom w:val="40"/>
          <w:divBdr>
            <w:top w:val="none" w:sz="0" w:space="0" w:color="auto"/>
            <w:left w:val="none" w:sz="0" w:space="0" w:color="auto"/>
            <w:bottom w:val="none" w:sz="0" w:space="0" w:color="auto"/>
            <w:right w:val="none" w:sz="0" w:space="0" w:color="auto"/>
          </w:divBdr>
        </w:div>
      </w:divsChild>
    </w:div>
    <w:div w:id="1601720331">
      <w:bodyDiv w:val="1"/>
      <w:marLeft w:val="0"/>
      <w:marRight w:val="0"/>
      <w:marTop w:val="0"/>
      <w:marBottom w:val="0"/>
      <w:divBdr>
        <w:top w:val="none" w:sz="0" w:space="0" w:color="auto"/>
        <w:left w:val="none" w:sz="0" w:space="0" w:color="auto"/>
        <w:bottom w:val="none" w:sz="0" w:space="0" w:color="auto"/>
        <w:right w:val="none" w:sz="0" w:space="0" w:color="auto"/>
      </w:divBdr>
      <w:divsChild>
        <w:div w:id="1888099726">
          <w:marLeft w:val="0"/>
          <w:marRight w:val="0"/>
          <w:marTop w:val="0"/>
          <w:marBottom w:val="0"/>
          <w:divBdr>
            <w:top w:val="none" w:sz="0" w:space="0" w:color="auto"/>
            <w:left w:val="none" w:sz="0" w:space="0" w:color="auto"/>
            <w:bottom w:val="none" w:sz="0" w:space="0" w:color="auto"/>
            <w:right w:val="none" w:sz="0" w:space="0" w:color="auto"/>
          </w:divBdr>
          <w:divsChild>
            <w:div w:id="1664698312">
              <w:marLeft w:val="0"/>
              <w:marRight w:val="0"/>
              <w:marTop w:val="0"/>
              <w:marBottom w:val="0"/>
              <w:divBdr>
                <w:top w:val="none" w:sz="0" w:space="0" w:color="auto"/>
                <w:left w:val="none" w:sz="0" w:space="0" w:color="auto"/>
                <w:bottom w:val="none" w:sz="0" w:space="0" w:color="auto"/>
                <w:right w:val="none" w:sz="0" w:space="0" w:color="auto"/>
              </w:divBdr>
              <w:divsChild>
                <w:div w:id="4336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77715">
      <w:bodyDiv w:val="1"/>
      <w:marLeft w:val="0"/>
      <w:marRight w:val="0"/>
      <w:marTop w:val="0"/>
      <w:marBottom w:val="0"/>
      <w:divBdr>
        <w:top w:val="none" w:sz="0" w:space="0" w:color="auto"/>
        <w:left w:val="none" w:sz="0" w:space="0" w:color="auto"/>
        <w:bottom w:val="none" w:sz="0" w:space="0" w:color="auto"/>
        <w:right w:val="none" w:sz="0" w:space="0" w:color="auto"/>
      </w:divBdr>
    </w:div>
    <w:div w:id="1620839803">
      <w:bodyDiv w:val="1"/>
      <w:marLeft w:val="0"/>
      <w:marRight w:val="0"/>
      <w:marTop w:val="0"/>
      <w:marBottom w:val="0"/>
      <w:divBdr>
        <w:top w:val="none" w:sz="0" w:space="0" w:color="auto"/>
        <w:left w:val="none" w:sz="0" w:space="0" w:color="auto"/>
        <w:bottom w:val="none" w:sz="0" w:space="0" w:color="auto"/>
        <w:right w:val="none" w:sz="0" w:space="0" w:color="auto"/>
      </w:divBdr>
    </w:div>
    <w:div w:id="1651980764">
      <w:bodyDiv w:val="1"/>
      <w:marLeft w:val="0"/>
      <w:marRight w:val="0"/>
      <w:marTop w:val="0"/>
      <w:marBottom w:val="0"/>
      <w:divBdr>
        <w:top w:val="none" w:sz="0" w:space="0" w:color="auto"/>
        <w:left w:val="none" w:sz="0" w:space="0" w:color="auto"/>
        <w:bottom w:val="none" w:sz="0" w:space="0" w:color="auto"/>
        <w:right w:val="none" w:sz="0" w:space="0" w:color="auto"/>
      </w:divBdr>
      <w:divsChild>
        <w:div w:id="1513832355">
          <w:marLeft w:val="0"/>
          <w:marRight w:val="0"/>
          <w:marTop w:val="0"/>
          <w:marBottom w:val="0"/>
          <w:divBdr>
            <w:top w:val="none" w:sz="0" w:space="0" w:color="auto"/>
            <w:left w:val="none" w:sz="0" w:space="0" w:color="auto"/>
            <w:bottom w:val="none" w:sz="0" w:space="0" w:color="auto"/>
            <w:right w:val="none" w:sz="0" w:space="0" w:color="auto"/>
          </w:divBdr>
          <w:divsChild>
            <w:div w:id="1579631116">
              <w:marLeft w:val="0"/>
              <w:marRight w:val="0"/>
              <w:marTop w:val="0"/>
              <w:marBottom w:val="0"/>
              <w:divBdr>
                <w:top w:val="none" w:sz="0" w:space="0" w:color="auto"/>
                <w:left w:val="none" w:sz="0" w:space="0" w:color="auto"/>
                <w:bottom w:val="none" w:sz="0" w:space="0" w:color="auto"/>
                <w:right w:val="none" w:sz="0" w:space="0" w:color="auto"/>
              </w:divBdr>
              <w:divsChild>
                <w:div w:id="2069649186">
                  <w:marLeft w:val="0"/>
                  <w:marRight w:val="0"/>
                  <w:marTop w:val="0"/>
                  <w:marBottom w:val="0"/>
                  <w:divBdr>
                    <w:top w:val="none" w:sz="0" w:space="0" w:color="auto"/>
                    <w:left w:val="none" w:sz="0" w:space="0" w:color="auto"/>
                    <w:bottom w:val="none" w:sz="0" w:space="0" w:color="auto"/>
                    <w:right w:val="none" w:sz="0" w:space="0" w:color="auto"/>
                  </w:divBdr>
                  <w:divsChild>
                    <w:div w:id="5348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765587">
      <w:bodyDiv w:val="1"/>
      <w:marLeft w:val="0"/>
      <w:marRight w:val="0"/>
      <w:marTop w:val="0"/>
      <w:marBottom w:val="0"/>
      <w:divBdr>
        <w:top w:val="none" w:sz="0" w:space="0" w:color="auto"/>
        <w:left w:val="none" w:sz="0" w:space="0" w:color="auto"/>
        <w:bottom w:val="none" w:sz="0" w:space="0" w:color="auto"/>
        <w:right w:val="none" w:sz="0" w:space="0" w:color="auto"/>
      </w:divBdr>
      <w:divsChild>
        <w:div w:id="79648008">
          <w:marLeft w:val="1800"/>
          <w:marRight w:val="0"/>
          <w:marTop w:val="100"/>
          <w:marBottom w:val="0"/>
          <w:divBdr>
            <w:top w:val="none" w:sz="0" w:space="0" w:color="auto"/>
            <w:left w:val="none" w:sz="0" w:space="0" w:color="auto"/>
            <w:bottom w:val="none" w:sz="0" w:space="0" w:color="auto"/>
            <w:right w:val="none" w:sz="0" w:space="0" w:color="auto"/>
          </w:divBdr>
        </w:div>
        <w:div w:id="408961818">
          <w:marLeft w:val="1800"/>
          <w:marRight w:val="0"/>
          <w:marTop w:val="100"/>
          <w:marBottom w:val="0"/>
          <w:divBdr>
            <w:top w:val="none" w:sz="0" w:space="0" w:color="auto"/>
            <w:left w:val="none" w:sz="0" w:space="0" w:color="auto"/>
            <w:bottom w:val="none" w:sz="0" w:space="0" w:color="auto"/>
            <w:right w:val="none" w:sz="0" w:space="0" w:color="auto"/>
          </w:divBdr>
        </w:div>
        <w:div w:id="411313755">
          <w:marLeft w:val="1800"/>
          <w:marRight w:val="0"/>
          <w:marTop w:val="100"/>
          <w:marBottom w:val="0"/>
          <w:divBdr>
            <w:top w:val="none" w:sz="0" w:space="0" w:color="auto"/>
            <w:left w:val="none" w:sz="0" w:space="0" w:color="auto"/>
            <w:bottom w:val="none" w:sz="0" w:space="0" w:color="auto"/>
            <w:right w:val="none" w:sz="0" w:space="0" w:color="auto"/>
          </w:divBdr>
        </w:div>
        <w:div w:id="599534610">
          <w:marLeft w:val="360"/>
          <w:marRight w:val="0"/>
          <w:marTop w:val="200"/>
          <w:marBottom w:val="0"/>
          <w:divBdr>
            <w:top w:val="none" w:sz="0" w:space="0" w:color="auto"/>
            <w:left w:val="none" w:sz="0" w:space="0" w:color="auto"/>
            <w:bottom w:val="none" w:sz="0" w:space="0" w:color="auto"/>
            <w:right w:val="none" w:sz="0" w:space="0" w:color="auto"/>
          </w:divBdr>
        </w:div>
        <w:div w:id="843975149">
          <w:marLeft w:val="1800"/>
          <w:marRight w:val="0"/>
          <w:marTop w:val="100"/>
          <w:marBottom w:val="0"/>
          <w:divBdr>
            <w:top w:val="none" w:sz="0" w:space="0" w:color="auto"/>
            <w:left w:val="none" w:sz="0" w:space="0" w:color="auto"/>
            <w:bottom w:val="none" w:sz="0" w:space="0" w:color="auto"/>
            <w:right w:val="none" w:sz="0" w:space="0" w:color="auto"/>
          </w:divBdr>
        </w:div>
        <w:div w:id="921452101">
          <w:marLeft w:val="1800"/>
          <w:marRight w:val="0"/>
          <w:marTop w:val="100"/>
          <w:marBottom w:val="0"/>
          <w:divBdr>
            <w:top w:val="none" w:sz="0" w:space="0" w:color="auto"/>
            <w:left w:val="none" w:sz="0" w:space="0" w:color="auto"/>
            <w:bottom w:val="none" w:sz="0" w:space="0" w:color="auto"/>
            <w:right w:val="none" w:sz="0" w:space="0" w:color="auto"/>
          </w:divBdr>
        </w:div>
        <w:div w:id="1039207596">
          <w:marLeft w:val="360"/>
          <w:marRight w:val="0"/>
          <w:marTop w:val="200"/>
          <w:marBottom w:val="0"/>
          <w:divBdr>
            <w:top w:val="none" w:sz="0" w:space="0" w:color="auto"/>
            <w:left w:val="none" w:sz="0" w:space="0" w:color="auto"/>
            <w:bottom w:val="none" w:sz="0" w:space="0" w:color="auto"/>
            <w:right w:val="none" w:sz="0" w:space="0" w:color="auto"/>
          </w:divBdr>
        </w:div>
        <w:div w:id="1506743234">
          <w:marLeft w:val="1800"/>
          <w:marRight w:val="0"/>
          <w:marTop w:val="100"/>
          <w:marBottom w:val="0"/>
          <w:divBdr>
            <w:top w:val="none" w:sz="0" w:space="0" w:color="auto"/>
            <w:left w:val="none" w:sz="0" w:space="0" w:color="auto"/>
            <w:bottom w:val="none" w:sz="0" w:space="0" w:color="auto"/>
            <w:right w:val="none" w:sz="0" w:space="0" w:color="auto"/>
          </w:divBdr>
        </w:div>
        <w:div w:id="1782602935">
          <w:marLeft w:val="360"/>
          <w:marRight w:val="0"/>
          <w:marTop w:val="200"/>
          <w:marBottom w:val="0"/>
          <w:divBdr>
            <w:top w:val="none" w:sz="0" w:space="0" w:color="auto"/>
            <w:left w:val="none" w:sz="0" w:space="0" w:color="auto"/>
            <w:bottom w:val="none" w:sz="0" w:space="0" w:color="auto"/>
            <w:right w:val="none" w:sz="0" w:space="0" w:color="auto"/>
          </w:divBdr>
        </w:div>
      </w:divsChild>
    </w:div>
    <w:div w:id="1668513647">
      <w:bodyDiv w:val="1"/>
      <w:marLeft w:val="0"/>
      <w:marRight w:val="0"/>
      <w:marTop w:val="0"/>
      <w:marBottom w:val="0"/>
      <w:divBdr>
        <w:top w:val="none" w:sz="0" w:space="0" w:color="auto"/>
        <w:left w:val="none" w:sz="0" w:space="0" w:color="auto"/>
        <w:bottom w:val="none" w:sz="0" w:space="0" w:color="auto"/>
        <w:right w:val="none" w:sz="0" w:space="0" w:color="auto"/>
      </w:divBdr>
    </w:div>
    <w:div w:id="1688214434">
      <w:bodyDiv w:val="1"/>
      <w:marLeft w:val="0"/>
      <w:marRight w:val="0"/>
      <w:marTop w:val="0"/>
      <w:marBottom w:val="0"/>
      <w:divBdr>
        <w:top w:val="none" w:sz="0" w:space="0" w:color="auto"/>
        <w:left w:val="none" w:sz="0" w:space="0" w:color="auto"/>
        <w:bottom w:val="none" w:sz="0" w:space="0" w:color="auto"/>
        <w:right w:val="none" w:sz="0" w:space="0" w:color="auto"/>
      </w:divBdr>
      <w:divsChild>
        <w:div w:id="1919554664">
          <w:marLeft w:val="0"/>
          <w:marRight w:val="0"/>
          <w:marTop w:val="0"/>
          <w:marBottom w:val="0"/>
          <w:divBdr>
            <w:top w:val="none" w:sz="0" w:space="0" w:color="auto"/>
            <w:left w:val="none" w:sz="0" w:space="0" w:color="auto"/>
            <w:bottom w:val="none" w:sz="0" w:space="0" w:color="auto"/>
            <w:right w:val="none" w:sz="0" w:space="0" w:color="auto"/>
          </w:divBdr>
          <w:divsChild>
            <w:div w:id="1799370719">
              <w:marLeft w:val="0"/>
              <w:marRight w:val="0"/>
              <w:marTop w:val="0"/>
              <w:marBottom w:val="0"/>
              <w:divBdr>
                <w:top w:val="none" w:sz="0" w:space="0" w:color="auto"/>
                <w:left w:val="none" w:sz="0" w:space="0" w:color="auto"/>
                <w:bottom w:val="none" w:sz="0" w:space="0" w:color="auto"/>
                <w:right w:val="none" w:sz="0" w:space="0" w:color="auto"/>
              </w:divBdr>
              <w:divsChild>
                <w:div w:id="78138446">
                  <w:marLeft w:val="0"/>
                  <w:marRight w:val="0"/>
                  <w:marTop w:val="0"/>
                  <w:marBottom w:val="0"/>
                  <w:divBdr>
                    <w:top w:val="none" w:sz="0" w:space="0" w:color="auto"/>
                    <w:left w:val="none" w:sz="0" w:space="0" w:color="auto"/>
                    <w:bottom w:val="none" w:sz="0" w:space="0" w:color="auto"/>
                    <w:right w:val="none" w:sz="0" w:space="0" w:color="auto"/>
                  </w:divBdr>
                  <w:divsChild>
                    <w:div w:id="2114281509">
                      <w:marLeft w:val="0"/>
                      <w:marRight w:val="0"/>
                      <w:marTop w:val="0"/>
                      <w:marBottom w:val="0"/>
                      <w:divBdr>
                        <w:top w:val="none" w:sz="0" w:space="0" w:color="auto"/>
                        <w:left w:val="none" w:sz="0" w:space="0" w:color="auto"/>
                        <w:bottom w:val="none" w:sz="0" w:space="0" w:color="auto"/>
                        <w:right w:val="none" w:sz="0" w:space="0" w:color="auto"/>
                      </w:divBdr>
                      <w:divsChild>
                        <w:div w:id="544873177">
                          <w:marLeft w:val="0"/>
                          <w:marRight w:val="0"/>
                          <w:marTop w:val="0"/>
                          <w:marBottom w:val="0"/>
                          <w:divBdr>
                            <w:top w:val="none" w:sz="0" w:space="0" w:color="auto"/>
                            <w:left w:val="none" w:sz="0" w:space="0" w:color="auto"/>
                            <w:bottom w:val="none" w:sz="0" w:space="0" w:color="auto"/>
                            <w:right w:val="none" w:sz="0" w:space="0" w:color="auto"/>
                          </w:divBdr>
                          <w:divsChild>
                            <w:div w:id="13127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385821">
      <w:bodyDiv w:val="1"/>
      <w:marLeft w:val="0"/>
      <w:marRight w:val="0"/>
      <w:marTop w:val="0"/>
      <w:marBottom w:val="0"/>
      <w:divBdr>
        <w:top w:val="none" w:sz="0" w:space="0" w:color="auto"/>
        <w:left w:val="none" w:sz="0" w:space="0" w:color="auto"/>
        <w:bottom w:val="none" w:sz="0" w:space="0" w:color="auto"/>
        <w:right w:val="none" w:sz="0" w:space="0" w:color="auto"/>
      </w:divBdr>
      <w:divsChild>
        <w:div w:id="2009089025">
          <w:marLeft w:val="0"/>
          <w:marRight w:val="0"/>
          <w:marTop w:val="0"/>
          <w:marBottom w:val="0"/>
          <w:divBdr>
            <w:top w:val="none" w:sz="0" w:space="0" w:color="auto"/>
            <w:left w:val="none" w:sz="0" w:space="0" w:color="auto"/>
            <w:bottom w:val="none" w:sz="0" w:space="0" w:color="auto"/>
            <w:right w:val="none" w:sz="0" w:space="0" w:color="auto"/>
          </w:divBdr>
          <w:divsChild>
            <w:div w:id="1486239701">
              <w:marLeft w:val="0"/>
              <w:marRight w:val="0"/>
              <w:marTop w:val="0"/>
              <w:marBottom w:val="0"/>
              <w:divBdr>
                <w:top w:val="none" w:sz="0" w:space="0" w:color="auto"/>
                <w:left w:val="none" w:sz="0" w:space="0" w:color="auto"/>
                <w:bottom w:val="none" w:sz="0" w:space="0" w:color="auto"/>
                <w:right w:val="none" w:sz="0" w:space="0" w:color="auto"/>
              </w:divBdr>
              <w:divsChild>
                <w:div w:id="369191579">
                  <w:marLeft w:val="0"/>
                  <w:marRight w:val="0"/>
                  <w:marTop w:val="0"/>
                  <w:marBottom w:val="0"/>
                  <w:divBdr>
                    <w:top w:val="none" w:sz="0" w:space="0" w:color="auto"/>
                    <w:left w:val="none" w:sz="0" w:space="0" w:color="auto"/>
                    <w:bottom w:val="none" w:sz="0" w:space="0" w:color="auto"/>
                    <w:right w:val="none" w:sz="0" w:space="0" w:color="auto"/>
                  </w:divBdr>
                  <w:divsChild>
                    <w:div w:id="185796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743849">
      <w:bodyDiv w:val="1"/>
      <w:marLeft w:val="0"/>
      <w:marRight w:val="0"/>
      <w:marTop w:val="0"/>
      <w:marBottom w:val="0"/>
      <w:divBdr>
        <w:top w:val="none" w:sz="0" w:space="0" w:color="auto"/>
        <w:left w:val="none" w:sz="0" w:space="0" w:color="auto"/>
        <w:bottom w:val="none" w:sz="0" w:space="0" w:color="auto"/>
        <w:right w:val="none" w:sz="0" w:space="0" w:color="auto"/>
      </w:divBdr>
    </w:div>
    <w:div w:id="1706559185">
      <w:bodyDiv w:val="1"/>
      <w:marLeft w:val="0"/>
      <w:marRight w:val="0"/>
      <w:marTop w:val="0"/>
      <w:marBottom w:val="0"/>
      <w:divBdr>
        <w:top w:val="none" w:sz="0" w:space="0" w:color="auto"/>
        <w:left w:val="none" w:sz="0" w:space="0" w:color="auto"/>
        <w:bottom w:val="none" w:sz="0" w:space="0" w:color="auto"/>
        <w:right w:val="none" w:sz="0" w:space="0" w:color="auto"/>
      </w:divBdr>
    </w:div>
    <w:div w:id="1732000357">
      <w:bodyDiv w:val="1"/>
      <w:marLeft w:val="0"/>
      <w:marRight w:val="0"/>
      <w:marTop w:val="0"/>
      <w:marBottom w:val="0"/>
      <w:divBdr>
        <w:top w:val="none" w:sz="0" w:space="0" w:color="auto"/>
        <w:left w:val="none" w:sz="0" w:space="0" w:color="auto"/>
        <w:bottom w:val="none" w:sz="0" w:space="0" w:color="auto"/>
        <w:right w:val="none" w:sz="0" w:space="0" w:color="auto"/>
      </w:divBdr>
    </w:div>
    <w:div w:id="1733116212">
      <w:bodyDiv w:val="1"/>
      <w:marLeft w:val="0"/>
      <w:marRight w:val="0"/>
      <w:marTop w:val="0"/>
      <w:marBottom w:val="0"/>
      <w:divBdr>
        <w:top w:val="none" w:sz="0" w:space="0" w:color="auto"/>
        <w:left w:val="none" w:sz="0" w:space="0" w:color="auto"/>
        <w:bottom w:val="none" w:sz="0" w:space="0" w:color="auto"/>
        <w:right w:val="none" w:sz="0" w:space="0" w:color="auto"/>
      </w:divBdr>
      <w:divsChild>
        <w:div w:id="637489173">
          <w:marLeft w:val="0"/>
          <w:marRight w:val="0"/>
          <w:marTop w:val="0"/>
          <w:marBottom w:val="0"/>
          <w:divBdr>
            <w:top w:val="none" w:sz="0" w:space="0" w:color="auto"/>
            <w:left w:val="none" w:sz="0" w:space="0" w:color="auto"/>
            <w:bottom w:val="none" w:sz="0" w:space="0" w:color="auto"/>
            <w:right w:val="none" w:sz="0" w:space="0" w:color="auto"/>
          </w:divBdr>
          <w:divsChild>
            <w:div w:id="915817915">
              <w:marLeft w:val="0"/>
              <w:marRight w:val="0"/>
              <w:marTop w:val="0"/>
              <w:marBottom w:val="0"/>
              <w:divBdr>
                <w:top w:val="none" w:sz="0" w:space="0" w:color="auto"/>
                <w:left w:val="none" w:sz="0" w:space="0" w:color="auto"/>
                <w:bottom w:val="none" w:sz="0" w:space="0" w:color="auto"/>
                <w:right w:val="none" w:sz="0" w:space="0" w:color="auto"/>
              </w:divBdr>
              <w:divsChild>
                <w:div w:id="1640955932">
                  <w:marLeft w:val="0"/>
                  <w:marRight w:val="0"/>
                  <w:marTop w:val="0"/>
                  <w:marBottom w:val="0"/>
                  <w:divBdr>
                    <w:top w:val="none" w:sz="0" w:space="0" w:color="auto"/>
                    <w:left w:val="none" w:sz="0" w:space="0" w:color="auto"/>
                    <w:bottom w:val="none" w:sz="0" w:space="0" w:color="auto"/>
                    <w:right w:val="none" w:sz="0" w:space="0" w:color="auto"/>
                  </w:divBdr>
                  <w:divsChild>
                    <w:div w:id="2079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9726">
      <w:bodyDiv w:val="1"/>
      <w:marLeft w:val="0"/>
      <w:marRight w:val="0"/>
      <w:marTop w:val="0"/>
      <w:marBottom w:val="0"/>
      <w:divBdr>
        <w:top w:val="none" w:sz="0" w:space="0" w:color="auto"/>
        <w:left w:val="none" w:sz="0" w:space="0" w:color="auto"/>
        <w:bottom w:val="none" w:sz="0" w:space="0" w:color="auto"/>
        <w:right w:val="none" w:sz="0" w:space="0" w:color="auto"/>
      </w:divBdr>
    </w:div>
    <w:div w:id="1753427037">
      <w:bodyDiv w:val="1"/>
      <w:marLeft w:val="0"/>
      <w:marRight w:val="0"/>
      <w:marTop w:val="0"/>
      <w:marBottom w:val="0"/>
      <w:divBdr>
        <w:top w:val="none" w:sz="0" w:space="0" w:color="auto"/>
        <w:left w:val="none" w:sz="0" w:space="0" w:color="auto"/>
        <w:bottom w:val="none" w:sz="0" w:space="0" w:color="auto"/>
        <w:right w:val="none" w:sz="0" w:space="0" w:color="auto"/>
      </w:divBdr>
    </w:div>
    <w:div w:id="1774549837">
      <w:bodyDiv w:val="1"/>
      <w:marLeft w:val="0"/>
      <w:marRight w:val="0"/>
      <w:marTop w:val="0"/>
      <w:marBottom w:val="0"/>
      <w:divBdr>
        <w:top w:val="none" w:sz="0" w:space="0" w:color="auto"/>
        <w:left w:val="none" w:sz="0" w:space="0" w:color="auto"/>
        <w:bottom w:val="none" w:sz="0" w:space="0" w:color="auto"/>
        <w:right w:val="none" w:sz="0" w:space="0" w:color="auto"/>
      </w:divBdr>
    </w:div>
    <w:div w:id="1795832963">
      <w:bodyDiv w:val="1"/>
      <w:marLeft w:val="0"/>
      <w:marRight w:val="0"/>
      <w:marTop w:val="0"/>
      <w:marBottom w:val="0"/>
      <w:divBdr>
        <w:top w:val="none" w:sz="0" w:space="0" w:color="auto"/>
        <w:left w:val="none" w:sz="0" w:space="0" w:color="auto"/>
        <w:bottom w:val="none" w:sz="0" w:space="0" w:color="auto"/>
        <w:right w:val="none" w:sz="0" w:space="0" w:color="auto"/>
      </w:divBdr>
    </w:div>
    <w:div w:id="1814519878">
      <w:bodyDiv w:val="1"/>
      <w:marLeft w:val="0"/>
      <w:marRight w:val="0"/>
      <w:marTop w:val="0"/>
      <w:marBottom w:val="0"/>
      <w:divBdr>
        <w:top w:val="none" w:sz="0" w:space="0" w:color="auto"/>
        <w:left w:val="none" w:sz="0" w:space="0" w:color="auto"/>
        <w:bottom w:val="none" w:sz="0" w:space="0" w:color="auto"/>
        <w:right w:val="none" w:sz="0" w:space="0" w:color="auto"/>
      </w:divBdr>
    </w:div>
    <w:div w:id="1819954595">
      <w:bodyDiv w:val="1"/>
      <w:marLeft w:val="0"/>
      <w:marRight w:val="0"/>
      <w:marTop w:val="0"/>
      <w:marBottom w:val="0"/>
      <w:divBdr>
        <w:top w:val="none" w:sz="0" w:space="0" w:color="auto"/>
        <w:left w:val="none" w:sz="0" w:space="0" w:color="auto"/>
        <w:bottom w:val="none" w:sz="0" w:space="0" w:color="auto"/>
        <w:right w:val="none" w:sz="0" w:space="0" w:color="auto"/>
      </w:divBdr>
    </w:div>
    <w:div w:id="1830752678">
      <w:bodyDiv w:val="1"/>
      <w:marLeft w:val="0"/>
      <w:marRight w:val="0"/>
      <w:marTop w:val="0"/>
      <w:marBottom w:val="0"/>
      <w:divBdr>
        <w:top w:val="none" w:sz="0" w:space="0" w:color="auto"/>
        <w:left w:val="none" w:sz="0" w:space="0" w:color="auto"/>
        <w:bottom w:val="none" w:sz="0" w:space="0" w:color="auto"/>
        <w:right w:val="none" w:sz="0" w:space="0" w:color="auto"/>
      </w:divBdr>
    </w:div>
    <w:div w:id="1830825476">
      <w:bodyDiv w:val="1"/>
      <w:marLeft w:val="0"/>
      <w:marRight w:val="0"/>
      <w:marTop w:val="0"/>
      <w:marBottom w:val="0"/>
      <w:divBdr>
        <w:top w:val="none" w:sz="0" w:space="0" w:color="auto"/>
        <w:left w:val="none" w:sz="0" w:space="0" w:color="auto"/>
        <w:bottom w:val="none" w:sz="0" w:space="0" w:color="auto"/>
        <w:right w:val="none" w:sz="0" w:space="0" w:color="auto"/>
      </w:divBdr>
      <w:divsChild>
        <w:div w:id="174463241">
          <w:marLeft w:val="0"/>
          <w:marRight w:val="0"/>
          <w:marTop w:val="0"/>
          <w:marBottom w:val="0"/>
          <w:divBdr>
            <w:top w:val="none" w:sz="0" w:space="0" w:color="auto"/>
            <w:left w:val="none" w:sz="0" w:space="0" w:color="auto"/>
            <w:bottom w:val="none" w:sz="0" w:space="0" w:color="auto"/>
            <w:right w:val="none" w:sz="0" w:space="0" w:color="auto"/>
          </w:divBdr>
          <w:divsChild>
            <w:div w:id="255330138">
              <w:marLeft w:val="0"/>
              <w:marRight w:val="0"/>
              <w:marTop w:val="0"/>
              <w:marBottom w:val="0"/>
              <w:divBdr>
                <w:top w:val="none" w:sz="0" w:space="0" w:color="auto"/>
                <w:left w:val="none" w:sz="0" w:space="0" w:color="auto"/>
                <w:bottom w:val="none" w:sz="0" w:space="0" w:color="auto"/>
                <w:right w:val="none" w:sz="0" w:space="0" w:color="auto"/>
              </w:divBdr>
              <w:divsChild>
                <w:div w:id="109278153">
                  <w:marLeft w:val="0"/>
                  <w:marRight w:val="0"/>
                  <w:marTop w:val="0"/>
                  <w:marBottom w:val="0"/>
                  <w:divBdr>
                    <w:top w:val="none" w:sz="0" w:space="0" w:color="auto"/>
                    <w:left w:val="none" w:sz="0" w:space="0" w:color="auto"/>
                    <w:bottom w:val="none" w:sz="0" w:space="0" w:color="auto"/>
                    <w:right w:val="none" w:sz="0" w:space="0" w:color="auto"/>
                  </w:divBdr>
                  <w:divsChild>
                    <w:div w:id="1418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68471">
      <w:bodyDiv w:val="1"/>
      <w:marLeft w:val="0"/>
      <w:marRight w:val="0"/>
      <w:marTop w:val="0"/>
      <w:marBottom w:val="0"/>
      <w:divBdr>
        <w:top w:val="none" w:sz="0" w:space="0" w:color="auto"/>
        <w:left w:val="none" w:sz="0" w:space="0" w:color="auto"/>
        <w:bottom w:val="none" w:sz="0" w:space="0" w:color="auto"/>
        <w:right w:val="none" w:sz="0" w:space="0" w:color="auto"/>
      </w:divBdr>
    </w:div>
    <w:div w:id="1844274828">
      <w:bodyDiv w:val="1"/>
      <w:marLeft w:val="0"/>
      <w:marRight w:val="0"/>
      <w:marTop w:val="0"/>
      <w:marBottom w:val="0"/>
      <w:divBdr>
        <w:top w:val="none" w:sz="0" w:space="0" w:color="auto"/>
        <w:left w:val="none" w:sz="0" w:space="0" w:color="auto"/>
        <w:bottom w:val="none" w:sz="0" w:space="0" w:color="auto"/>
        <w:right w:val="none" w:sz="0" w:space="0" w:color="auto"/>
      </w:divBdr>
    </w:div>
    <w:div w:id="1859342600">
      <w:bodyDiv w:val="1"/>
      <w:marLeft w:val="0"/>
      <w:marRight w:val="0"/>
      <w:marTop w:val="0"/>
      <w:marBottom w:val="0"/>
      <w:divBdr>
        <w:top w:val="none" w:sz="0" w:space="0" w:color="auto"/>
        <w:left w:val="none" w:sz="0" w:space="0" w:color="auto"/>
        <w:bottom w:val="none" w:sz="0" w:space="0" w:color="auto"/>
        <w:right w:val="none" w:sz="0" w:space="0" w:color="auto"/>
      </w:divBdr>
    </w:div>
    <w:div w:id="1883638101">
      <w:bodyDiv w:val="1"/>
      <w:marLeft w:val="0"/>
      <w:marRight w:val="0"/>
      <w:marTop w:val="0"/>
      <w:marBottom w:val="0"/>
      <w:divBdr>
        <w:top w:val="none" w:sz="0" w:space="0" w:color="auto"/>
        <w:left w:val="none" w:sz="0" w:space="0" w:color="auto"/>
        <w:bottom w:val="none" w:sz="0" w:space="0" w:color="auto"/>
        <w:right w:val="none" w:sz="0" w:space="0" w:color="auto"/>
      </w:divBdr>
    </w:div>
    <w:div w:id="1885939989">
      <w:bodyDiv w:val="1"/>
      <w:marLeft w:val="0"/>
      <w:marRight w:val="0"/>
      <w:marTop w:val="0"/>
      <w:marBottom w:val="0"/>
      <w:divBdr>
        <w:top w:val="none" w:sz="0" w:space="0" w:color="auto"/>
        <w:left w:val="none" w:sz="0" w:space="0" w:color="auto"/>
        <w:bottom w:val="none" w:sz="0" w:space="0" w:color="auto"/>
        <w:right w:val="none" w:sz="0" w:space="0" w:color="auto"/>
      </w:divBdr>
    </w:div>
    <w:div w:id="1894192402">
      <w:bodyDiv w:val="1"/>
      <w:marLeft w:val="0"/>
      <w:marRight w:val="0"/>
      <w:marTop w:val="0"/>
      <w:marBottom w:val="0"/>
      <w:divBdr>
        <w:top w:val="none" w:sz="0" w:space="0" w:color="auto"/>
        <w:left w:val="none" w:sz="0" w:space="0" w:color="auto"/>
        <w:bottom w:val="none" w:sz="0" w:space="0" w:color="auto"/>
        <w:right w:val="none" w:sz="0" w:space="0" w:color="auto"/>
      </w:divBdr>
      <w:divsChild>
        <w:div w:id="1508057613">
          <w:marLeft w:val="0"/>
          <w:marRight w:val="0"/>
          <w:marTop w:val="0"/>
          <w:marBottom w:val="0"/>
          <w:divBdr>
            <w:top w:val="none" w:sz="0" w:space="0" w:color="auto"/>
            <w:left w:val="none" w:sz="0" w:space="0" w:color="auto"/>
            <w:bottom w:val="none" w:sz="0" w:space="0" w:color="auto"/>
            <w:right w:val="none" w:sz="0" w:space="0" w:color="auto"/>
          </w:divBdr>
          <w:divsChild>
            <w:div w:id="758671213">
              <w:marLeft w:val="0"/>
              <w:marRight w:val="0"/>
              <w:marTop w:val="0"/>
              <w:marBottom w:val="0"/>
              <w:divBdr>
                <w:top w:val="none" w:sz="0" w:space="0" w:color="auto"/>
                <w:left w:val="none" w:sz="0" w:space="0" w:color="auto"/>
                <w:bottom w:val="none" w:sz="0" w:space="0" w:color="auto"/>
                <w:right w:val="none" w:sz="0" w:space="0" w:color="auto"/>
              </w:divBdr>
              <w:divsChild>
                <w:div w:id="452214779">
                  <w:marLeft w:val="0"/>
                  <w:marRight w:val="0"/>
                  <w:marTop w:val="0"/>
                  <w:marBottom w:val="0"/>
                  <w:divBdr>
                    <w:top w:val="none" w:sz="0" w:space="0" w:color="auto"/>
                    <w:left w:val="none" w:sz="0" w:space="0" w:color="auto"/>
                    <w:bottom w:val="none" w:sz="0" w:space="0" w:color="auto"/>
                    <w:right w:val="none" w:sz="0" w:space="0" w:color="auto"/>
                  </w:divBdr>
                  <w:divsChild>
                    <w:div w:id="1866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937131">
      <w:bodyDiv w:val="1"/>
      <w:marLeft w:val="0"/>
      <w:marRight w:val="0"/>
      <w:marTop w:val="0"/>
      <w:marBottom w:val="0"/>
      <w:divBdr>
        <w:top w:val="none" w:sz="0" w:space="0" w:color="auto"/>
        <w:left w:val="none" w:sz="0" w:space="0" w:color="auto"/>
        <w:bottom w:val="none" w:sz="0" w:space="0" w:color="auto"/>
        <w:right w:val="none" w:sz="0" w:space="0" w:color="auto"/>
      </w:divBdr>
    </w:div>
    <w:div w:id="1905724113">
      <w:bodyDiv w:val="1"/>
      <w:marLeft w:val="0"/>
      <w:marRight w:val="0"/>
      <w:marTop w:val="0"/>
      <w:marBottom w:val="0"/>
      <w:divBdr>
        <w:top w:val="none" w:sz="0" w:space="0" w:color="auto"/>
        <w:left w:val="none" w:sz="0" w:space="0" w:color="auto"/>
        <w:bottom w:val="none" w:sz="0" w:space="0" w:color="auto"/>
        <w:right w:val="none" w:sz="0" w:space="0" w:color="auto"/>
      </w:divBdr>
    </w:div>
    <w:div w:id="1907184047">
      <w:bodyDiv w:val="1"/>
      <w:marLeft w:val="0"/>
      <w:marRight w:val="0"/>
      <w:marTop w:val="0"/>
      <w:marBottom w:val="0"/>
      <w:divBdr>
        <w:top w:val="none" w:sz="0" w:space="0" w:color="auto"/>
        <w:left w:val="none" w:sz="0" w:space="0" w:color="auto"/>
        <w:bottom w:val="none" w:sz="0" w:space="0" w:color="auto"/>
        <w:right w:val="none" w:sz="0" w:space="0" w:color="auto"/>
      </w:divBdr>
    </w:div>
    <w:div w:id="1943881442">
      <w:bodyDiv w:val="1"/>
      <w:marLeft w:val="0"/>
      <w:marRight w:val="0"/>
      <w:marTop w:val="0"/>
      <w:marBottom w:val="0"/>
      <w:divBdr>
        <w:top w:val="none" w:sz="0" w:space="0" w:color="auto"/>
        <w:left w:val="none" w:sz="0" w:space="0" w:color="auto"/>
        <w:bottom w:val="none" w:sz="0" w:space="0" w:color="auto"/>
        <w:right w:val="none" w:sz="0" w:space="0" w:color="auto"/>
      </w:divBdr>
    </w:div>
    <w:div w:id="1980913119">
      <w:bodyDiv w:val="1"/>
      <w:marLeft w:val="0"/>
      <w:marRight w:val="0"/>
      <w:marTop w:val="0"/>
      <w:marBottom w:val="0"/>
      <w:divBdr>
        <w:top w:val="none" w:sz="0" w:space="0" w:color="auto"/>
        <w:left w:val="none" w:sz="0" w:space="0" w:color="auto"/>
        <w:bottom w:val="none" w:sz="0" w:space="0" w:color="auto"/>
        <w:right w:val="none" w:sz="0" w:space="0" w:color="auto"/>
      </w:divBdr>
    </w:div>
    <w:div w:id="1986857171">
      <w:bodyDiv w:val="1"/>
      <w:marLeft w:val="0"/>
      <w:marRight w:val="0"/>
      <w:marTop w:val="0"/>
      <w:marBottom w:val="0"/>
      <w:divBdr>
        <w:top w:val="none" w:sz="0" w:space="0" w:color="auto"/>
        <w:left w:val="none" w:sz="0" w:space="0" w:color="auto"/>
        <w:bottom w:val="none" w:sz="0" w:space="0" w:color="auto"/>
        <w:right w:val="none" w:sz="0" w:space="0" w:color="auto"/>
      </w:divBdr>
    </w:div>
    <w:div w:id="2005040731">
      <w:bodyDiv w:val="1"/>
      <w:marLeft w:val="0"/>
      <w:marRight w:val="0"/>
      <w:marTop w:val="0"/>
      <w:marBottom w:val="0"/>
      <w:divBdr>
        <w:top w:val="none" w:sz="0" w:space="0" w:color="auto"/>
        <w:left w:val="none" w:sz="0" w:space="0" w:color="auto"/>
        <w:bottom w:val="none" w:sz="0" w:space="0" w:color="auto"/>
        <w:right w:val="none" w:sz="0" w:space="0" w:color="auto"/>
      </w:divBdr>
      <w:divsChild>
        <w:div w:id="1354500166">
          <w:marLeft w:val="0"/>
          <w:marRight w:val="0"/>
          <w:marTop w:val="0"/>
          <w:marBottom w:val="0"/>
          <w:divBdr>
            <w:top w:val="none" w:sz="0" w:space="0" w:color="auto"/>
            <w:left w:val="none" w:sz="0" w:space="0" w:color="auto"/>
            <w:bottom w:val="none" w:sz="0" w:space="0" w:color="auto"/>
            <w:right w:val="none" w:sz="0" w:space="0" w:color="auto"/>
          </w:divBdr>
          <w:divsChild>
            <w:div w:id="350572658">
              <w:marLeft w:val="0"/>
              <w:marRight w:val="0"/>
              <w:marTop w:val="0"/>
              <w:marBottom w:val="0"/>
              <w:divBdr>
                <w:top w:val="none" w:sz="0" w:space="0" w:color="auto"/>
                <w:left w:val="none" w:sz="0" w:space="0" w:color="auto"/>
                <w:bottom w:val="none" w:sz="0" w:space="0" w:color="auto"/>
                <w:right w:val="none" w:sz="0" w:space="0" w:color="auto"/>
              </w:divBdr>
              <w:divsChild>
                <w:div w:id="497773519">
                  <w:marLeft w:val="0"/>
                  <w:marRight w:val="0"/>
                  <w:marTop w:val="0"/>
                  <w:marBottom w:val="0"/>
                  <w:divBdr>
                    <w:top w:val="none" w:sz="0" w:space="0" w:color="auto"/>
                    <w:left w:val="none" w:sz="0" w:space="0" w:color="auto"/>
                    <w:bottom w:val="none" w:sz="0" w:space="0" w:color="auto"/>
                    <w:right w:val="none" w:sz="0" w:space="0" w:color="auto"/>
                  </w:divBdr>
                  <w:divsChild>
                    <w:div w:id="16838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823626">
      <w:bodyDiv w:val="1"/>
      <w:marLeft w:val="0"/>
      <w:marRight w:val="0"/>
      <w:marTop w:val="0"/>
      <w:marBottom w:val="0"/>
      <w:divBdr>
        <w:top w:val="none" w:sz="0" w:space="0" w:color="auto"/>
        <w:left w:val="none" w:sz="0" w:space="0" w:color="auto"/>
        <w:bottom w:val="none" w:sz="0" w:space="0" w:color="auto"/>
        <w:right w:val="none" w:sz="0" w:space="0" w:color="auto"/>
      </w:divBdr>
    </w:div>
    <w:div w:id="2033024596">
      <w:bodyDiv w:val="1"/>
      <w:marLeft w:val="0"/>
      <w:marRight w:val="0"/>
      <w:marTop w:val="0"/>
      <w:marBottom w:val="0"/>
      <w:divBdr>
        <w:top w:val="none" w:sz="0" w:space="0" w:color="auto"/>
        <w:left w:val="none" w:sz="0" w:space="0" w:color="auto"/>
        <w:bottom w:val="none" w:sz="0" w:space="0" w:color="auto"/>
        <w:right w:val="none" w:sz="0" w:space="0" w:color="auto"/>
      </w:divBdr>
    </w:div>
    <w:div w:id="2050689729">
      <w:bodyDiv w:val="1"/>
      <w:marLeft w:val="0"/>
      <w:marRight w:val="0"/>
      <w:marTop w:val="0"/>
      <w:marBottom w:val="0"/>
      <w:divBdr>
        <w:top w:val="none" w:sz="0" w:space="0" w:color="auto"/>
        <w:left w:val="none" w:sz="0" w:space="0" w:color="auto"/>
        <w:bottom w:val="none" w:sz="0" w:space="0" w:color="auto"/>
        <w:right w:val="none" w:sz="0" w:space="0" w:color="auto"/>
      </w:divBdr>
      <w:divsChild>
        <w:div w:id="2082437612">
          <w:marLeft w:val="0"/>
          <w:marRight w:val="0"/>
          <w:marTop w:val="0"/>
          <w:marBottom w:val="0"/>
          <w:divBdr>
            <w:top w:val="none" w:sz="0" w:space="0" w:color="auto"/>
            <w:left w:val="none" w:sz="0" w:space="0" w:color="auto"/>
            <w:bottom w:val="none" w:sz="0" w:space="0" w:color="auto"/>
            <w:right w:val="none" w:sz="0" w:space="0" w:color="auto"/>
          </w:divBdr>
          <w:divsChild>
            <w:div w:id="54859837">
              <w:marLeft w:val="0"/>
              <w:marRight w:val="0"/>
              <w:marTop w:val="0"/>
              <w:marBottom w:val="0"/>
              <w:divBdr>
                <w:top w:val="none" w:sz="0" w:space="0" w:color="auto"/>
                <w:left w:val="none" w:sz="0" w:space="0" w:color="auto"/>
                <w:bottom w:val="none" w:sz="0" w:space="0" w:color="auto"/>
                <w:right w:val="none" w:sz="0" w:space="0" w:color="auto"/>
              </w:divBdr>
              <w:divsChild>
                <w:div w:id="1222137609">
                  <w:marLeft w:val="0"/>
                  <w:marRight w:val="0"/>
                  <w:marTop w:val="0"/>
                  <w:marBottom w:val="0"/>
                  <w:divBdr>
                    <w:top w:val="none" w:sz="0" w:space="0" w:color="auto"/>
                    <w:left w:val="none" w:sz="0" w:space="0" w:color="auto"/>
                    <w:bottom w:val="none" w:sz="0" w:space="0" w:color="auto"/>
                    <w:right w:val="none" w:sz="0" w:space="0" w:color="auto"/>
                  </w:divBdr>
                  <w:divsChild>
                    <w:div w:id="6272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23156">
      <w:bodyDiv w:val="1"/>
      <w:marLeft w:val="0"/>
      <w:marRight w:val="0"/>
      <w:marTop w:val="0"/>
      <w:marBottom w:val="0"/>
      <w:divBdr>
        <w:top w:val="none" w:sz="0" w:space="0" w:color="auto"/>
        <w:left w:val="none" w:sz="0" w:space="0" w:color="auto"/>
        <w:bottom w:val="none" w:sz="0" w:space="0" w:color="auto"/>
        <w:right w:val="none" w:sz="0" w:space="0" w:color="auto"/>
      </w:divBdr>
      <w:divsChild>
        <w:div w:id="117652833">
          <w:marLeft w:val="0"/>
          <w:marRight w:val="0"/>
          <w:marTop w:val="0"/>
          <w:marBottom w:val="0"/>
          <w:divBdr>
            <w:top w:val="none" w:sz="0" w:space="0" w:color="auto"/>
            <w:left w:val="none" w:sz="0" w:space="0" w:color="auto"/>
            <w:bottom w:val="none" w:sz="0" w:space="0" w:color="auto"/>
            <w:right w:val="none" w:sz="0" w:space="0" w:color="auto"/>
          </w:divBdr>
        </w:div>
        <w:div w:id="260725435">
          <w:marLeft w:val="0"/>
          <w:marRight w:val="0"/>
          <w:marTop w:val="0"/>
          <w:marBottom w:val="0"/>
          <w:divBdr>
            <w:top w:val="none" w:sz="0" w:space="0" w:color="auto"/>
            <w:left w:val="none" w:sz="0" w:space="0" w:color="auto"/>
            <w:bottom w:val="none" w:sz="0" w:space="0" w:color="auto"/>
            <w:right w:val="none" w:sz="0" w:space="0" w:color="auto"/>
          </w:divBdr>
        </w:div>
        <w:div w:id="289556010">
          <w:marLeft w:val="0"/>
          <w:marRight w:val="0"/>
          <w:marTop w:val="0"/>
          <w:marBottom w:val="0"/>
          <w:divBdr>
            <w:top w:val="none" w:sz="0" w:space="0" w:color="auto"/>
            <w:left w:val="none" w:sz="0" w:space="0" w:color="auto"/>
            <w:bottom w:val="none" w:sz="0" w:space="0" w:color="auto"/>
            <w:right w:val="none" w:sz="0" w:space="0" w:color="auto"/>
          </w:divBdr>
        </w:div>
        <w:div w:id="381100578">
          <w:marLeft w:val="0"/>
          <w:marRight w:val="0"/>
          <w:marTop w:val="0"/>
          <w:marBottom w:val="0"/>
          <w:divBdr>
            <w:top w:val="none" w:sz="0" w:space="0" w:color="auto"/>
            <w:left w:val="none" w:sz="0" w:space="0" w:color="auto"/>
            <w:bottom w:val="none" w:sz="0" w:space="0" w:color="auto"/>
            <w:right w:val="none" w:sz="0" w:space="0" w:color="auto"/>
          </w:divBdr>
        </w:div>
        <w:div w:id="399642778">
          <w:marLeft w:val="0"/>
          <w:marRight w:val="0"/>
          <w:marTop w:val="0"/>
          <w:marBottom w:val="0"/>
          <w:divBdr>
            <w:top w:val="none" w:sz="0" w:space="0" w:color="auto"/>
            <w:left w:val="none" w:sz="0" w:space="0" w:color="auto"/>
            <w:bottom w:val="none" w:sz="0" w:space="0" w:color="auto"/>
            <w:right w:val="none" w:sz="0" w:space="0" w:color="auto"/>
          </w:divBdr>
        </w:div>
        <w:div w:id="447629095">
          <w:marLeft w:val="0"/>
          <w:marRight w:val="0"/>
          <w:marTop w:val="0"/>
          <w:marBottom w:val="0"/>
          <w:divBdr>
            <w:top w:val="none" w:sz="0" w:space="0" w:color="auto"/>
            <w:left w:val="none" w:sz="0" w:space="0" w:color="auto"/>
            <w:bottom w:val="none" w:sz="0" w:space="0" w:color="auto"/>
            <w:right w:val="none" w:sz="0" w:space="0" w:color="auto"/>
          </w:divBdr>
        </w:div>
        <w:div w:id="533426297">
          <w:marLeft w:val="0"/>
          <w:marRight w:val="0"/>
          <w:marTop w:val="0"/>
          <w:marBottom w:val="0"/>
          <w:divBdr>
            <w:top w:val="none" w:sz="0" w:space="0" w:color="auto"/>
            <w:left w:val="none" w:sz="0" w:space="0" w:color="auto"/>
            <w:bottom w:val="none" w:sz="0" w:space="0" w:color="auto"/>
            <w:right w:val="none" w:sz="0" w:space="0" w:color="auto"/>
          </w:divBdr>
        </w:div>
        <w:div w:id="586616213">
          <w:marLeft w:val="0"/>
          <w:marRight w:val="0"/>
          <w:marTop w:val="0"/>
          <w:marBottom w:val="0"/>
          <w:divBdr>
            <w:top w:val="none" w:sz="0" w:space="0" w:color="auto"/>
            <w:left w:val="none" w:sz="0" w:space="0" w:color="auto"/>
            <w:bottom w:val="none" w:sz="0" w:space="0" w:color="auto"/>
            <w:right w:val="none" w:sz="0" w:space="0" w:color="auto"/>
          </w:divBdr>
        </w:div>
        <w:div w:id="602422951">
          <w:marLeft w:val="0"/>
          <w:marRight w:val="0"/>
          <w:marTop w:val="0"/>
          <w:marBottom w:val="0"/>
          <w:divBdr>
            <w:top w:val="none" w:sz="0" w:space="0" w:color="auto"/>
            <w:left w:val="none" w:sz="0" w:space="0" w:color="auto"/>
            <w:bottom w:val="none" w:sz="0" w:space="0" w:color="auto"/>
            <w:right w:val="none" w:sz="0" w:space="0" w:color="auto"/>
          </w:divBdr>
        </w:div>
        <w:div w:id="697660776">
          <w:marLeft w:val="0"/>
          <w:marRight w:val="0"/>
          <w:marTop w:val="0"/>
          <w:marBottom w:val="0"/>
          <w:divBdr>
            <w:top w:val="none" w:sz="0" w:space="0" w:color="auto"/>
            <w:left w:val="none" w:sz="0" w:space="0" w:color="auto"/>
            <w:bottom w:val="none" w:sz="0" w:space="0" w:color="auto"/>
            <w:right w:val="none" w:sz="0" w:space="0" w:color="auto"/>
          </w:divBdr>
        </w:div>
        <w:div w:id="702250864">
          <w:marLeft w:val="0"/>
          <w:marRight w:val="0"/>
          <w:marTop w:val="0"/>
          <w:marBottom w:val="0"/>
          <w:divBdr>
            <w:top w:val="none" w:sz="0" w:space="0" w:color="auto"/>
            <w:left w:val="none" w:sz="0" w:space="0" w:color="auto"/>
            <w:bottom w:val="none" w:sz="0" w:space="0" w:color="auto"/>
            <w:right w:val="none" w:sz="0" w:space="0" w:color="auto"/>
          </w:divBdr>
        </w:div>
        <w:div w:id="709305053">
          <w:marLeft w:val="0"/>
          <w:marRight w:val="0"/>
          <w:marTop w:val="0"/>
          <w:marBottom w:val="0"/>
          <w:divBdr>
            <w:top w:val="none" w:sz="0" w:space="0" w:color="auto"/>
            <w:left w:val="none" w:sz="0" w:space="0" w:color="auto"/>
            <w:bottom w:val="none" w:sz="0" w:space="0" w:color="auto"/>
            <w:right w:val="none" w:sz="0" w:space="0" w:color="auto"/>
          </w:divBdr>
        </w:div>
        <w:div w:id="747195645">
          <w:marLeft w:val="0"/>
          <w:marRight w:val="0"/>
          <w:marTop w:val="0"/>
          <w:marBottom w:val="0"/>
          <w:divBdr>
            <w:top w:val="none" w:sz="0" w:space="0" w:color="auto"/>
            <w:left w:val="none" w:sz="0" w:space="0" w:color="auto"/>
            <w:bottom w:val="none" w:sz="0" w:space="0" w:color="auto"/>
            <w:right w:val="none" w:sz="0" w:space="0" w:color="auto"/>
          </w:divBdr>
        </w:div>
        <w:div w:id="791098700">
          <w:marLeft w:val="0"/>
          <w:marRight w:val="0"/>
          <w:marTop w:val="0"/>
          <w:marBottom w:val="0"/>
          <w:divBdr>
            <w:top w:val="none" w:sz="0" w:space="0" w:color="auto"/>
            <w:left w:val="none" w:sz="0" w:space="0" w:color="auto"/>
            <w:bottom w:val="none" w:sz="0" w:space="0" w:color="auto"/>
            <w:right w:val="none" w:sz="0" w:space="0" w:color="auto"/>
          </w:divBdr>
        </w:div>
        <w:div w:id="881479543">
          <w:marLeft w:val="0"/>
          <w:marRight w:val="0"/>
          <w:marTop w:val="0"/>
          <w:marBottom w:val="0"/>
          <w:divBdr>
            <w:top w:val="none" w:sz="0" w:space="0" w:color="auto"/>
            <w:left w:val="none" w:sz="0" w:space="0" w:color="auto"/>
            <w:bottom w:val="none" w:sz="0" w:space="0" w:color="auto"/>
            <w:right w:val="none" w:sz="0" w:space="0" w:color="auto"/>
          </w:divBdr>
        </w:div>
        <w:div w:id="1037699689">
          <w:marLeft w:val="0"/>
          <w:marRight w:val="0"/>
          <w:marTop w:val="0"/>
          <w:marBottom w:val="0"/>
          <w:divBdr>
            <w:top w:val="none" w:sz="0" w:space="0" w:color="auto"/>
            <w:left w:val="none" w:sz="0" w:space="0" w:color="auto"/>
            <w:bottom w:val="none" w:sz="0" w:space="0" w:color="auto"/>
            <w:right w:val="none" w:sz="0" w:space="0" w:color="auto"/>
          </w:divBdr>
        </w:div>
        <w:div w:id="1058670573">
          <w:marLeft w:val="0"/>
          <w:marRight w:val="0"/>
          <w:marTop w:val="0"/>
          <w:marBottom w:val="0"/>
          <w:divBdr>
            <w:top w:val="none" w:sz="0" w:space="0" w:color="auto"/>
            <w:left w:val="none" w:sz="0" w:space="0" w:color="auto"/>
            <w:bottom w:val="none" w:sz="0" w:space="0" w:color="auto"/>
            <w:right w:val="none" w:sz="0" w:space="0" w:color="auto"/>
          </w:divBdr>
        </w:div>
        <w:div w:id="1101533097">
          <w:marLeft w:val="0"/>
          <w:marRight w:val="0"/>
          <w:marTop w:val="0"/>
          <w:marBottom w:val="0"/>
          <w:divBdr>
            <w:top w:val="none" w:sz="0" w:space="0" w:color="auto"/>
            <w:left w:val="none" w:sz="0" w:space="0" w:color="auto"/>
            <w:bottom w:val="none" w:sz="0" w:space="0" w:color="auto"/>
            <w:right w:val="none" w:sz="0" w:space="0" w:color="auto"/>
          </w:divBdr>
        </w:div>
        <w:div w:id="1209995803">
          <w:marLeft w:val="0"/>
          <w:marRight w:val="0"/>
          <w:marTop w:val="0"/>
          <w:marBottom w:val="0"/>
          <w:divBdr>
            <w:top w:val="none" w:sz="0" w:space="0" w:color="auto"/>
            <w:left w:val="none" w:sz="0" w:space="0" w:color="auto"/>
            <w:bottom w:val="none" w:sz="0" w:space="0" w:color="auto"/>
            <w:right w:val="none" w:sz="0" w:space="0" w:color="auto"/>
          </w:divBdr>
        </w:div>
        <w:div w:id="1273249333">
          <w:marLeft w:val="0"/>
          <w:marRight w:val="0"/>
          <w:marTop w:val="0"/>
          <w:marBottom w:val="0"/>
          <w:divBdr>
            <w:top w:val="none" w:sz="0" w:space="0" w:color="auto"/>
            <w:left w:val="none" w:sz="0" w:space="0" w:color="auto"/>
            <w:bottom w:val="none" w:sz="0" w:space="0" w:color="auto"/>
            <w:right w:val="none" w:sz="0" w:space="0" w:color="auto"/>
          </w:divBdr>
        </w:div>
        <w:div w:id="1487162189">
          <w:marLeft w:val="0"/>
          <w:marRight w:val="0"/>
          <w:marTop w:val="0"/>
          <w:marBottom w:val="0"/>
          <w:divBdr>
            <w:top w:val="none" w:sz="0" w:space="0" w:color="auto"/>
            <w:left w:val="none" w:sz="0" w:space="0" w:color="auto"/>
            <w:bottom w:val="none" w:sz="0" w:space="0" w:color="auto"/>
            <w:right w:val="none" w:sz="0" w:space="0" w:color="auto"/>
          </w:divBdr>
        </w:div>
        <w:div w:id="1511719642">
          <w:marLeft w:val="0"/>
          <w:marRight w:val="0"/>
          <w:marTop w:val="0"/>
          <w:marBottom w:val="0"/>
          <w:divBdr>
            <w:top w:val="none" w:sz="0" w:space="0" w:color="auto"/>
            <w:left w:val="none" w:sz="0" w:space="0" w:color="auto"/>
            <w:bottom w:val="none" w:sz="0" w:space="0" w:color="auto"/>
            <w:right w:val="none" w:sz="0" w:space="0" w:color="auto"/>
          </w:divBdr>
        </w:div>
        <w:div w:id="1547909202">
          <w:marLeft w:val="0"/>
          <w:marRight w:val="0"/>
          <w:marTop w:val="0"/>
          <w:marBottom w:val="0"/>
          <w:divBdr>
            <w:top w:val="none" w:sz="0" w:space="0" w:color="auto"/>
            <w:left w:val="none" w:sz="0" w:space="0" w:color="auto"/>
            <w:bottom w:val="none" w:sz="0" w:space="0" w:color="auto"/>
            <w:right w:val="none" w:sz="0" w:space="0" w:color="auto"/>
          </w:divBdr>
        </w:div>
        <w:div w:id="1676612964">
          <w:marLeft w:val="0"/>
          <w:marRight w:val="0"/>
          <w:marTop w:val="0"/>
          <w:marBottom w:val="0"/>
          <w:divBdr>
            <w:top w:val="none" w:sz="0" w:space="0" w:color="auto"/>
            <w:left w:val="none" w:sz="0" w:space="0" w:color="auto"/>
            <w:bottom w:val="none" w:sz="0" w:space="0" w:color="auto"/>
            <w:right w:val="none" w:sz="0" w:space="0" w:color="auto"/>
          </w:divBdr>
        </w:div>
        <w:div w:id="1809586502">
          <w:marLeft w:val="0"/>
          <w:marRight w:val="0"/>
          <w:marTop w:val="0"/>
          <w:marBottom w:val="0"/>
          <w:divBdr>
            <w:top w:val="none" w:sz="0" w:space="0" w:color="auto"/>
            <w:left w:val="none" w:sz="0" w:space="0" w:color="auto"/>
            <w:bottom w:val="none" w:sz="0" w:space="0" w:color="auto"/>
            <w:right w:val="none" w:sz="0" w:space="0" w:color="auto"/>
          </w:divBdr>
        </w:div>
        <w:div w:id="1877737491">
          <w:marLeft w:val="0"/>
          <w:marRight w:val="0"/>
          <w:marTop w:val="0"/>
          <w:marBottom w:val="0"/>
          <w:divBdr>
            <w:top w:val="none" w:sz="0" w:space="0" w:color="auto"/>
            <w:left w:val="none" w:sz="0" w:space="0" w:color="auto"/>
            <w:bottom w:val="none" w:sz="0" w:space="0" w:color="auto"/>
            <w:right w:val="none" w:sz="0" w:space="0" w:color="auto"/>
          </w:divBdr>
        </w:div>
        <w:div w:id="1938056461">
          <w:marLeft w:val="0"/>
          <w:marRight w:val="0"/>
          <w:marTop w:val="0"/>
          <w:marBottom w:val="0"/>
          <w:divBdr>
            <w:top w:val="none" w:sz="0" w:space="0" w:color="auto"/>
            <w:left w:val="none" w:sz="0" w:space="0" w:color="auto"/>
            <w:bottom w:val="none" w:sz="0" w:space="0" w:color="auto"/>
            <w:right w:val="none" w:sz="0" w:space="0" w:color="auto"/>
          </w:divBdr>
        </w:div>
        <w:div w:id="1950090581">
          <w:marLeft w:val="0"/>
          <w:marRight w:val="0"/>
          <w:marTop w:val="0"/>
          <w:marBottom w:val="0"/>
          <w:divBdr>
            <w:top w:val="none" w:sz="0" w:space="0" w:color="auto"/>
            <w:left w:val="none" w:sz="0" w:space="0" w:color="auto"/>
            <w:bottom w:val="none" w:sz="0" w:space="0" w:color="auto"/>
            <w:right w:val="none" w:sz="0" w:space="0" w:color="auto"/>
          </w:divBdr>
        </w:div>
        <w:div w:id="2120759051">
          <w:marLeft w:val="0"/>
          <w:marRight w:val="0"/>
          <w:marTop w:val="0"/>
          <w:marBottom w:val="0"/>
          <w:divBdr>
            <w:top w:val="none" w:sz="0" w:space="0" w:color="auto"/>
            <w:left w:val="none" w:sz="0" w:space="0" w:color="auto"/>
            <w:bottom w:val="none" w:sz="0" w:space="0" w:color="auto"/>
            <w:right w:val="none" w:sz="0" w:space="0" w:color="auto"/>
          </w:divBdr>
        </w:div>
      </w:divsChild>
    </w:div>
    <w:div w:id="2110811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4.xml"/><Relationship Id="rId26" Type="http://schemas.openxmlformats.org/officeDocument/2006/relationships/image" Target="media/image10.png"/><Relationship Id="rId39" Type="http://schemas.openxmlformats.org/officeDocument/2006/relationships/package" Target="embeddings/Microsoft_Word_Document2.docx"/><Relationship Id="rId21" Type="http://schemas.openxmlformats.org/officeDocument/2006/relationships/footer" Target="footer7.xml"/><Relationship Id="rId34" Type="http://schemas.openxmlformats.org/officeDocument/2006/relationships/image" Target="media/image14.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oter" Target="footer8.xml"/><Relationship Id="rId41"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hyperlink" Target="https://themasites.pbl.nl/o/climate-ndc-policies-tool/" TargetMode="External"/><Relationship Id="rId37" Type="http://schemas.openxmlformats.org/officeDocument/2006/relationships/package" Target="embeddings/Microsoft_Word_Document1.docx"/><Relationship Id="rId40"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5.emf"/><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9.xml"/><Relationship Id="rId44"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package" Target="embeddings/Microsoft_Word_Document.docx"/><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hyperlink" Target="https://zenodo.org/records/10875617" TargetMode="External"/><Relationship Id="rId38" Type="http://schemas.openxmlformats.org/officeDocument/2006/relationships/image" Target="media/image16.emf"/></Relationships>
</file>

<file path=word/_rels/footnotes.xml.rels><?xml version="1.0" encoding="UTF-8" standalone="yes"?>
<Relationships xmlns="http://schemas.openxmlformats.org/package/2006/relationships"><Relationship Id="rId3" Type="http://schemas.openxmlformats.org/officeDocument/2006/relationships/hyperlink" Target="https://au-afrec.org/energy-transition-programme" TargetMode="External"/><Relationship Id="rId2" Type="http://schemas.openxmlformats.org/officeDocument/2006/relationships/hyperlink" Target="https://en.wikipedia.org/wiki/List_of_countries_by_GDP_(PPP)_per_capita" TargetMode="External"/><Relationship Id="rId1" Type="http://schemas.openxmlformats.org/officeDocument/2006/relationships/hyperlink" Target="https://au-afrec.org/energy-transition-programme" TargetMode="External"/><Relationship Id="rId5" Type="http://schemas.openxmlformats.org/officeDocument/2006/relationships/hyperlink" Target="https://globalabc.org/sites/default/files/2021-10/GABC_Buildings-GSR-2021_BOOK.pdf" TargetMode="External"/><Relationship Id="rId4" Type="http://schemas.openxmlformats.org/officeDocument/2006/relationships/hyperlink" Target="https://african.business/2023/05/energy-resources/africas-race-for-transmission-investmen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FREC">
      <a:dk1>
        <a:srgbClr val="348F41"/>
      </a:dk1>
      <a:lt1>
        <a:srgbClr val="9F2241"/>
      </a:lt1>
      <a:dk2>
        <a:srgbClr val="B4A269"/>
      </a:dk2>
      <a:lt2>
        <a:srgbClr val="FFFFFF"/>
      </a:lt2>
      <a:accent1>
        <a:srgbClr val="53575A"/>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Afr24</b:Tag>
    <b:SourceType>InternetSite</b:SourceType>
    <b:Guid>{A05D57E6-8B11-401E-9D00-FD62EAFE466E}</b:Guid>
    <b:Author>
      <b:Author>
        <b:NameList>
          <b:Person>
            <b:Last>AU</b:Last>
          </b:Person>
        </b:NameList>
      </b:Author>
    </b:Author>
    <b:Title>Regional Economic Communities</b:Title>
    <b:Year>2024</b:Year>
    <b:InternetSiteTitle>Africa Union</b:InternetSiteTitle>
    <b:URL>https://au.int/en/recs</b:URL>
    <b:RefOrder>1</b:RefOrder>
  </b:Source>
  <b:Source>
    <b:Tag>IEA23</b:Tag>
    <b:SourceType>Report</b:SourceType>
    <b:Guid>{BCD730B2-9C08-4697-8FD4-19C9E666F1C5}</b:Guid>
    <b:Author>
      <b:Author>
        <b:NameList>
          <b:Person>
            <b:Last>IEA</b:Last>
          </b:Person>
        </b:NameList>
      </b:Author>
    </b:Author>
    <b:Title>Financing Clean Energy in Africa</b:Title>
    <b:Year>2023</b:Year>
    <b:RefOrder>2</b:RefOrder>
  </b:Source>
  <b:Source>
    <b:Tag>ICA24</b:Tag>
    <b:SourceType>InternetSite</b:SourceType>
    <b:Guid>{8BBF0CD5-78D8-4189-B041-6D9B76D48E4D}</b:Guid>
    <b:Author>
      <b:Author>
        <b:NameList>
          <b:Person>
            <b:Last>ICA</b:Last>
          </b:Person>
        </b:NameList>
      </b:Author>
    </b:Author>
    <b:Title>Spending by African governments on Infrastructure</b:Title>
    <b:InternetSiteTitle>ICA</b:InternetSiteTitle>
    <b:Year>2024</b:Year>
    <b:URL>https://www.icafrica.org/en/topics-programmes/spending-by-african-governments-on-infrastructure/</b:URL>
    <b:RefOrder>3</b:RefOrder>
  </b:Source>
  <b:Source>
    <b:Tag>IEA22</b:Tag>
    <b:SourceType>Report</b:SourceType>
    <b:Guid>{E5BD4F7A-F8B8-4BD9-B1CE-C0350EA90EC2}</b:Guid>
    <b:Author>
      <b:Author>
        <b:NameList>
          <b:Person>
            <b:Last>IEA</b:Last>
          </b:Person>
        </b:NameList>
      </b:Author>
    </b:Author>
    <b:Title>World Energy Outlook 2022</b:Title>
    <b:Year>2022</b:Year>
    <b:RefOrder>4</b:RefOrder>
  </b:Source>
  <b:Source>
    <b:Tag>IRE22</b:Tag>
    <b:SourceType>Report</b:SourceType>
    <b:Guid>{7C97072E-4DA0-4107-8DFB-59855C3768FE}</b:Guid>
    <b:Author>
      <b:Author>
        <b:NameList>
          <b:Person>
            <b:Last>IRENA</b:Last>
          </b:Person>
        </b:NameList>
      </b:Author>
    </b:Author>
    <b:Title>Renewable Energy market analysis</b:Title>
    <b:Year>2022</b:Year>
    <b:RefOrder>5</b:RefOrder>
  </b:Source>
  <b:Source>
    <b:Tag>IFC19</b:Tag>
    <b:SourceType>InternetSite</b:SourceType>
    <b:Guid>{C88E0CE0-0603-46CE-A3A9-85354429107D}</b:Guid>
    <b:Author>
      <b:Author>
        <b:NameList>
          <b:Person>
            <b:Last>IFC</b:Last>
          </b:Person>
        </b:NameList>
      </b:Author>
    </b:Author>
    <b:Year>2019</b:Year>
    <b:Title>IFC and MIGA To Support Landmark Wind Farm on Egypt’s Gulf of Suez </b:Title>
    <b:URL>https://pressroom.ifc.org/all/pages/PressDetail.aspx?ID=18488</b:URL>
    <b:RefOrder>6</b:RefOrder>
  </b:Source>
  <b:Source>
    <b:Tag>OEC22</b:Tag>
    <b:SourceType>Report</b:SourceType>
    <b:Guid>{6ECF7BA5-27A3-4831-A270-3B29CEDEC9BF}</b:Guid>
    <b:Author>
      <b:Author>
        <b:NameList>
          <b:Person>
            <b:Last>OECD</b:Last>
          </b:Person>
        </b:NameList>
      </b:Author>
    </b:Author>
    <b:Year>2022</b:Year>
    <b:Title>Climate Finance Provided and Mobilised by Developed Countries in 2016-2020</b:Title>
    <b:RefOrder>7</b:RefOrder>
  </b:Source>
  <b:Source>
    <b:Tag>Oyi23</b:Tag>
    <b:SourceType>Report</b:SourceType>
    <b:Guid>{B3E2BAC7-92D5-408E-B45D-F91EB01C7E02}</b:Guid>
    <b:Author>
      <b:Author>
        <b:Corporate>Carnegie</b:Corporate>
      </b:Author>
    </b:Author>
    <b:Title>Who Finances Energy Projects in Africa?</b:Title>
    <b:Year>2023</b:Year>
    <b:RefOrder>1</b:RefOrder>
  </b:Source>
  <b:Source>
    <b:Tag>Wor23</b:Tag>
    <b:SourceType>InternetSite</b:SourceType>
    <b:Guid>{65A9487A-6051-4C70-9E2D-4635FB94BF2D}</b:Guid>
    <b:Author>
      <b:Author>
        <b:Corporate>World Bank</b:Corporate>
      </b:Author>
    </b:Author>
    <b:Title>World Development Indicators</b:Title>
    <b:Year>2023</b:Year>
    <b:URL>https://databank.worldbank.org/source/world-development-indicators.</b:URL>
    <b:RefOrder>2</b:RefOrder>
  </b:Source>
  <b:Source>
    <b:Tag>AFD23</b:Tag>
    <b:SourceType>Report</b:SourceType>
    <b:Guid>{094D42FA-C1B9-4FA1-A580-EBA231FA15D7}</b:Guid>
    <b:Author>
      <b:Author>
        <b:NameList>
          <b:Person>
            <b:Last>AFDB</b:Last>
          </b:Person>
        </b:NameList>
      </b:Author>
    </b:Author>
    <b:Title>African Economic Outlook - Mobilizing Private Sector Financing for Climate and Green Growth in Africa</b:Title>
    <b:Year>2023</b:Year>
    <b:RefOrder>3</b:RefOrder>
  </b:Source>
  <b:Source>
    <b:Tag>Wor22</b:Tag>
    <b:SourceType>InternetSite</b:SourceType>
    <b:Guid>{7456970E-0E2F-4D9B-9F2A-5C31AF4750F5}</b:Guid>
    <b:Author>
      <b:Author>
        <b:Corporate>World Economic Forum</b:Corporate>
      </b:Author>
    </b:Author>
    <b:Title>Why financing Africa’s green energy transition should be the focus of COP27</b:Title>
    <b:Year>2022</b:Year>
    <b:URL>https://www.weforum.org/agenda/2022/11/why-africa-is-the-natural-place-to-hold-cop27-and-other-climate-events/</b:URL>
    <b:RefOrder>5</b:RefOrder>
  </b:Source>
  <b:Source>
    <b:Tag>AFD22</b:Tag>
    <b:SourceType>Report</b:SourceType>
    <b:Guid>{FC256286-78D3-4000-98A0-4EA36B29FBD0}</b:Guid>
    <b:Title>Private production or public project ownership to scale up the construction of photovoltaic power plants in Africa?</b:Title>
    <b:Author>
      <b:Writer>
        <b:NameList>
          <b:Person>
            <b:Last>AFD</b:Last>
          </b:Person>
        </b:NameList>
      </b:Writer>
      <b:Author>
        <b:NameList>
          <b:Person>
            <b:Last>AFD</b:Last>
          </b:Person>
        </b:NameList>
      </b:Author>
    </b:Author>
    <b:Year>2022</b:Year>
    <b:RefOrder>6</b:RefOrder>
  </b:Source>
  <b:Source>
    <b:Tag>Euo22</b:Tag>
    <b:SourceType>InternetSite</b:SourceType>
    <b:Guid>{08FDECE4-4E7B-44CD-A58A-1C7F5C771028}</b:Guid>
    <b:Author>
      <b:Author>
        <b:Corporate>Euopean Parliament</b:Corporate>
      </b:Author>
    </b:Author>
    <b:InternetSiteTitle>Financial institutions'exposures to fossil fuel assets</b:InternetSiteTitle>
    <b:Year>2022</b:Year>
    <b:URL>https://www.europarl.europa.eu/RegData/etudes/STUD/2022/699532/IPOL_STU(2022)699532_EN.pdf</b:URL>
    <b:RefOrder>7</b:RefOrder>
  </b:Source>
  <b:Source>
    <b:Tag>Car22</b:Tag>
    <b:SourceType>InternetSite</b:SourceType>
    <b:Guid>{491BF992-4E04-44EF-A870-38F51579FE89}</b:Guid>
    <b:Author>
      <b:Author>
        <b:Corporate>Carbometrix</b:Corporate>
      </b:Author>
    </b:Author>
    <b:InternetSiteTitle>What is a stranded asset and why should companies and financial institutions care?</b:InternetSiteTitle>
    <b:Year>2022</b:Year>
    <b:Month>12</b:Month>
    <b:URL>https://carbometrix.com/insights/what-is-a-stranded-asset-why-should-companies-and-financial-institutions-care/</b:URL>
    <b:RefOrder>8</b:RefOrder>
  </b:Source>
  <b:Source>
    <b:Tag>I4C24</b:Tag>
    <b:SourceType>InternetSite</b:SourceType>
    <b:Guid>{FB0121A9-70D2-479B-B2DD-41D07674BFA0}</b:Guid>
    <b:Author>
      <b:Author>
        <b:Corporate>I4CE</b:Corporate>
      </b:Author>
    </b:Author>
    <b:Year>2024</b:Year>
    <b:Month>06</b:Month>
    <b:URL>https://www.i4ce.org/en/publication/stranded-assets-assets-risk-reframing-narrative-european-private-financial-institutions-climate/</b:URL>
    <b:InternetSiteTitle>From stranded assets to assets-at-risk: reframing the narrative for European private financial institutions</b:InternetSiteTitle>
    <b:RefOrder>9</b:RefOrder>
  </b:Source>
</b:Sources>
</file>

<file path=customXml/itemProps1.xml><?xml version="1.0" encoding="utf-8"?>
<ds:datastoreItem xmlns:ds="http://schemas.openxmlformats.org/officeDocument/2006/customXml" ds:itemID="{E31E1AD0-4193-49E7-844D-E8D93D49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149</Pages>
  <Words>66165</Words>
  <Characters>377144</Characters>
  <Application>Microsoft Office Word</Application>
  <DocSecurity>0</DocSecurity>
  <Lines>3142</Lines>
  <Paragraphs>884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dc:creator>
  <cp:keywords/>
  <dc:description/>
  <cp:lastModifiedBy>George Kyriakarakos</cp:lastModifiedBy>
  <cp:revision>18</cp:revision>
  <cp:lastPrinted>2025-09-17T11:54:00Z</cp:lastPrinted>
  <dcterms:created xsi:type="dcterms:W3CDTF">2025-05-02T16:50:00Z</dcterms:created>
  <dcterms:modified xsi:type="dcterms:W3CDTF">2025-09-17T11:54:00Z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b3b5c8-3127-4c23-8ca5-8e3419a9fb35_Enabled">
    <vt:lpwstr>true</vt:lpwstr>
  </property>
  <property fmtid="{D5CDD505-2E9C-101B-9397-08002B2CF9AE}" pid="3" name="MSIP_Label_77b3b5c8-3127-4c23-8ca5-8e3419a9fb35_SetDate">
    <vt:lpwstr>2022-09-13T17:33:46Z</vt:lpwstr>
  </property>
  <property fmtid="{D5CDD505-2E9C-101B-9397-08002B2CF9AE}" pid="4" name="MSIP_Label_77b3b5c8-3127-4c23-8ca5-8e3419a9fb35_Method">
    <vt:lpwstr>Privileged</vt:lpwstr>
  </property>
  <property fmtid="{D5CDD505-2E9C-101B-9397-08002B2CF9AE}" pid="5" name="MSIP_Label_77b3b5c8-3127-4c23-8ca5-8e3419a9fb35_Name">
    <vt:lpwstr>Public</vt:lpwstr>
  </property>
  <property fmtid="{D5CDD505-2E9C-101B-9397-08002B2CF9AE}" pid="6" name="MSIP_Label_77b3b5c8-3127-4c23-8ca5-8e3419a9fb35_SiteId">
    <vt:lpwstr>727339d1-16ec-43cb-b6c3-5001fec5e907</vt:lpwstr>
  </property>
  <property fmtid="{D5CDD505-2E9C-101B-9397-08002B2CF9AE}" pid="7" name="MSIP_Label_77b3b5c8-3127-4c23-8ca5-8e3419a9fb35_ActionId">
    <vt:lpwstr>1d201b16-4d04-46f2-beae-67c4c3c87bc8</vt:lpwstr>
  </property>
  <property fmtid="{D5CDD505-2E9C-101B-9397-08002B2CF9AE}" pid="8" name="MSIP_Label_77b3b5c8-3127-4c23-8ca5-8e3419a9fb35_ContentBits">
    <vt:lpwstr>1</vt:lpwstr>
  </property>
</Properties>
</file>